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CB0" w:rsidRDefault="008B0CB0">
      <w:pPr>
        <w:jc w:val="both"/>
        <w:rPr>
          <w:rFonts w:ascii="Arial" w:hAnsi="Arial" w:cs="Arial"/>
          <w:sz w:val="22"/>
          <w:szCs w:val="22"/>
          <w:lang w:val="es-ES_tradn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66C8F" w:rsidRPr="00766C8F" w:rsidTr="00BE727A">
        <w:tc>
          <w:tcPr>
            <w:tcW w:w="8644" w:type="dxa"/>
            <w:shd w:val="clear" w:color="auto" w:fill="7F7F7F"/>
          </w:tcPr>
          <w:p w:rsidR="00766C8F" w:rsidRPr="00766C8F" w:rsidRDefault="009D1A48" w:rsidP="009D1A48">
            <w:pPr>
              <w:widowControl/>
              <w:autoSpaceDE/>
              <w:autoSpaceDN/>
              <w:adjustRightInd/>
              <w:jc w:val="center"/>
              <w:rPr>
                <w:rFonts w:ascii="Calibri" w:hAnsi="Calibri" w:cs="Tahoma"/>
                <w:b/>
                <w:lang w:val="es-ES"/>
              </w:rPr>
            </w:pPr>
            <w:r>
              <w:rPr>
                <w:rFonts w:ascii="Calibri" w:hAnsi="Calibri" w:cs="Tahoma"/>
                <w:b/>
                <w:lang w:val="es-ES"/>
              </w:rPr>
              <w:t>CONSEJERÍA DE TRANSPORTES, VIVIENDA E INFRAESTRUCTURAS</w:t>
            </w:r>
          </w:p>
        </w:tc>
      </w:tr>
      <w:tr w:rsidR="00766C8F" w:rsidRPr="00766C8F" w:rsidTr="00BE727A">
        <w:tc>
          <w:tcPr>
            <w:tcW w:w="8644" w:type="dxa"/>
            <w:shd w:val="clear" w:color="auto" w:fill="D0CECE"/>
          </w:tcPr>
          <w:p w:rsidR="00766C8F" w:rsidRPr="00766C8F" w:rsidRDefault="009D1A48" w:rsidP="009D1A48">
            <w:pPr>
              <w:widowControl/>
              <w:autoSpaceDE/>
              <w:autoSpaceDN/>
              <w:adjustRightInd/>
              <w:jc w:val="center"/>
              <w:rPr>
                <w:rFonts w:ascii="Calibri" w:hAnsi="Calibri" w:cs="Tahoma"/>
                <w:b/>
                <w:lang w:val="es-ES"/>
              </w:rPr>
            </w:pPr>
            <w:r>
              <w:rPr>
                <w:rFonts w:ascii="Calibri" w:hAnsi="Calibri" w:cs="Tahoma"/>
                <w:b/>
                <w:lang w:val="es-ES"/>
              </w:rPr>
              <w:t>AGENCIA DE VIVIENDA SOCIAL</w:t>
            </w:r>
            <w:r w:rsidR="00EA2990">
              <w:rPr>
                <w:rFonts w:ascii="Calibri" w:hAnsi="Calibri" w:cs="Tahoma"/>
                <w:b/>
                <w:lang w:val="es-ES"/>
              </w:rPr>
              <w:t xml:space="preserve"> DE LA COMUNIDAD DE MADRID</w:t>
            </w:r>
          </w:p>
        </w:tc>
      </w:tr>
      <w:tr w:rsidR="00766C8F" w:rsidRPr="00766C8F" w:rsidTr="00BE727A">
        <w:tc>
          <w:tcPr>
            <w:tcW w:w="8644" w:type="dxa"/>
            <w:shd w:val="clear" w:color="auto" w:fill="F2F2F2"/>
          </w:tcPr>
          <w:p w:rsidR="00766C8F" w:rsidRPr="00766C8F" w:rsidRDefault="009D1A48" w:rsidP="0014190D">
            <w:pPr>
              <w:widowControl/>
              <w:autoSpaceDE/>
              <w:autoSpaceDN/>
              <w:adjustRightInd/>
              <w:rPr>
                <w:rFonts w:ascii="Calibri" w:hAnsi="Calibri" w:cs="Tahoma"/>
                <w:b/>
                <w:lang w:val="es-ES"/>
              </w:rPr>
            </w:pPr>
            <w:r>
              <w:rPr>
                <w:rFonts w:ascii="Calibri" w:hAnsi="Calibri" w:cs="Tahoma"/>
                <w:b/>
                <w:lang w:val="es-ES"/>
              </w:rPr>
              <w:t>Antecedentes de la norma</w:t>
            </w:r>
          </w:p>
        </w:tc>
      </w:tr>
      <w:tr w:rsidR="00766C8F" w:rsidRPr="00766C8F" w:rsidTr="00BE727A">
        <w:tc>
          <w:tcPr>
            <w:tcW w:w="8644" w:type="dxa"/>
            <w:shd w:val="clear" w:color="auto" w:fill="auto"/>
          </w:tcPr>
          <w:p w:rsidR="00766C8F" w:rsidRPr="00677C62" w:rsidRDefault="00766C8F" w:rsidP="00766C8F">
            <w:pPr>
              <w:widowControl/>
              <w:autoSpaceDE/>
              <w:autoSpaceDN/>
              <w:adjustRightInd/>
              <w:jc w:val="both"/>
              <w:rPr>
                <w:rFonts w:ascii="Calibri" w:hAnsi="Calibri" w:cs="Tahoma"/>
                <w:sz w:val="22"/>
                <w:szCs w:val="22"/>
                <w:lang w:val="es-ES"/>
              </w:rPr>
            </w:pPr>
          </w:p>
          <w:p w:rsidR="009D1A48" w:rsidRPr="00677C62" w:rsidRDefault="009D1A48" w:rsidP="009D1A48">
            <w:pPr>
              <w:widowControl/>
              <w:autoSpaceDE/>
              <w:autoSpaceDN/>
              <w:adjustRightInd/>
              <w:jc w:val="both"/>
              <w:rPr>
                <w:rFonts w:ascii="Calibri" w:hAnsi="Calibri" w:cs="Tahoma"/>
                <w:lang w:val="es-ES"/>
              </w:rPr>
            </w:pPr>
            <w:r w:rsidRPr="00677C62">
              <w:rPr>
                <w:rFonts w:ascii="Calibri" w:hAnsi="Calibri" w:cs="Tahoma"/>
                <w:lang w:val="es-ES"/>
              </w:rPr>
              <w:t>El Decreto 52/2016, de 31 de mayo, del Consejo de Gobierno, por el que se crea el Parque de Viviendas de Emergencia Social y se regula el proceso de adjudicación de viviendas de la Agencia de Vivienda Social de la Comunidad de Madrid</w:t>
            </w:r>
            <w:r w:rsidR="00C00188" w:rsidRPr="00677C62">
              <w:rPr>
                <w:rFonts w:ascii="Calibri" w:hAnsi="Calibri" w:cs="Tahoma"/>
                <w:lang w:val="es-ES"/>
              </w:rPr>
              <w:t>,</w:t>
            </w:r>
            <w:r w:rsidR="00EA2990" w:rsidRPr="00677C62">
              <w:rPr>
                <w:rFonts w:ascii="Calibri" w:hAnsi="Calibri" w:cs="Tahoma"/>
                <w:lang w:val="es-ES"/>
              </w:rPr>
              <w:t xml:space="preserve"> excluye de su ámbito de aplicación en la</w:t>
            </w:r>
            <w:r w:rsidRPr="00677C62">
              <w:rPr>
                <w:rFonts w:ascii="Calibri" w:hAnsi="Calibri" w:cs="Tahoma"/>
                <w:lang w:val="es-ES"/>
              </w:rPr>
              <w:t xml:space="preserve"> Disposición Adicional Primera, apartado c), las viviendas vinculadas a operaciones de realojo de poblados chabolistas e infraviviendas; estableciéndose en la Disposición Final Segunda que en el plazo máximo de un año desde su entrada en vigor,</w:t>
            </w:r>
            <w:r w:rsidR="00EA2990" w:rsidRPr="00677C62">
              <w:rPr>
                <w:rFonts w:ascii="Calibri" w:hAnsi="Calibri" w:cs="Tahoma"/>
                <w:lang w:val="es-ES"/>
              </w:rPr>
              <w:t xml:space="preserve"> que tuvo lugar el 1 de junio de 2016,</w:t>
            </w:r>
            <w:r w:rsidRPr="00677C62">
              <w:rPr>
                <w:rFonts w:ascii="Calibri" w:hAnsi="Calibri" w:cs="Tahoma"/>
                <w:lang w:val="es-ES"/>
              </w:rPr>
              <w:t xml:space="preserve"> deberá regularse la adjudicación de</w:t>
            </w:r>
            <w:r w:rsidR="00C00188" w:rsidRPr="00677C62">
              <w:rPr>
                <w:rFonts w:ascii="Calibri" w:hAnsi="Calibri" w:cs="Tahoma"/>
                <w:lang w:val="es-ES"/>
              </w:rPr>
              <w:t xml:space="preserve"> este tipo de viviendas. </w:t>
            </w:r>
          </w:p>
          <w:p w:rsidR="008C491F" w:rsidRPr="00677C62" w:rsidRDefault="009A2355" w:rsidP="00C00188">
            <w:pPr>
              <w:widowControl/>
              <w:autoSpaceDE/>
              <w:autoSpaceDN/>
              <w:adjustRightInd/>
              <w:jc w:val="both"/>
              <w:rPr>
                <w:rFonts w:ascii="Calibri" w:hAnsi="Calibri" w:cs="Tahoma"/>
                <w:lang w:val="es-ES"/>
              </w:rPr>
            </w:pPr>
            <w:r w:rsidRPr="00677C62">
              <w:rPr>
                <w:rFonts w:ascii="Calibri" w:hAnsi="Calibri" w:cs="Tahoma"/>
                <w:lang w:val="es-ES"/>
              </w:rPr>
              <w:t>Hasta el mo</w:t>
            </w:r>
            <w:r w:rsidR="00677C62">
              <w:rPr>
                <w:rFonts w:ascii="Calibri" w:hAnsi="Calibri" w:cs="Tahoma"/>
                <w:lang w:val="es-ES"/>
              </w:rPr>
              <w:t>mento la regulación d</w:t>
            </w:r>
            <w:r w:rsidRPr="00677C62">
              <w:rPr>
                <w:rFonts w:ascii="Calibri" w:hAnsi="Calibri" w:cs="Tahoma"/>
                <w:lang w:val="es-ES"/>
              </w:rPr>
              <w:t>el proceso de adjudicación de viviendas vinculadas a operaciones de realojo de poblados chabolista</w:t>
            </w:r>
            <w:r w:rsidR="00677C62">
              <w:rPr>
                <w:rFonts w:ascii="Calibri" w:hAnsi="Calibri" w:cs="Tahoma"/>
                <w:lang w:val="es-ES"/>
              </w:rPr>
              <w:t>s e infraviviendas se ha venido estableciendo</w:t>
            </w:r>
            <w:r w:rsidRPr="00677C62">
              <w:rPr>
                <w:rFonts w:ascii="Calibri" w:hAnsi="Calibri" w:cs="Tahoma"/>
                <w:lang w:val="es-ES"/>
              </w:rPr>
              <w:t xml:space="preserve"> vía convencional</w:t>
            </w:r>
            <w:r w:rsidR="00677C62">
              <w:rPr>
                <w:rFonts w:ascii="Calibri" w:hAnsi="Calibri" w:cs="Tahoma"/>
                <w:lang w:val="es-ES"/>
              </w:rPr>
              <w:t>,</w:t>
            </w:r>
            <w:r w:rsidRPr="00677C62">
              <w:rPr>
                <w:rFonts w:ascii="Calibri" w:hAnsi="Calibri" w:cs="Tahoma"/>
                <w:lang w:val="es-ES"/>
              </w:rPr>
              <w:t xml:space="preserve"> a través de los distintos convenios de colaboración suscritos entre las Administraciones implicadas. </w:t>
            </w:r>
          </w:p>
          <w:p w:rsidR="00C00188" w:rsidRPr="00677C62" w:rsidRDefault="009A2355" w:rsidP="00C00188">
            <w:pPr>
              <w:widowControl/>
              <w:autoSpaceDE/>
              <w:autoSpaceDN/>
              <w:adjustRightInd/>
              <w:jc w:val="both"/>
              <w:rPr>
                <w:rFonts w:ascii="Calibri" w:hAnsi="Calibri" w:cs="Tahoma"/>
                <w:lang w:val="es-ES"/>
              </w:rPr>
            </w:pPr>
            <w:r w:rsidRPr="00677C62">
              <w:rPr>
                <w:rFonts w:ascii="Calibri" w:hAnsi="Calibri" w:cs="Tahoma"/>
                <w:lang w:val="es-ES"/>
              </w:rPr>
              <w:t>Del mismo</w:t>
            </w:r>
            <w:r w:rsidR="008C491F" w:rsidRPr="00677C62">
              <w:rPr>
                <w:rFonts w:ascii="Calibri" w:hAnsi="Calibri" w:cs="Tahoma"/>
                <w:lang w:val="es-ES"/>
              </w:rPr>
              <w:t xml:space="preserve"> modo</w:t>
            </w:r>
            <w:r w:rsidRPr="00677C62">
              <w:rPr>
                <w:rFonts w:ascii="Calibri" w:hAnsi="Calibri" w:cs="Tahoma"/>
                <w:lang w:val="es-ES"/>
              </w:rPr>
              <w:t xml:space="preserve"> e</w:t>
            </w:r>
            <w:r w:rsidR="00C00188" w:rsidRPr="00677C62">
              <w:rPr>
                <w:rFonts w:ascii="Calibri" w:hAnsi="Calibri" w:cs="Tahoma"/>
                <w:lang w:val="es-ES"/>
              </w:rPr>
              <w:t>l cambio de viviendas vinculadas a operaciones de realojo de poblados chabol</w:t>
            </w:r>
            <w:r w:rsidR="00EA2990" w:rsidRPr="00677C62">
              <w:rPr>
                <w:rFonts w:ascii="Calibri" w:hAnsi="Calibri" w:cs="Tahoma"/>
                <w:lang w:val="es-ES"/>
              </w:rPr>
              <w:t>istas e infraviviendas se ha venido regulando mediante</w:t>
            </w:r>
            <w:r w:rsidR="00C00188" w:rsidRPr="00677C62">
              <w:rPr>
                <w:rFonts w:ascii="Calibri" w:hAnsi="Calibri" w:cs="Tahoma"/>
                <w:lang w:val="es-ES"/>
              </w:rPr>
              <w:t xml:space="preserve"> Resoluciones e Instrucciones aprobadas por la Dirección Gerenci</w:t>
            </w:r>
            <w:r w:rsidR="00EA2990" w:rsidRPr="00677C62">
              <w:rPr>
                <w:rFonts w:ascii="Calibri" w:hAnsi="Calibri" w:cs="Tahoma"/>
                <w:lang w:val="es-ES"/>
              </w:rPr>
              <w:t xml:space="preserve">a del Organismo, a fecha actual, por </w:t>
            </w:r>
            <w:r w:rsidR="00C00188" w:rsidRPr="00677C62">
              <w:rPr>
                <w:rFonts w:ascii="Calibri" w:hAnsi="Calibri" w:cs="Tahoma"/>
                <w:lang w:val="es-ES"/>
              </w:rPr>
              <w:t xml:space="preserve">la Instrucción 3/SG/2016, de la Dirección Gerencia de la Agencia de Vivienda Social de la Comunidad de Madrid, de 29 de noviembre de 2016, por la que se establecen los criterios de actuación para la resolución de las solicitudes de cambio de viviendas adjudicadas en régimen de arrendamiento por el extinto Instituto de Realojamiento e Integración Social, que sustituye a la anterior Resolución 13/2012, de 24 de abril del 2012, </w:t>
            </w:r>
            <w:r w:rsidR="008C491F" w:rsidRPr="00677C62">
              <w:rPr>
                <w:rFonts w:ascii="Calibri" w:hAnsi="Calibri" w:cs="Tahoma"/>
                <w:lang w:val="es-ES"/>
              </w:rPr>
              <w:t>d</w:t>
            </w:r>
            <w:r w:rsidR="00C00188" w:rsidRPr="00677C62">
              <w:rPr>
                <w:rFonts w:ascii="Calibri" w:hAnsi="Calibri" w:cs="Tahoma"/>
                <w:lang w:val="es-ES"/>
              </w:rPr>
              <w:t>el Director Gerente del Instituto de Realojamiento e Integración Social.</w:t>
            </w:r>
          </w:p>
          <w:p w:rsidR="00766C8F" w:rsidRPr="00677C62" w:rsidRDefault="00766C8F" w:rsidP="00766C8F">
            <w:pPr>
              <w:widowControl/>
              <w:autoSpaceDE/>
              <w:autoSpaceDN/>
              <w:adjustRightInd/>
              <w:jc w:val="both"/>
              <w:rPr>
                <w:rFonts w:ascii="Calibri" w:hAnsi="Calibri" w:cs="Tahoma"/>
                <w:b/>
                <w:lang w:val="es-ES"/>
              </w:rPr>
            </w:pPr>
          </w:p>
        </w:tc>
      </w:tr>
      <w:tr w:rsidR="00766C8F" w:rsidRPr="00766C8F" w:rsidTr="00BE727A">
        <w:tc>
          <w:tcPr>
            <w:tcW w:w="8644" w:type="dxa"/>
            <w:shd w:val="clear" w:color="auto" w:fill="F2F2F2"/>
          </w:tcPr>
          <w:p w:rsidR="00766C8F" w:rsidRPr="00677C62" w:rsidRDefault="00766C8F" w:rsidP="00766C8F">
            <w:pPr>
              <w:widowControl/>
              <w:autoSpaceDE/>
              <w:autoSpaceDN/>
              <w:adjustRightInd/>
              <w:jc w:val="both"/>
              <w:rPr>
                <w:rFonts w:ascii="Calibri" w:hAnsi="Calibri" w:cs="Tahoma"/>
                <w:b/>
                <w:lang w:val="es-ES"/>
              </w:rPr>
            </w:pPr>
            <w:r w:rsidRPr="00677C62">
              <w:rPr>
                <w:rFonts w:ascii="Calibri" w:hAnsi="Calibri" w:cs="Tahoma"/>
                <w:b/>
                <w:lang w:val="es-ES"/>
              </w:rPr>
              <w:t>Problemas que se pretenden solucionar</w:t>
            </w:r>
          </w:p>
        </w:tc>
      </w:tr>
      <w:tr w:rsidR="00766C8F" w:rsidRPr="00766C8F" w:rsidTr="00BE727A">
        <w:tc>
          <w:tcPr>
            <w:tcW w:w="8644" w:type="dxa"/>
            <w:shd w:val="clear" w:color="auto" w:fill="auto"/>
          </w:tcPr>
          <w:p w:rsidR="00766C8F" w:rsidRPr="00677C62" w:rsidRDefault="00766C8F" w:rsidP="00766C8F">
            <w:pPr>
              <w:widowControl/>
              <w:autoSpaceDE/>
              <w:autoSpaceDN/>
              <w:adjustRightInd/>
              <w:jc w:val="both"/>
              <w:rPr>
                <w:rFonts w:ascii="Calibri" w:hAnsi="Calibri" w:cs="Tahoma"/>
                <w:b/>
                <w:lang w:val="es-ES"/>
              </w:rPr>
            </w:pPr>
          </w:p>
          <w:p w:rsidR="00EA6DD0" w:rsidRPr="00677C62" w:rsidRDefault="00EA6DD0" w:rsidP="00C00188">
            <w:pPr>
              <w:widowControl/>
              <w:autoSpaceDE/>
              <w:autoSpaceDN/>
              <w:adjustRightInd/>
              <w:jc w:val="both"/>
              <w:rPr>
                <w:rFonts w:ascii="Calibri" w:hAnsi="Calibri" w:cs="Tahoma"/>
                <w:lang w:val="es-ES"/>
              </w:rPr>
            </w:pPr>
            <w:r w:rsidRPr="00677C62">
              <w:rPr>
                <w:rFonts w:ascii="Calibri" w:hAnsi="Calibri" w:cs="Tahoma"/>
                <w:lang w:val="es-ES"/>
              </w:rPr>
              <w:t xml:space="preserve">La Comunidad de Madrid ha sido siempre un referente en política de realojo de familias procedentes de poblados chabolistas, siendo su modelo estudiado en Europa y en el resto de Comunidades Autónomas. </w:t>
            </w:r>
          </w:p>
          <w:p w:rsidR="00EA6DD0" w:rsidRPr="00677C62" w:rsidRDefault="00EA6DD0" w:rsidP="00C00188">
            <w:pPr>
              <w:widowControl/>
              <w:autoSpaceDE/>
              <w:autoSpaceDN/>
              <w:adjustRightInd/>
              <w:jc w:val="both"/>
              <w:rPr>
                <w:rFonts w:ascii="Calibri" w:hAnsi="Calibri" w:cs="Tahoma"/>
                <w:lang w:val="es-ES"/>
              </w:rPr>
            </w:pPr>
          </w:p>
          <w:p w:rsidR="008C491F" w:rsidRDefault="009C6059" w:rsidP="00C00188">
            <w:pPr>
              <w:widowControl/>
              <w:autoSpaceDE/>
              <w:autoSpaceDN/>
              <w:adjustRightInd/>
              <w:jc w:val="both"/>
              <w:rPr>
                <w:rFonts w:ascii="Calibri" w:hAnsi="Calibri" w:cs="Tahoma"/>
                <w:lang w:val="es-ES"/>
              </w:rPr>
            </w:pPr>
            <w:r>
              <w:rPr>
                <w:rFonts w:ascii="Calibri" w:hAnsi="Calibri" w:cs="Tahoma"/>
                <w:lang w:val="es-ES"/>
              </w:rPr>
              <w:t>Con la presente</w:t>
            </w:r>
            <w:r w:rsidR="005C03E7" w:rsidRPr="00677C62">
              <w:rPr>
                <w:rFonts w:ascii="Calibri" w:hAnsi="Calibri" w:cs="Tahoma"/>
                <w:lang w:val="es-ES"/>
              </w:rPr>
              <w:t xml:space="preserve"> propuesta </w:t>
            </w:r>
            <w:r w:rsidR="00E45EC6">
              <w:rPr>
                <w:rFonts w:ascii="Calibri" w:hAnsi="Calibri" w:cs="Tahoma"/>
                <w:lang w:val="es-ES"/>
              </w:rPr>
              <w:t>de</w:t>
            </w:r>
            <w:r>
              <w:rPr>
                <w:rFonts w:ascii="Calibri" w:hAnsi="Calibri" w:cs="Tahoma"/>
                <w:lang w:val="es-ES"/>
              </w:rPr>
              <w:t xml:space="preserve"> elaboración</w:t>
            </w:r>
            <w:r w:rsidR="005C03E7" w:rsidRPr="00677C62">
              <w:rPr>
                <w:rFonts w:ascii="Calibri" w:hAnsi="Calibri" w:cs="Tahoma"/>
                <w:lang w:val="es-ES"/>
              </w:rPr>
              <w:t xml:space="preserve"> de</w:t>
            </w:r>
            <w:r>
              <w:rPr>
                <w:rFonts w:ascii="Calibri" w:hAnsi="Calibri" w:cs="Tahoma"/>
                <w:lang w:val="es-ES"/>
              </w:rPr>
              <w:t xml:space="preserve"> un</w:t>
            </w:r>
            <w:r w:rsidR="005C03E7" w:rsidRPr="00677C62">
              <w:rPr>
                <w:rFonts w:ascii="Calibri" w:hAnsi="Calibri" w:cs="Tahoma"/>
                <w:lang w:val="es-ES"/>
              </w:rPr>
              <w:t xml:space="preserve"> Decreto </w:t>
            </w:r>
            <w:r w:rsidR="00546816">
              <w:rPr>
                <w:rFonts w:ascii="Calibri" w:hAnsi="Calibri" w:cs="Tahoma"/>
                <w:lang w:val="es-ES"/>
              </w:rPr>
              <w:t>específico en la materia</w:t>
            </w:r>
            <w:r>
              <w:rPr>
                <w:rFonts w:ascii="Calibri" w:hAnsi="Calibri" w:cs="Tahoma"/>
                <w:lang w:val="es-ES"/>
              </w:rPr>
              <w:t xml:space="preserve">, </w:t>
            </w:r>
            <w:r w:rsidR="00C00188" w:rsidRPr="00677C62">
              <w:rPr>
                <w:rFonts w:ascii="Calibri" w:hAnsi="Calibri" w:cs="Tahoma"/>
                <w:lang w:val="es-ES"/>
              </w:rPr>
              <w:t xml:space="preserve">se </w:t>
            </w:r>
            <w:r w:rsidR="008C491F" w:rsidRPr="00677C62">
              <w:rPr>
                <w:rFonts w:ascii="Calibri" w:hAnsi="Calibri" w:cs="Tahoma"/>
                <w:lang w:val="es-ES"/>
              </w:rPr>
              <w:t>da un paso adelante en el modelo de realojo puesto en marcha en la Comun</w:t>
            </w:r>
            <w:r w:rsidR="00EA6DD0" w:rsidRPr="00677C62">
              <w:rPr>
                <w:rFonts w:ascii="Calibri" w:hAnsi="Calibri" w:cs="Tahoma"/>
                <w:lang w:val="es-ES"/>
              </w:rPr>
              <w:t>idad de Madrid, calificado de “E</w:t>
            </w:r>
            <w:r w:rsidR="008C491F" w:rsidRPr="00677C62">
              <w:rPr>
                <w:rFonts w:ascii="Calibri" w:hAnsi="Calibri" w:cs="Tahoma"/>
                <w:lang w:val="es-ES"/>
              </w:rPr>
              <w:t>jemplo de buenas prácticas” por el Consejo de Europa, elevando de rango normativo la regulación del proceso de adjudicación de viviendas vinculadas a operaciones de realojo de poblados chabolistas e infraviviendas</w:t>
            </w:r>
            <w:r w:rsidR="00C60B01" w:rsidRPr="00677C62">
              <w:rPr>
                <w:rFonts w:ascii="Calibri" w:hAnsi="Calibri" w:cs="Tahoma"/>
                <w:lang w:val="es-ES"/>
              </w:rPr>
              <w:t>,</w:t>
            </w:r>
            <w:r w:rsidR="008C491F" w:rsidRPr="00677C62">
              <w:rPr>
                <w:rFonts w:ascii="Calibri" w:hAnsi="Calibri" w:cs="Tahoma"/>
                <w:lang w:val="es-ES"/>
              </w:rPr>
              <w:t xml:space="preserve"> </w:t>
            </w:r>
            <w:r w:rsidR="00242F0B">
              <w:rPr>
                <w:rFonts w:ascii="Calibri" w:hAnsi="Calibri" w:cs="Tahoma"/>
                <w:lang w:val="es-ES"/>
              </w:rPr>
              <w:t>y</w:t>
            </w:r>
            <w:r w:rsidR="00546816">
              <w:rPr>
                <w:rFonts w:ascii="Calibri" w:hAnsi="Calibri" w:cs="Tahoma"/>
                <w:lang w:val="es-ES"/>
              </w:rPr>
              <w:t xml:space="preserve"> homogeneizando los requi</w:t>
            </w:r>
            <w:r w:rsidR="00242F0B">
              <w:rPr>
                <w:rFonts w:ascii="Calibri" w:hAnsi="Calibri" w:cs="Tahoma"/>
                <w:lang w:val="es-ES"/>
              </w:rPr>
              <w:t>sitos de acceso a estas viviendas</w:t>
            </w:r>
            <w:r w:rsidR="005A0BC1">
              <w:rPr>
                <w:rFonts w:ascii="Calibri" w:hAnsi="Calibri" w:cs="Tahoma"/>
                <w:lang w:val="es-ES"/>
              </w:rPr>
              <w:t>, actualmente previstos en</w:t>
            </w:r>
            <w:r w:rsidR="00242F0B">
              <w:rPr>
                <w:rFonts w:ascii="Calibri" w:hAnsi="Calibri" w:cs="Tahoma"/>
                <w:lang w:val="es-ES"/>
              </w:rPr>
              <w:t xml:space="preserve"> diferentes convenios de colaboración, </w:t>
            </w:r>
            <w:r w:rsidR="005A0BC1">
              <w:rPr>
                <w:rFonts w:ascii="Calibri" w:hAnsi="Calibri" w:cs="Tahoma"/>
                <w:lang w:val="es-ES"/>
              </w:rPr>
              <w:t>lo que permitirá</w:t>
            </w:r>
            <w:r w:rsidR="00242F0B">
              <w:rPr>
                <w:rFonts w:ascii="Calibri" w:hAnsi="Calibri" w:cs="Tahoma"/>
                <w:lang w:val="es-ES"/>
              </w:rPr>
              <w:t xml:space="preserve"> una mayor seguridad jurídica.</w:t>
            </w:r>
          </w:p>
          <w:p w:rsidR="00242F0B" w:rsidRPr="00677C62" w:rsidRDefault="00242F0B" w:rsidP="00C00188">
            <w:pPr>
              <w:widowControl/>
              <w:autoSpaceDE/>
              <w:autoSpaceDN/>
              <w:adjustRightInd/>
              <w:jc w:val="both"/>
              <w:rPr>
                <w:rFonts w:ascii="Calibri" w:hAnsi="Calibri" w:cs="Tahoma"/>
                <w:lang w:val="es-ES"/>
              </w:rPr>
            </w:pPr>
          </w:p>
          <w:p w:rsidR="00C00188" w:rsidRPr="00677C62" w:rsidRDefault="005C03E7" w:rsidP="00C00188">
            <w:pPr>
              <w:widowControl/>
              <w:autoSpaceDE/>
              <w:autoSpaceDN/>
              <w:adjustRightInd/>
              <w:jc w:val="both"/>
              <w:rPr>
                <w:rFonts w:ascii="Calibri" w:hAnsi="Calibri" w:cs="Tahoma"/>
                <w:lang w:val="es-ES"/>
              </w:rPr>
            </w:pPr>
            <w:r w:rsidRPr="00677C62">
              <w:rPr>
                <w:rFonts w:ascii="Calibri" w:hAnsi="Calibri" w:cs="Tahoma"/>
                <w:lang w:val="es-ES"/>
              </w:rPr>
              <w:t>A</w:t>
            </w:r>
            <w:r w:rsidR="00C00188" w:rsidRPr="00677C62">
              <w:rPr>
                <w:rFonts w:ascii="Calibri" w:hAnsi="Calibri" w:cs="Tahoma"/>
                <w:lang w:val="es-ES"/>
              </w:rPr>
              <w:t xml:space="preserve">simismo se pretende </w:t>
            </w:r>
            <w:r w:rsidR="0014190D" w:rsidRPr="00677C62">
              <w:rPr>
                <w:rFonts w:ascii="Calibri" w:hAnsi="Calibri" w:cs="Tahoma"/>
                <w:lang w:val="es-ES"/>
              </w:rPr>
              <w:t xml:space="preserve">también </w:t>
            </w:r>
            <w:r w:rsidR="00C00188" w:rsidRPr="00677C62">
              <w:rPr>
                <w:rFonts w:ascii="Calibri" w:hAnsi="Calibri" w:cs="Tahoma"/>
                <w:lang w:val="es-ES"/>
              </w:rPr>
              <w:t>una regulación integral</w:t>
            </w:r>
            <w:r w:rsidR="00242F0B">
              <w:rPr>
                <w:rFonts w:ascii="Calibri" w:hAnsi="Calibri" w:cs="Tahoma"/>
                <w:lang w:val="es-ES"/>
              </w:rPr>
              <w:t xml:space="preserve"> de la materia, de modo que la norma prevista de rango reglamentario </w:t>
            </w:r>
            <w:r w:rsidR="004A4F3C">
              <w:rPr>
                <w:rFonts w:ascii="Calibri" w:hAnsi="Calibri" w:cs="Tahoma"/>
                <w:lang w:val="es-ES"/>
              </w:rPr>
              <w:t xml:space="preserve">establezca </w:t>
            </w:r>
            <w:r w:rsidR="00242F0B">
              <w:rPr>
                <w:rFonts w:ascii="Calibri" w:hAnsi="Calibri" w:cs="Tahoma"/>
                <w:lang w:val="es-ES"/>
              </w:rPr>
              <w:t>las condiciones necesarias, no sólo para la adjudicación, sino también para el</w:t>
            </w:r>
            <w:r w:rsidR="00C00188" w:rsidRPr="00677C62">
              <w:rPr>
                <w:rFonts w:ascii="Calibri" w:hAnsi="Calibri" w:cs="Tahoma"/>
                <w:lang w:val="es-ES"/>
              </w:rPr>
              <w:t xml:space="preserve"> cambio de este tipo de viviendas vinculadas a ope</w:t>
            </w:r>
            <w:r w:rsidR="00EA2990" w:rsidRPr="00677C62">
              <w:rPr>
                <w:rFonts w:ascii="Calibri" w:hAnsi="Calibri" w:cs="Tahoma"/>
                <w:lang w:val="es-ES"/>
              </w:rPr>
              <w:t xml:space="preserve">raciones de realojo, cuestión </w:t>
            </w:r>
            <w:r w:rsidR="008C491F" w:rsidRPr="00677C62">
              <w:rPr>
                <w:rFonts w:ascii="Calibri" w:hAnsi="Calibri" w:cs="Tahoma"/>
                <w:lang w:val="es-ES"/>
              </w:rPr>
              <w:t>de gran interés para los adjudicatarios</w:t>
            </w:r>
            <w:r w:rsidR="00242F0B">
              <w:rPr>
                <w:rFonts w:ascii="Calibri" w:hAnsi="Calibri" w:cs="Tahoma"/>
                <w:lang w:val="es-ES"/>
              </w:rPr>
              <w:t>, y que hasta la fecha se ha venido rigiendo por</w:t>
            </w:r>
            <w:r w:rsidR="00C00188" w:rsidRPr="00677C62">
              <w:rPr>
                <w:rFonts w:ascii="Calibri" w:hAnsi="Calibri" w:cs="Tahoma"/>
                <w:lang w:val="es-ES"/>
              </w:rPr>
              <w:t xml:space="preserve"> </w:t>
            </w:r>
            <w:r w:rsidR="0014190D" w:rsidRPr="00677C62">
              <w:rPr>
                <w:rFonts w:ascii="Calibri" w:hAnsi="Calibri" w:cs="Tahoma"/>
                <w:lang w:val="es-ES"/>
              </w:rPr>
              <w:t xml:space="preserve">Resoluciones e </w:t>
            </w:r>
            <w:r w:rsidR="00C00188" w:rsidRPr="00677C62">
              <w:rPr>
                <w:rFonts w:ascii="Calibri" w:hAnsi="Calibri" w:cs="Tahoma"/>
                <w:lang w:val="es-ES"/>
              </w:rPr>
              <w:t xml:space="preserve">Instrucciones aprobadas por la Dirección </w:t>
            </w:r>
            <w:r w:rsidR="00C00188" w:rsidRPr="00677C62">
              <w:rPr>
                <w:rFonts w:ascii="Calibri" w:hAnsi="Calibri" w:cs="Tahoma"/>
                <w:lang w:val="es-ES"/>
              </w:rPr>
              <w:lastRenderedPageBreak/>
              <w:t>Gerencia del Organismo.</w:t>
            </w:r>
          </w:p>
          <w:p w:rsidR="008C491F" w:rsidRPr="00677C62" w:rsidRDefault="008C491F" w:rsidP="00C00188">
            <w:pPr>
              <w:widowControl/>
              <w:autoSpaceDE/>
              <w:autoSpaceDN/>
              <w:adjustRightInd/>
              <w:jc w:val="both"/>
              <w:rPr>
                <w:rFonts w:ascii="Calibri" w:hAnsi="Calibri" w:cs="Tahoma"/>
                <w:lang w:val="es-ES"/>
              </w:rPr>
            </w:pPr>
          </w:p>
          <w:p w:rsidR="000C7414" w:rsidRPr="00677C62" w:rsidRDefault="000C7414" w:rsidP="005A0BC1">
            <w:pPr>
              <w:widowControl/>
              <w:autoSpaceDE/>
              <w:autoSpaceDN/>
              <w:adjustRightInd/>
              <w:jc w:val="both"/>
              <w:rPr>
                <w:rFonts w:ascii="Calibri" w:hAnsi="Calibri" w:cs="Tahoma"/>
                <w:b/>
                <w:lang w:val="es-ES"/>
              </w:rPr>
            </w:pPr>
          </w:p>
        </w:tc>
      </w:tr>
      <w:tr w:rsidR="00766C8F" w:rsidRPr="00766C8F" w:rsidTr="00BE727A">
        <w:tc>
          <w:tcPr>
            <w:tcW w:w="8644" w:type="dxa"/>
            <w:shd w:val="clear" w:color="auto" w:fill="F2F2F2"/>
          </w:tcPr>
          <w:p w:rsidR="00766C8F" w:rsidRPr="00677C62" w:rsidRDefault="00766C8F" w:rsidP="00766C8F">
            <w:pPr>
              <w:widowControl/>
              <w:autoSpaceDE/>
              <w:autoSpaceDN/>
              <w:adjustRightInd/>
              <w:jc w:val="both"/>
              <w:rPr>
                <w:rFonts w:ascii="Calibri" w:hAnsi="Calibri" w:cs="Tahoma"/>
                <w:b/>
                <w:lang w:val="es-ES"/>
              </w:rPr>
            </w:pPr>
            <w:r w:rsidRPr="00677C62">
              <w:rPr>
                <w:rFonts w:ascii="Calibri" w:hAnsi="Calibri" w:cs="Tahoma"/>
                <w:b/>
                <w:lang w:val="es-ES"/>
              </w:rPr>
              <w:lastRenderedPageBreak/>
              <w:t>Necesidad y oportunidad de la norma</w:t>
            </w:r>
          </w:p>
        </w:tc>
      </w:tr>
      <w:tr w:rsidR="00766C8F" w:rsidRPr="00766C8F" w:rsidTr="00BE727A">
        <w:tc>
          <w:tcPr>
            <w:tcW w:w="8644" w:type="dxa"/>
            <w:shd w:val="clear" w:color="auto" w:fill="auto"/>
          </w:tcPr>
          <w:p w:rsidR="000C7414" w:rsidRDefault="00F22B43" w:rsidP="00766C8F">
            <w:pPr>
              <w:widowControl/>
              <w:autoSpaceDE/>
              <w:autoSpaceDN/>
              <w:adjustRightInd/>
              <w:jc w:val="both"/>
              <w:rPr>
                <w:rFonts w:ascii="Calibri" w:hAnsi="Calibri" w:cs="Tahoma"/>
                <w:lang w:val="es-ES"/>
              </w:rPr>
            </w:pPr>
            <w:r w:rsidRPr="00677C62">
              <w:rPr>
                <w:rFonts w:ascii="Calibri" w:hAnsi="Calibri" w:cs="Tahoma"/>
                <w:lang w:val="es-ES"/>
              </w:rPr>
              <w:t xml:space="preserve">La Disposición Final Segunda del Decreto 52/2016, de 31 de mayo, establece la obligación de proceder, en el plazo máximo de un año a partir de su entrada en vigor, a la regulación de la adjudicación de las viviendas vinculadas a operaciones de realojo de poblados chabolistas e infraviviendas. En cumplimiento de dicho mandato se propone </w:t>
            </w:r>
            <w:r w:rsidR="005A0BC1">
              <w:rPr>
                <w:rFonts w:ascii="Calibri" w:hAnsi="Calibri" w:cs="Tahoma"/>
                <w:lang w:val="es-ES"/>
              </w:rPr>
              <w:t xml:space="preserve">la aprobación de un </w:t>
            </w:r>
            <w:r w:rsidR="005C03E7" w:rsidRPr="00677C62">
              <w:rPr>
                <w:rFonts w:ascii="Calibri" w:hAnsi="Calibri" w:cs="Tahoma"/>
                <w:lang w:val="es-ES"/>
              </w:rPr>
              <w:t>D</w:t>
            </w:r>
            <w:r w:rsidR="005A0BC1">
              <w:rPr>
                <w:rFonts w:ascii="Calibri" w:hAnsi="Calibri" w:cs="Tahoma"/>
                <w:lang w:val="es-ES"/>
              </w:rPr>
              <w:t xml:space="preserve">ecreto </w:t>
            </w:r>
            <w:r w:rsidRPr="00677C62">
              <w:rPr>
                <w:rFonts w:ascii="Calibri" w:hAnsi="Calibri" w:cs="Tahoma"/>
                <w:lang w:val="es-ES"/>
              </w:rPr>
              <w:t xml:space="preserve"> en </w:t>
            </w:r>
            <w:r w:rsidR="005A0BC1">
              <w:rPr>
                <w:rFonts w:ascii="Calibri" w:hAnsi="Calibri" w:cs="Tahoma"/>
                <w:lang w:val="es-ES"/>
              </w:rPr>
              <w:t xml:space="preserve">la materia, </w:t>
            </w:r>
            <w:r w:rsidRPr="00677C62">
              <w:rPr>
                <w:rFonts w:ascii="Calibri" w:hAnsi="Calibri" w:cs="Tahoma"/>
                <w:lang w:val="es-ES"/>
              </w:rPr>
              <w:t>teniendo por tanto el origen de la propuesta una causa normativa.</w:t>
            </w:r>
          </w:p>
          <w:p w:rsidR="005A0BC1" w:rsidRPr="00677C62" w:rsidRDefault="005A0BC1" w:rsidP="00766C8F">
            <w:pPr>
              <w:widowControl/>
              <w:autoSpaceDE/>
              <w:autoSpaceDN/>
              <w:adjustRightInd/>
              <w:jc w:val="both"/>
              <w:rPr>
                <w:rFonts w:ascii="Calibri" w:hAnsi="Calibri" w:cs="Tahoma"/>
                <w:lang w:val="es-ES"/>
              </w:rPr>
            </w:pPr>
          </w:p>
          <w:p w:rsidR="000C7414" w:rsidRPr="00677C62" w:rsidRDefault="005A0BC1" w:rsidP="005C03E7">
            <w:pPr>
              <w:widowControl/>
              <w:autoSpaceDE/>
              <w:autoSpaceDN/>
              <w:adjustRightInd/>
              <w:jc w:val="both"/>
              <w:rPr>
                <w:rFonts w:ascii="Calibri" w:hAnsi="Calibri" w:cs="Tahoma"/>
                <w:lang w:val="es-ES"/>
              </w:rPr>
            </w:pPr>
            <w:r>
              <w:rPr>
                <w:rFonts w:ascii="Calibri" w:hAnsi="Calibri" w:cs="Tahoma"/>
                <w:lang w:val="es-ES"/>
              </w:rPr>
              <w:t xml:space="preserve">Se estima necesario regular, mediante </w:t>
            </w:r>
            <w:r w:rsidR="004A4F3C">
              <w:rPr>
                <w:rFonts w:ascii="Calibri" w:hAnsi="Calibri" w:cs="Tahoma"/>
                <w:lang w:val="es-ES"/>
              </w:rPr>
              <w:t>norma</w:t>
            </w:r>
            <w:r>
              <w:rPr>
                <w:rFonts w:ascii="Calibri" w:hAnsi="Calibri" w:cs="Tahoma"/>
                <w:lang w:val="es-ES"/>
              </w:rPr>
              <w:t xml:space="preserve"> de rango reglamentario, los procedimientos de adjudicación </w:t>
            </w:r>
            <w:r w:rsidR="00D4206A">
              <w:rPr>
                <w:rFonts w:ascii="Calibri" w:hAnsi="Calibri" w:cs="Tahoma"/>
                <w:lang w:val="es-ES"/>
              </w:rPr>
              <w:t>y</w:t>
            </w:r>
            <w:r>
              <w:rPr>
                <w:rFonts w:ascii="Calibri" w:hAnsi="Calibri" w:cs="Tahoma"/>
                <w:lang w:val="es-ES"/>
              </w:rPr>
              <w:t xml:space="preserve"> cambio de viviendas cuyos derechos de propiedad o de uso correspondan a la Agencia de Vivienda Social de la Comunidad de Madrid vinculadas a operaciones de realojo de poblad</w:t>
            </w:r>
            <w:r w:rsidR="00D4206A">
              <w:rPr>
                <w:rFonts w:ascii="Calibri" w:hAnsi="Calibri" w:cs="Tahoma"/>
                <w:lang w:val="es-ES"/>
              </w:rPr>
              <w:t>os chabolistas e infraviviendas, de modo que en único Decreto se establezcan las condiciones a reunir y requisitos a cumplimentar por los interesados para poder acceder a ese tipo de viviendas</w:t>
            </w:r>
            <w:r w:rsidR="005825B4">
              <w:rPr>
                <w:rFonts w:ascii="Calibri" w:hAnsi="Calibri" w:cs="Tahoma"/>
                <w:lang w:val="es-ES"/>
              </w:rPr>
              <w:t>,</w:t>
            </w:r>
            <w:r w:rsidR="00C61932" w:rsidRPr="00C61932">
              <w:rPr>
                <w:rFonts w:ascii="Calibri" w:hAnsi="Calibri" w:cs="Tahoma"/>
                <w:lang w:val="es-ES"/>
              </w:rPr>
              <w:t xml:space="preserve"> garantizando los derechos de los ciudadanos en su actuación con la Administración conforme a lo dispuesto en la Ley 39/2015, de 1 de octubre, del Procedimiento Administrativo Común de las Administraciones Públicas.</w:t>
            </w:r>
            <w:r w:rsidR="00D4206A">
              <w:rPr>
                <w:rFonts w:ascii="Calibri" w:hAnsi="Calibri" w:cs="Tahoma"/>
                <w:lang w:val="es-ES"/>
              </w:rPr>
              <w:t xml:space="preserve"> </w:t>
            </w:r>
            <w:r>
              <w:rPr>
                <w:rFonts w:ascii="Calibri" w:hAnsi="Calibri" w:cs="Tahoma"/>
                <w:lang w:val="es-ES"/>
              </w:rPr>
              <w:t xml:space="preserve"> </w:t>
            </w:r>
          </w:p>
          <w:p w:rsidR="005711D0" w:rsidRPr="00677C62" w:rsidRDefault="005711D0" w:rsidP="00EA6DD0">
            <w:pPr>
              <w:widowControl/>
              <w:autoSpaceDE/>
              <w:autoSpaceDN/>
              <w:adjustRightInd/>
              <w:jc w:val="both"/>
              <w:rPr>
                <w:rFonts w:ascii="Calibri" w:hAnsi="Calibri" w:cs="Tahoma"/>
                <w:lang w:val="es-ES"/>
              </w:rPr>
            </w:pPr>
          </w:p>
        </w:tc>
      </w:tr>
      <w:tr w:rsidR="00766C8F" w:rsidRPr="00766C8F" w:rsidTr="00BE727A">
        <w:tc>
          <w:tcPr>
            <w:tcW w:w="8644" w:type="dxa"/>
            <w:shd w:val="clear" w:color="auto" w:fill="F2F2F2"/>
          </w:tcPr>
          <w:p w:rsidR="00766C8F" w:rsidRPr="00677C62" w:rsidRDefault="00766C8F" w:rsidP="00766C8F">
            <w:pPr>
              <w:widowControl/>
              <w:autoSpaceDE/>
              <w:autoSpaceDN/>
              <w:adjustRightInd/>
              <w:jc w:val="both"/>
              <w:rPr>
                <w:rFonts w:ascii="Calibri" w:hAnsi="Calibri" w:cs="Tahoma"/>
                <w:b/>
                <w:lang w:val="es-ES"/>
              </w:rPr>
            </w:pPr>
            <w:r w:rsidRPr="00677C62">
              <w:rPr>
                <w:rFonts w:ascii="Calibri" w:hAnsi="Calibri" w:cs="Tahoma"/>
                <w:b/>
                <w:lang w:val="es-ES"/>
              </w:rPr>
              <w:t>Objetivos</w:t>
            </w:r>
          </w:p>
        </w:tc>
      </w:tr>
      <w:tr w:rsidR="00766C8F" w:rsidRPr="00766C8F" w:rsidTr="00BE727A">
        <w:tc>
          <w:tcPr>
            <w:tcW w:w="8644" w:type="dxa"/>
            <w:shd w:val="clear" w:color="auto" w:fill="auto"/>
          </w:tcPr>
          <w:p w:rsidR="00D4206A" w:rsidRDefault="005825B4" w:rsidP="00766C8F">
            <w:pPr>
              <w:widowControl/>
              <w:autoSpaceDE/>
              <w:autoSpaceDN/>
              <w:adjustRightInd/>
              <w:jc w:val="both"/>
              <w:rPr>
                <w:rFonts w:ascii="Calibri" w:hAnsi="Calibri" w:cs="Tahoma"/>
                <w:lang w:val="es-ES"/>
              </w:rPr>
            </w:pPr>
            <w:r>
              <w:rPr>
                <w:rFonts w:ascii="Calibri" w:hAnsi="Calibri" w:cs="Tahoma"/>
                <w:lang w:val="es-ES"/>
              </w:rPr>
              <w:t>L</w:t>
            </w:r>
            <w:r w:rsidR="008C3BB9" w:rsidRPr="00677C62">
              <w:rPr>
                <w:rFonts w:ascii="Calibri" w:hAnsi="Calibri" w:cs="Tahoma"/>
                <w:lang w:val="es-ES"/>
              </w:rPr>
              <w:t>a pres</w:t>
            </w:r>
            <w:r w:rsidR="00A02DB3" w:rsidRPr="00677C62">
              <w:rPr>
                <w:rFonts w:ascii="Calibri" w:hAnsi="Calibri" w:cs="Tahoma"/>
                <w:lang w:val="es-ES"/>
              </w:rPr>
              <w:t>ent</w:t>
            </w:r>
            <w:r>
              <w:rPr>
                <w:rFonts w:ascii="Calibri" w:hAnsi="Calibri" w:cs="Tahoma"/>
                <w:lang w:val="es-ES"/>
              </w:rPr>
              <w:t xml:space="preserve">e propuesta normativa tiene como objetivo </w:t>
            </w:r>
            <w:r w:rsidR="00A02DB3" w:rsidRPr="00677C62">
              <w:rPr>
                <w:rFonts w:ascii="Calibri" w:hAnsi="Calibri" w:cs="Tahoma"/>
                <w:lang w:val="es-ES"/>
              </w:rPr>
              <w:t xml:space="preserve">regular, de manera </w:t>
            </w:r>
            <w:r w:rsidR="008C3BB9" w:rsidRPr="00677C62">
              <w:rPr>
                <w:rFonts w:ascii="Calibri" w:hAnsi="Calibri" w:cs="Tahoma"/>
                <w:lang w:val="es-ES"/>
              </w:rPr>
              <w:t>integral</w:t>
            </w:r>
            <w:r w:rsidR="00A02DB3" w:rsidRPr="00677C62">
              <w:rPr>
                <w:rFonts w:ascii="Calibri" w:hAnsi="Calibri" w:cs="Tahoma"/>
                <w:lang w:val="es-ES"/>
              </w:rPr>
              <w:t>,</w:t>
            </w:r>
            <w:r w:rsidR="005C03E7" w:rsidRPr="00677C62">
              <w:rPr>
                <w:rFonts w:ascii="Calibri" w:hAnsi="Calibri" w:cs="Tahoma"/>
                <w:lang w:val="es-ES"/>
              </w:rPr>
              <w:t xml:space="preserve"> tanto la adjudicación como</w:t>
            </w:r>
            <w:r w:rsidR="008C3BB9" w:rsidRPr="00677C62">
              <w:rPr>
                <w:rFonts w:ascii="Calibri" w:hAnsi="Calibri" w:cs="Tahoma"/>
                <w:lang w:val="es-ES"/>
              </w:rPr>
              <w:t xml:space="preserve"> la posibilidad de cambio de las viviendas vinculadas a operaciones de realojo de poblados chabolistas e infraviviendas</w:t>
            </w:r>
            <w:r w:rsidR="00A02DB3" w:rsidRPr="00677C62">
              <w:rPr>
                <w:rFonts w:ascii="Calibri" w:hAnsi="Calibri" w:cs="Tahoma"/>
                <w:lang w:val="es-ES"/>
              </w:rPr>
              <w:t xml:space="preserve">, </w:t>
            </w:r>
            <w:r w:rsidR="00D4206A">
              <w:rPr>
                <w:rFonts w:ascii="Calibri" w:hAnsi="Calibri" w:cs="Tahoma"/>
                <w:lang w:val="es-ES"/>
              </w:rPr>
              <w:t>de</w:t>
            </w:r>
            <w:r>
              <w:rPr>
                <w:rFonts w:ascii="Calibri" w:hAnsi="Calibri" w:cs="Tahoma"/>
                <w:lang w:val="es-ES"/>
              </w:rPr>
              <w:t xml:space="preserve"> modo que queden recogidos en la norma al menos los siguientes aspectos</w:t>
            </w:r>
            <w:r w:rsidR="00D4206A">
              <w:rPr>
                <w:rFonts w:ascii="Calibri" w:hAnsi="Calibri" w:cs="Tahoma"/>
                <w:lang w:val="es-ES"/>
              </w:rPr>
              <w:t>:</w:t>
            </w:r>
          </w:p>
          <w:p w:rsidR="005825B4" w:rsidRDefault="005825B4" w:rsidP="00766C8F">
            <w:pPr>
              <w:widowControl/>
              <w:autoSpaceDE/>
              <w:autoSpaceDN/>
              <w:adjustRightInd/>
              <w:jc w:val="both"/>
              <w:rPr>
                <w:rFonts w:ascii="Calibri" w:hAnsi="Calibri" w:cs="Tahoma"/>
                <w:lang w:val="es-ES"/>
              </w:rPr>
            </w:pPr>
          </w:p>
          <w:p w:rsidR="00D4206A" w:rsidRDefault="00D4206A" w:rsidP="00D4206A">
            <w:pPr>
              <w:widowControl/>
              <w:numPr>
                <w:ilvl w:val="0"/>
                <w:numId w:val="4"/>
              </w:numPr>
              <w:autoSpaceDE/>
              <w:autoSpaceDN/>
              <w:adjustRightInd/>
              <w:jc w:val="both"/>
              <w:rPr>
                <w:rFonts w:ascii="Calibri" w:hAnsi="Calibri" w:cs="Tahoma"/>
                <w:lang w:val="es-ES"/>
              </w:rPr>
            </w:pPr>
            <w:r>
              <w:rPr>
                <w:rFonts w:ascii="Calibri" w:hAnsi="Calibri" w:cs="Tahoma"/>
                <w:lang w:val="es-ES"/>
              </w:rPr>
              <w:t xml:space="preserve">Respecto del procedimiento de adjudicación: </w:t>
            </w:r>
          </w:p>
          <w:p w:rsidR="00D4206A" w:rsidRDefault="00D4206A"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Requisitos que debe reunir el solicitante y/o su unidad familiar.</w:t>
            </w:r>
          </w:p>
          <w:p w:rsidR="005825B4" w:rsidRDefault="005825B4"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Determinación del concepto de unidad familiar a estos efectos.</w:t>
            </w:r>
          </w:p>
          <w:p w:rsidR="00D4206A" w:rsidRDefault="00D4206A"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 xml:space="preserve">Documentación </w:t>
            </w:r>
            <w:r w:rsidR="009264ED">
              <w:rPr>
                <w:rFonts w:ascii="Calibri" w:hAnsi="Calibri" w:cs="Tahoma"/>
                <w:lang w:val="es-ES"/>
              </w:rPr>
              <w:t>básica</w:t>
            </w:r>
            <w:r w:rsidR="005825B4">
              <w:rPr>
                <w:rFonts w:ascii="Calibri" w:hAnsi="Calibri" w:cs="Tahoma"/>
                <w:lang w:val="es-ES"/>
              </w:rPr>
              <w:t xml:space="preserve"> </w:t>
            </w:r>
            <w:r>
              <w:rPr>
                <w:rFonts w:ascii="Calibri" w:hAnsi="Calibri" w:cs="Tahoma"/>
                <w:lang w:val="es-ES"/>
              </w:rPr>
              <w:t>que deben aportar los solicitantes.</w:t>
            </w:r>
          </w:p>
          <w:p w:rsidR="00D4206A" w:rsidRDefault="00D4206A"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Adecuación de la vivienda y número de dormitorios a</w:t>
            </w:r>
            <w:r w:rsidR="005825B4">
              <w:rPr>
                <w:rFonts w:ascii="Calibri" w:hAnsi="Calibri" w:cs="Tahoma"/>
                <w:lang w:val="es-ES"/>
              </w:rPr>
              <w:t>l número de miembros de</w:t>
            </w:r>
            <w:r>
              <w:rPr>
                <w:rFonts w:ascii="Calibri" w:hAnsi="Calibri" w:cs="Tahoma"/>
                <w:lang w:val="es-ES"/>
              </w:rPr>
              <w:t xml:space="preserve"> la unidad familiar.</w:t>
            </w:r>
          </w:p>
          <w:p w:rsidR="00D4206A" w:rsidRDefault="005825B4"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Resolución de adjudicación</w:t>
            </w:r>
            <w:r w:rsidR="00D4206A">
              <w:rPr>
                <w:rFonts w:ascii="Calibri" w:hAnsi="Calibri" w:cs="Tahoma"/>
                <w:lang w:val="es-ES"/>
              </w:rPr>
              <w:t xml:space="preserve"> y causas de nulidad de la misma.</w:t>
            </w:r>
          </w:p>
          <w:p w:rsidR="00D4206A" w:rsidRDefault="00D4206A" w:rsidP="00D4206A">
            <w:pPr>
              <w:widowControl/>
              <w:numPr>
                <w:ilvl w:val="0"/>
                <w:numId w:val="5"/>
              </w:numPr>
              <w:autoSpaceDE/>
              <w:autoSpaceDN/>
              <w:adjustRightInd/>
              <w:jc w:val="both"/>
              <w:rPr>
                <w:rFonts w:ascii="Calibri" w:hAnsi="Calibri" w:cs="Tahoma"/>
                <w:lang w:val="es-ES"/>
              </w:rPr>
            </w:pPr>
            <w:r>
              <w:rPr>
                <w:rFonts w:ascii="Calibri" w:hAnsi="Calibri" w:cs="Tahoma"/>
                <w:lang w:val="es-ES"/>
              </w:rPr>
              <w:t xml:space="preserve">Formalización de los contratos y causas de resolución de los mismos. </w:t>
            </w:r>
          </w:p>
          <w:p w:rsidR="005825B4" w:rsidRDefault="005825B4" w:rsidP="005825B4">
            <w:pPr>
              <w:widowControl/>
              <w:autoSpaceDE/>
              <w:autoSpaceDN/>
              <w:adjustRightInd/>
              <w:ind w:left="720"/>
              <w:jc w:val="both"/>
              <w:rPr>
                <w:rFonts w:ascii="Calibri" w:hAnsi="Calibri" w:cs="Tahoma"/>
                <w:lang w:val="es-ES"/>
              </w:rPr>
            </w:pPr>
          </w:p>
          <w:p w:rsidR="00D4206A" w:rsidRDefault="00D4206A" w:rsidP="00D4206A">
            <w:pPr>
              <w:widowControl/>
              <w:numPr>
                <w:ilvl w:val="0"/>
                <w:numId w:val="4"/>
              </w:numPr>
              <w:autoSpaceDE/>
              <w:autoSpaceDN/>
              <w:adjustRightInd/>
              <w:jc w:val="both"/>
              <w:rPr>
                <w:rFonts w:ascii="Calibri" w:hAnsi="Calibri" w:cs="Tahoma"/>
                <w:lang w:val="es-ES"/>
              </w:rPr>
            </w:pPr>
            <w:r>
              <w:rPr>
                <w:rFonts w:ascii="Calibri" w:hAnsi="Calibri" w:cs="Tahoma"/>
                <w:lang w:val="es-ES"/>
              </w:rPr>
              <w:t>Respecto del procedimiento de cambio:</w:t>
            </w:r>
          </w:p>
          <w:p w:rsidR="005825B4" w:rsidRDefault="009A1E46" w:rsidP="00B9501A">
            <w:pPr>
              <w:widowControl/>
              <w:numPr>
                <w:ilvl w:val="0"/>
                <w:numId w:val="5"/>
              </w:numPr>
              <w:autoSpaceDE/>
              <w:autoSpaceDN/>
              <w:adjustRightInd/>
              <w:jc w:val="both"/>
              <w:rPr>
                <w:rFonts w:ascii="Calibri" w:hAnsi="Calibri" w:cs="Tahoma"/>
                <w:lang w:val="es-ES"/>
              </w:rPr>
            </w:pPr>
            <w:r w:rsidRPr="005825B4">
              <w:rPr>
                <w:rFonts w:ascii="Calibri" w:hAnsi="Calibri" w:cs="Tahoma"/>
                <w:lang w:val="es-ES"/>
              </w:rPr>
              <w:t>Causas o motivos que permiten</w:t>
            </w:r>
            <w:r w:rsidR="00D4206A" w:rsidRPr="005825B4">
              <w:rPr>
                <w:rFonts w:ascii="Calibri" w:hAnsi="Calibri" w:cs="Tahoma"/>
                <w:lang w:val="es-ES"/>
              </w:rPr>
              <w:t xml:space="preserve"> solicitar un cambio de vivienda,</w:t>
            </w:r>
            <w:r w:rsidR="005825B4" w:rsidRPr="005825B4">
              <w:rPr>
                <w:rFonts w:ascii="Calibri" w:hAnsi="Calibri" w:cs="Tahoma"/>
                <w:lang w:val="es-ES"/>
              </w:rPr>
              <w:t xml:space="preserve"> ampliando los supuestos justificativos </w:t>
            </w:r>
            <w:r w:rsidRPr="005825B4">
              <w:rPr>
                <w:rFonts w:ascii="Calibri" w:hAnsi="Calibri" w:cs="Tahoma"/>
                <w:lang w:val="es-ES"/>
              </w:rPr>
              <w:t>respecto de l</w:t>
            </w:r>
            <w:r w:rsidR="005825B4" w:rsidRPr="005825B4">
              <w:rPr>
                <w:rFonts w:ascii="Calibri" w:hAnsi="Calibri" w:cs="Tahoma"/>
                <w:lang w:val="es-ES"/>
              </w:rPr>
              <w:t>o</w:t>
            </w:r>
            <w:r w:rsidR="00C61932" w:rsidRPr="005825B4">
              <w:rPr>
                <w:rFonts w:ascii="Calibri" w:hAnsi="Calibri" w:cs="Tahoma"/>
                <w:lang w:val="es-ES"/>
              </w:rPr>
              <w:t>s que se venían cont</w:t>
            </w:r>
            <w:r w:rsidRPr="005825B4">
              <w:rPr>
                <w:rFonts w:ascii="Calibri" w:hAnsi="Calibri" w:cs="Tahoma"/>
                <w:lang w:val="es-ES"/>
              </w:rPr>
              <w:t>emplando en las Instrucciones de la Dirección Gerencia del Organismo</w:t>
            </w:r>
            <w:r w:rsidR="00C61932" w:rsidRPr="005825B4">
              <w:rPr>
                <w:rFonts w:ascii="Calibri" w:hAnsi="Calibri" w:cs="Tahoma"/>
                <w:lang w:val="es-ES"/>
              </w:rPr>
              <w:t xml:space="preserve">, </w:t>
            </w:r>
            <w:r w:rsidR="005825B4" w:rsidRPr="005825B4">
              <w:rPr>
                <w:rFonts w:ascii="Calibri" w:hAnsi="Calibri" w:cs="Tahoma"/>
                <w:lang w:val="es-ES"/>
              </w:rPr>
              <w:t>a fin de que queden equiparado</w:t>
            </w:r>
            <w:r w:rsidR="00C61932" w:rsidRPr="005825B4">
              <w:rPr>
                <w:rFonts w:ascii="Calibri" w:hAnsi="Calibri" w:cs="Tahoma"/>
                <w:lang w:val="es-ES"/>
              </w:rPr>
              <w:t>s a</w:t>
            </w:r>
            <w:r w:rsidRPr="005825B4">
              <w:rPr>
                <w:rFonts w:ascii="Calibri" w:hAnsi="Calibri" w:cs="Tahoma"/>
                <w:lang w:val="es-ES"/>
              </w:rPr>
              <w:t xml:space="preserve"> los supuestos de cambio de adjudicatarios procedentes de</w:t>
            </w:r>
            <w:r w:rsidR="005825B4" w:rsidRPr="005825B4">
              <w:rPr>
                <w:rFonts w:ascii="Calibri" w:hAnsi="Calibri" w:cs="Tahoma"/>
                <w:lang w:val="es-ES"/>
              </w:rPr>
              <w:t>l Cupo de Especial N</w:t>
            </w:r>
            <w:r w:rsidRPr="005825B4">
              <w:rPr>
                <w:rFonts w:ascii="Calibri" w:hAnsi="Calibri" w:cs="Tahoma"/>
                <w:lang w:val="es-ES"/>
              </w:rPr>
              <w:t xml:space="preserve">ecesidad y de Emergencia Social previstos en el Decreto 52/2016, de 31 de mayo, igualando </w:t>
            </w:r>
            <w:r w:rsidR="00C61932" w:rsidRPr="005825B4">
              <w:rPr>
                <w:rFonts w:ascii="Calibri" w:hAnsi="Calibri" w:cs="Tahoma"/>
                <w:lang w:val="es-ES"/>
              </w:rPr>
              <w:t>a este respecto a todos los adj</w:t>
            </w:r>
            <w:r w:rsidR="005825B4">
              <w:rPr>
                <w:rFonts w:ascii="Calibri" w:hAnsi="Calibri" w:cs="Tahoma"/>
                <w:lang w:val="es-ES"/>
              </w:rPr>
              <w:t>udicatarios de vivienda social.</w:t>
            </w:r>
          </w:p>
          <w:p w:rsidR="00C61932" w:rsidRPr="005825B4" w:rsidRDefault="00C61932" w:rsidP="00B9501A">
            <w:pPr>
              <w:widowControl/>
              <w:numPr>
                <w:ilvl w:val="0"/>
                <w:numId w:val="5"/>
              </w:numPr>
              <w:autoSpaceDE/>
              <w:autoSpaceDN/>
              <w:adjustRightInd/>
              <w:jc w:val="both"/>
              <w:rPr>
                <w:rFonts w:ascii="Calibri" w:hAnsi="Calibri" w:cs="Tahoma"/>
                <w:lang w:val="es-ES"/>
              </w:rPr>
            </w:pPr>
            <w:r w:rsidRPr="005825B4">
              <w:rPr>
                <w:rFonts w:ascii="Calibri" w:hAnsi="Calibri" w:cs="Tahoma"/>
                <w:lang w:val="es-ES"/>
              </w:rPr>
              <w:t>Requisitos necesarios para autorizar el cambio.</w:t>
            </w:r>
          </w:p>
          <w:p w:rsidR="00C61932" w:rsidRDefault="00C61932" w:rsidP="00C61932">
            <w:pPr>
              <w:widowControl/>
              <w:numPr>
                <w:ilvl w:val="0"/>
                <w:numId w:val="5"/>
              </w:numPr>
              <w:autoSpaceDE/>
              <w:autoSpaceDN/>
              <w:adjustRightInd/>
              <w:jc w:val="both"/>
              <w:rPr>
                <w:rFonts w:ascii="Calibri" w:hAnsi="Calibri" w:cs="Tahoma"/>
                <w:lang w:val="es-ES"/>
              </w:rPr>
            </w:pPr>
            <w:r>
              <w:rPr>
                <w:rFonts w:ascii="Calibri" w:hAnsi="Calibri" w:cs="Tahoma"/>
                <w:lang w:val="es-ES"/>
              </w:rPr>
              <w:t>Documentación que deben aportar los solicitantes</w:t>
            </w:r>
            <w:r w:rsidR="00F61708">
              <w:rPr>
                <w:rFonts w:ascii="Calibri" w:hAnsi="Calibri" w:cs="Tahoma"/>
                <w:lang w:val="es-ES"/>
              </w:rPr>
              <w:t>.</w:t>
            </w:r>
          </w:p>
          <w:p w:rsidR="00F61708" w:rsidRPr="00F61708" w:rsidRDefault="00F61708" w:rsidP="00F61708">
            <w:pPr>
              <w:widowControl/>
              <w:numPr>
                <w:ilvl w:val="0"/>
                <w:numId w:val="5"/>
              </w:numPr>
              <w:autoSpaceDE/>
              <w:autoSpaceDN/>
              <w:adjustRightInd/>
              <w:jc w:val="both"/>
              <w:rPr>
                <w:rFonts w:ascii="Calibri" w:hAnsi="Calibri" w:cs="Tahoma"/>
                <w:lang w:val="es-ES"/>
              </w:rPr>
            </w:pPr>
            <w:r w:rsidRPr="00F61708">
              <w:rPr>
                <w:rFonts w:ascii="Calibri" w:hAnsi="Calibri" w:cs="Tahoma"/>
                <w:lang w:val="es-ES"/>
              </w:rPr>
              <w:lastRenderedPageBreak/>
              <w:t>Adecuación de la vivienda y número de dormitorios a la unidad familiar.</w:t>
            </w:r>
          </w:p>
          <w:p w:rsidR="00BF7C59" w:rsidRDefault="00BF7C59" w:rsidP="00C61932">
            <w:pPr>
              <w:widowControl/>
              <w:numPr>
                <w:ilvl w:val="0"/>
                <w:numId w:val="5"/>
              </w:numPr>
              <w:autoSpaceDE/>
              <w:autoSpaceDN/>
              <w:adjustRightInd/>
              <w:jc w:val="both"/>
              <w:rPr>
                <w:rFonts w:ascii="Calibri" w:hAnsi="Calibri" w:cs="Tahoma"/>
                <w:lang w:val="es-ES"/>
              </w:rPr>
            </w:pPr>
            <w:r>
              <w:rPr>
                <w:rFonts w:ascii="Calibri" w:hAnsi="Calibri" w:cs="Tahoma"/>
                <w:lang w:val="es-ES"/>
              </w:rPr>
              <w:t>Determinación de las circunstancias a valorar a efectos de la b</w:t>
            </w:r>
            <w:r w:rsidR="00F61708">
              <w:rPr>
                <w:rFonts w:ascii="Calibri" w:hAnsi="Calibri" w:cs="Tahoma"/>
                <w:lang w:val="es-ES"/>
              </w:rPr>
              <w:t>aremación de las solicitudes</w:t>
            </w:r>
            <w:r w:rsidR="005825B4">
              <w:rPr>
                <w:rFonts w:ascii="Calibri" w:hAnsi="Calibri" w:cs="Tahoma"/>
                <w:lang w:val="es-ES"/>
              </w:rPr>
              <w:t xml:space="preserve"> (composición familiar, violencia de género y situaciones análogas, discapacidad, dependencia, accesibilidad etc)</w:t>
            </w:r>
            <w:r>
              <w:rPr>
                <w:rFonts w:ascii="Calibri" w:hAnsi="Calibri" w:cs="Tahoma"/>
                <w:lang w:val="es-ES"/>
              </w:rPr>
              <w:t>.</w:t>
            </w:r>
          </w:p>
          <w:p w:rsidR="00F61708" w:rsidRPr="00677C62" w:rsidRDefault="00BF7C59" w:rsidP="00BF7C59">
            <w:pPr>
              <w:widowControl/>
              <w:numPr>
                <w:ilvl w:val="0"/>
                <w:numId w:val="5"/>
              </w:numPr>
              <w:autoSpaceDE/>
              <w:autoSpaceDN/>
              <w:adjustRightInd/>
              <w:jc w:val="both"/>
              <w:rPr>
                <w:rFonts w:ascii="Calibri" w:hAnsi="Calibri" w:cs="Tahoma"/>
                <w:lang w:val="es-ES"/>
              </w:rPr>
            </w:pPr>
            <w:r>
              <w:rPr>
                <w:rFonts w:ascii="Calibri" w:hAnsi="Calibri" w:cs="Tahoma"/>
                <w:lang w:val="es-ES"/>
              </w:rPr>
              <w:t>Resolución y e</w:t>
            </w:r>
            <w:r w:rsidR="00F61708">
              <w:rPr>
                <w:rFonts w:ascii="Calibri" w:hAnsi="Calibri" w:cs="Tahoma"/>
                <w:lang w:val="es-ES"/>
              </w:rPr>
              <w:t xml:space="preserve">fectos de la aceptación o renuncia del cambio autorizado. </w:t>
            </w:r>
          </w:p>
        </w:tc>
      </w:tr>
      <w:tr w:rsidR="00766C8F" w:rsidRPr="00766C8F" w:rsidTr="00BE727A">
        <w:tc>
          <w:tcPr>
            <w:tcW w:w="8644" w:type="dxa"/>
            <w:shd w:val="clear" w:color="auto" w:fill="F2F2F2"/>
          </w:tcPr>
          <w:p w:rsidR="00766C8F" w:rsidRPr="00677C62" w:rsidRDefault="00766C8F" w:rsidP="00766C8F">
            <w:pPr>
              <w:widowControl/>
              <w:autoSpaceDE/>
              <w:autoSpaceDN/>
              <w:adjustRightInd/>
              <w:jc w:val="both"/>
              <w:rPr>
                <w:rFonts w:ascii="Calibri" w:hAnsi="Calibri" w:cs="Tahoma"/>
                <w:b/>
                <w:lang w:val="es-ES"/>
              </w:rPr>
            </w:pPr>
            <w:r w:rsidRPr="00677C62">
              <w:rPr>
                <w:rFonts w:ascii="Calibri" w:hAnsi="Calibri" w:cs="Tahoma"/>
                <w:b/>
                <w:lang w:val="es-ES"/>
              </w:rPr>
              <w:lastRenderedPageBreak/>
              <w:t>Posibles soluciones alternativas</w:t>
            </w:r>
          </w:p>
        </w:tc>
      </w:tr>
      <w:tr w:rsidR="00766C8F" w:rsidRPr="00766C8F" w:rsidTr="00BE727A">
        <w:trPr>
          <w:cantSplit/>
        </w:trPr>
        <w:tc>
          <w:tcPr>
            <w:tcW w:w="8644" w:type="dxa"/>
            <w:shd w:val="clear" w:color="auto" w:fill="auto"/>
          </w:tcPr>
          <w:p w:rsidR="00766C8F" w:rsidRPr="00677C62" w:rsidRDefault="00EA2990" w:rsidP="00766C8F">
            <w:pPr>
              <w:widowControl/>
              <w:autoSpaceDE/>
              <w:autoSpaceDN/>
              <w:adjustRightInd/>
              <w:jc w:val="both"/>
              <w:rPr>
                <w:rFonts w:ascii="Calibri" w:hAnsi="Calibri" w:cs="Tahoma"/>
                <w:lang w:val="es-ES"/>
              </w:rPr>
            </w:pPr>
            <w:r w:rsidRPr="00677C62">
              <w:rPr>
                <w:rFonts w:ascii="Calibri" w:hAnsi="Calibri" w:cs="Tahoma"/>
                <w:lang w:val="es-ES"/>
              </w:rPr>
              <w:t>La presente propuesta normativa se realiza en cumplimiento del mandato de regulación prevista en la Disposición Final Segunda del Decreto 52/2016, de 31 de mayo</w:t>
            </w:r>
            <w:r w:rsidR="005C03E7" w:rsidRPr="00677C62">
              <w:rPr>
                <w:rFonts w:ascii="Calibri" w:hAnsi="Calibri" w:cs="Tahoma"/>
                <w:lang w:val="es-ES"/>
              </w:rPr>
              <w:t>, y en atención de</w:t>
            </w:r>
            <w:r w:rsidRPr="00677C62">
              <w:rPr>
                <w:rFonts w:ascii="Calibri" w:hAnsi="Calibri" w:cs="Tahoma"/>
                <w:lang w:val="es-ES"/>
              </w:rPr>
              <w:t xml:space="preserve"> la recomendación de regulación de la materia formulada por el Defensor del Pueblo, por lo que no se plantean otras alternativas.</w:t>
            </w:r>
          </w:p>
        </w:tc>
      </w:tr>
    </w:tbl>
    <w:p w:rsidR="005C03E7" w:rsidRDefault="005C03E7" w:rsidP="008E5E8C">
      <w:pPr>
        <w:widowControl/>
        <w:autoSpaceDE/>
        <w:autoSpaceDN/>
        <w:adjustRightInd/>
        <w:jc w:val="both"/>
        <w:rPr>
          <w:rFonts w:ascii="Calibri" w:hAnsi="Calibri" w:cs="Tahoma"/>
          <w:b/>
          <w:lang w:val="es-ES"/>
        </w:rPr>
      </w:pPr>
    </w:p>
    <w:p w:rsidR="004A4F3C" w:rsidRDefault="004A4F3C" w:rsidP="005C03E7">
      <w:pPr>
        <w:widowControl/>
        <w:autoSpaceDE/>
        <w:autoSpaceDN/>
        <w:adjustRightInd/>
        <w:jc w:val="center"/>
        <w:rPr>
          <w:rFonts w:ascii="Calibri" w:hAnsi="Calibri" w:cs="Tahoma"/>
          <w:lang w:val="es-ES"/>
        </w:rPr>
      </w:pPr>
    </w:p>
    <w:p w:rsidR="005C03E7" w:rsidRDefault="005C03E7" w:rsidP="005C03E7">
      <w:pPr>
        <w:widowControl/>
        <w:autoSpaceDE/>
        <w:autoSpaceDN/>
        <w:adjustRightInd/>
        <w:jc w:val="center"/>
        <w:rPr>
          <w:rFonts w:ascii="Calibri" w:hAnsi="Calibri" w:cs="Tahoma"/>
          <w:lang w:val="es-ES"/>
        </w:rPr>
      </w:pPr>
      <w:r>
        <w:rPr>
          <w:rFonts w:ascii="Calibri" w:hAnsi="Calibri" w:cs="Tahoma"/>
          <w:lang w:val="es-ES"/>
        </w:rPr>
        <w:t>En Madrid, a la fecha de la firma</w:t>
      </w:r>
    </w:p>
    <w:p w:rsidR="005C03E7" w:rsidRDefault="005C03E7" w:rsidP="005C03E7">
      <w:pPr>
        <w:widowControl/>
        <w:autoSpaceDE/>
        <w:autoSpaceDN/>
        <w:adjustRightInd/>
        <w:jc w:val="center"/>
        <w:rPr>
          <w:rFonts w:ascii="Calibri" w:hAnsi="Calibri" w:cs="Tahoma"/>
          <w:lang w:val="es-ES"/>
        </w:rPr>
      </w:pPr>
    </w:p>
    <w:p w:rsidR="005C03E7" w:rsidRDefault="005C03E7" w:rsidP="005C03E7">
      <w:pPr>
        <w:widowControl/>
        <w:autoSpaceDE/>
        <w:autoSpaceDN/>
        <w:adjustRightInd/>
        <w:jc w:val="center"/>
        <w:rPr>
          <w:rFonts w:ascii="Calibri" w:hAnsi="Calibri" w:cs="Tahoma"/>
          <w:lang w:val="es-ES"/>
        </w:rPr>
      </w:pPr>
      <w:r>
        <w:rPr>
          <w:rFonts w:ascii="Calibri" w:hAnsi="Calibri" w:cs="Tahoma"/>
          <w:lang w:val="es-ES"/>
        </w:rPr>
        <w:t>LA DIRECTORA GERENTE DE LA AGENCIA DE VIVIENDA SOCIAL</w:t>
      </w:r>
    </w:p>
    <w:p w:rsidR="005C03E7" w:rsidRDefault="005C03E7" w:rsidP="000C7414">
      <w:pPr>
        <w:widowControl/>
        <w:autoSpaceDE/>
        <w:autoSpaceDN/>
        <w:adjustRightInd/>
        <w:rPr>
          <w:rFonts w:ascii="Calibri" w:hAnsi="Calibri" w:cs="Tahoma"/>
          <w:lang w:val="es-ES"/>
        </w:rPr>
      </w:pPr>
    </w:p>
    <w:p w:rsidR="005C03E7" w:rsidRDefault="005C03E7" w:rsidP="005C03E7">
      <w:pPr>
        <w:widowControl/>
        <w:autoSpaceDE/>
        <w:autoSpaceDN/>
        <w:adjustRightInd/>
        <w:jc w:val="center"/>
        <w:rPr>
          <w:rFonts w:ascii="Calibri" w:hAnsi="Calibri" w:cs="Tahoma"/>
          <w:lang w:val="es-ES"/>
        </w:rPr>
      </w:pPr>
    </w:p>
    <w:p w:rsidR="005C03E7" w:rsidRDefault="005C03E7" w:rsidP="005C03E7">
      <w:pPr>
        <w:widowControl/>
        <w:autoSpaceDE/>
        <w:autoSpaceDN/>
        <w:adjustRightInd/>
        <w:jc w:val="center"/>
        <w:rPr>
          <w:rFonts w:ascii="Calibri" w:hAnsi="Calibri" w:cs="Tahoma"/>
          <w:lang w:val="es-ES"/>
        </w:rPr>
      </w:pPr>
    </w:p>
    <w:p w:rsidR="005C03E7" w:rsidRPr="005C03E7" w:rsidRDefault="005C03E7" w:rsidP="005C03E7">
      <w:pPr>
        <w:widowControl/>
        <w:autoSpaceDE/>
        <w:autoSpaceDN/>
        <w:adjustRightInd/>
        <w:jc w:val="center"/>
        <w:rPr>
          <w:rFonts w:ascii="Calibri" w:hAnsi="Calibri" w:cs="Tahoma"/>
          <w:lang w:val="es-ES"/>
        </w:rPr>
      </w:pPr>
      <w:r>
        <w:rPr>
          <w:rFonts w:ascii="Calibri" w:hAnsi="Calibri" w:cs="Tahoma"/>
          <w:lang w:val="es-ES"/>
        </w:rPr>
        <w:t>Fdo.: Isabel Pinilla Albarrán</w:t>
      </w:r>
    </w:p>
    <w:sectPr w:rsidR="005C03E7" w:rsidRPr="005C03E7" w:rsidSect="001C2FF8">
      <w:headerReference w:type="default" r:id="rId8"/>
      <w:footerReference w:type="default" r:id="rId9"/>
      <w:pgSz w:w="11905" w:h="16837"/>
      <w:pgMar w:top="1560" w:right="1440" w:bottom="1440" w:left="1440" w:header="851"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DA" w:rsidRDefault="008868DA">
      <w:r>
        <w:separator/>
      </w:r>
    </w:p>
  </w:endnote>
  <w:endnote w:type="continuationSeparator" w:id="0">
    <w:p w:rsidR="008868DA" w:rsidRDefault="008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CF9" w:rsidRPr="00A95CF9" w:rsidRDefault="00513773">
    <w:pPr>
      <w:pStyle w:val="Piedepgina"/>
      <w:rPr>
        <w:lang w:val="es-ES"/>
      </w:rPr>
    </w:pPr>
    <w:r>
      <w:rPr>
        <w:noProof/>
        <w:lang w:val="es-ES"/>
      </w:rPr>
      <mc:AlternateContent>
        <mc:Choice Requires="wps">
          <w:drawing>
            <wp:anchor distT="0" distB="0" distL="114300" distR="114300" simplePos="0" relativeHeight="251658752" behindDoc="0" locked="0" layoutInCell="1" allowOverlap="1">
              <wp:simplePos x="0" y="0"/>
              <wp:positionH relativeFrom="column">
                <wp:posOffset>-449580</wp:posOffset>
              </wp:positionH>
              <wp:positionV relativeFrom="paragraph">
                <wp:posOffset>-454660</wp:posOffset>
              </wp:positionV>
              <wp:extent cx="2292350" cy="55499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54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CF9" w:rsidRPr="00A95CF9" w:rsidRDefault="00A95CF9">
                          <w:pPr>
                            <w:rPr>
                              <w:rFonts w:ascii="Arial" w:hAnsi="Arial" w:cs="Arial"/>
                              <w:sz w:val="16"/>
                              <w:szCs w:val="16"/>
                            </w:rPr>
                          </w:pPr>
                          <w:r w:rsidRPr="00A95CF9">
                            <w:rPr>
                              <w:rFonts w:ascii="Arial" w:hAnsi="Arial" w:cs="Arial"/>
                              <w:sz w:val="16"/>
                              <w:szCs w:val="16"/>
                            </w:rPr>
                            <w:t>Basílica, 23</w:t>
                          </w:r>
                        </w:p>
                        <w:p w:rsidR="00A95CF9" w:rsidRPr="00A95CF9" w:rsidRDefault="00A95CF9">
                          <w:pPr>
                            <w:rPr>
                              <w:rFonts w:ascii="Arial" w:hAnsi="Arial" w:cs="Arial"/>
                              <w:sz w:val="16"/>
                              <w:szCs w:val="16"/>
                            </w:rPr>
                          </w:pPr>
                          <w:r w:rsidRPr="00A95CF9">
                            <w:rPr>
                              <w:rFonts w:ascii="Arial" w:hAnsi="Arial" w:cs="Arial"/>
                              <w:sz w:val="16"/>
                              <w:szCs w:val="16"/>
                            </w:rPr>
                            <w:t>28020 Madrid</w:t>
                          </w:r>
                        </w:p>
                        <w:p w:rsidR="00A95CF9" w:rsidRPr="00A95CF9" w:rsidRDefault="00A95CF9">
                          <w:pPr>
                            <w:rPr>
                              <w:rFonts w:ascii="Arial" w:hAnsi="Arial" w:cs="Arial"/>
                              <w:sz w:val="16"/>
                              <w:szCs w:val="16"/>
                            </w:rPr>
                          </w:pPr>
                          <w:r w:rsidRPr="00A95CF9">
                            <w:rPr>
                              <w:rFonts w:ascii="Arial" w:hAnsi="Arial" w:cs="Arial"/>
                              <w:sz w:val="16"/>
                              <w:szCs w:val="16"/>
                            </w:rPr>
                            <w:t>Teléfono 915 809 100</w:t>
                          </w:r>
                        </w:p>
                        <w:p w:rsidR="00A95CF9" w:rsidRPr="00A95CF9" w:rsidRDefault="00A95CF9">
                          <w:pPr>
                            <w:rPr>
                              <w:rFonts w:ascii="Arial" w:hAnsi="Arial" w:cs="Arial"/>
                              <w:sz w:val="16"/>
                              <w:szCs w:val="16"/>
                              <w:lang w:val="es-ES"/>
                            </w:rPr>
                          </w:pPr>
                          <w:r w:rsidRPr="00A95CF9">
                            <w:rPr>
                              <w:rFonts w:ascii="Arial" w:hAnsi="Arial" w:cs="Arial"/>
                              <w:sz w:val="16"/>
                              <w:szCs w:val="16"/>
                            </w:rPr>
                            <w:t>Fax 915 809 199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5.4pt;margin-top:-35.8pt;width:180.5pt;height:43.7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" stroked="f">
              <v:textbox style="mso-fit-shape-to-text:t">
                <w:txbxContent>
                  <w:p w:rsidR="00A95CF9" w:rsidRPr="00A95CF9" w:rsidRDefault="00A95CF9">
                    <w:pPr>
                      <w:rPr>
                        <w:rFonts w:ascii="Arial" w:hAnsi="Arial" w:cs="Arial"/>
                        <w:sz w:val="16"/>
                        <w:szCs w:val="16"/>
                      </w:rPr>
                    </w:pPr>
                    <w:r w:rsidRPr="00A95CF9">
                      <w:rPr>
                        <w:rFonts w:ascii="Arial" w:hAnsi="Arial" w:cs="Arial"/>
                        <w:sz w:val="16"/>
                        <w:szCs w:val="16"/>
                      </w:rPr>
                      <w:t>Basílica, 23</w:t>
                    </w:r>
                  </w:p>
                  <w:p w:rsidR="00A95CF9" w:rsidRPr="00A95CF9" w:rsidRDefault="00A95CF9">
                    <w:pPr>
                      <w:rPr>
                        <w:rFonts w:ascii="Arial" w:hAnsi="Arial" w:cs="Arial"/>
                        <w:sz w:val="16"/>
                        <w:szCs w:val="16"/>
                      </w:rPr>
                    </w:pPr>
                    <w:r w:rsidRPr="00A95CF9">
                      <w:rPr>
                        <w:rFonts w:ascii="Arial" w:hAnsi="Arial" w:cs="Arial"/>
                        <w:sz w:val="16"/>
                        <w:szCs w:val="16"/>
                      </w:rPr>
                      <w:t>28020 Madrid</w:t>
                    </w:r>
                  </w:p>
                  <w:p w:rsidR="00A95CF9" w:rsidRPr="00A95CF9" w:rsidRDefault="00A95CF9">
                    <w:pPr>
                      <w:rPr>
                        <w:rFonts w:ascii="Arial" w:hAnsi="Arial" w:cs="Arial"/>
                        <w:sz w:val="16"/>
                        <w:szCs w:val="16"/>
                      </w:rPr>
                    </w:pPr>
                    <w:r w:rsidRPr="00A95CF9">
                      <w:rPr>
                        <w:rFonts w:ascii="Arial" w:hAnsi="Arial" w:cs="Arial"/>
                        <w:sz w:val="16"/>
                        <w:szCs w:val="16"/>
                      </w:rPr>
                      <w:t>Teléfono 915 809 100</w:t>
                    </w:r>
                  </w:p>
                  <w:p w:rsidR="00A95CF9" w:rsidRPr="00A95CF9" w:rsidRDefault="00A95CF9">
                    <w:pPr>
                      <w:rPr>
                        <w:rFonts w:ascii="Arial" w:hAnsi="Arial" w:cs="Arial"/>
                        <w:sz w:val="16"/>
                        <w:szCs w:val="16"/>
                        <w:lang w:val="es-ES"/>
                      </w:rPr>
                    </w:pPr>
                    <w:r w:rsidRPr="00A95CF9">
                      <w:rPr>
                        <w:rFonts w:ascii="Arial" w:hAnsi="Arial" w:cs="Arial"/>
                        <w:sz w:val="16"/>
                        <w:szCs w:val="16"/>
                      </w:rPr>
                      <w:t>Fax 915 809 199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DA" w:rsidRDefault="008868DA">
      <w:r>
        <w:separator/>
      </w:r>
    </w:p>
  </w:footnote>
  <w:footnote w:type="continuationSeparator" w:id="0">
    <w:p w:rsidR="008868DA" w:rsidRDefault="0088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F9" w:rsidRPr="001800F3" w:rsidRDefault="00513773" w:rsidP="001800F3">
    <w:pPr>
      <w:rPr>
        <w:rFonts w:ascii="Arial" w:hAnsi="Arial" w:cs="Arial"/>
        <w:color w:val="808080"/>
        <w:sz w:val="14"/>
        <w:szCs w:val="14"/>
        <w:lang w:val="es-ES"/>
      </w:rPr>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-91440</wp:posOffset>
              </wp:positionH>
              <wp:positionV relativeFrom="paragraph">
                <wp:posOffset>-93345</wp:posOffset>
              </wp:positionV>
              <wp:extent cx="2292350" cy="2355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DF6" w:rsidRPr="001F6DF6" w:rsidRDefault="001F6DF6">
                          <w:pPr>
                            <w:rPr>
                              <w:lang w:val="es-ES"/>
                            </w:rPr>
                          </w:pPr>
                          <w:r>
                            <w:rPr>
                              <w:rFonts w:ascii="Arial" w:hAnsi="Arial" w:cs="Arial"/>
                              <w:color w:val="808080"/>
                              <w:sz w:val="14"/>
                              <w:szCs w:val="14"/>
                              <w:lang w:val="es-ES"/>
                            </w:rPr>
                            <w:t>Agencia de Vivienda Socia</w:t>
                          </w:r>
                          <w:r w:rsidR="00895F36">
                            <w:rPr>
                              <w:rFonts w:ascii="Arial" w:hAnsi="Arial" w:cs="Arial"/>
                              <w:color w:val="808080"/>
                              <w:sz w:val="14"/>
                              <w:szCs w:val="14"/>
                              <w:lang w:val="es-ES"/>
                            </w:rPr>
                            <w:t>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2pt;margin-top:-7.35pt;width:180.5pt;height:18.5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2FuQIAAMA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" filled="f" stroked="f">
              <v:textbox>
                <w:txbxContent>
                  <w:p w:rsidR="001F6DF6" w:rsidRPr="001F6DF6" w:rsidRDefault="001F6DF6">
                    <w:pPr>
                      <w:rPr>
                        <w:lang w:val="es-ES"/>
                      </w:rPr>
                    </w:pPr>
                    <w:r>
                      <w:rPr>
                        <w:rFonts w:ascii="Arial" w:hAnsi="Arial" w:cs="Arial"/>
                        <w:color w:val="808080"/>
                        <w:sz w:val="14"/>
                        <w:szCs w:val="14"/>
                        <w:lang w:val="es-ES"/>
                      </w:rPr>
                      <w:t>Agencia de Vivienda Socia</w:t>
                    </w:r>
                    <w:r w:rsidR="00895F36">
                      <w:rPr>
                        <w:rFonts w:ascii="Arial" w:hAnsi="Arial" w:cs="Arial"/>
                        <w:color w:val="808080"/>
                        <w:sz w:val="14"/>
                        <w:szCs w:val="14"/>
                        <w:lang w:val="es-ES"/>
                      </w:rPr>
                      <w:t>l</w:t>
                    </w:r>
                  </w:p>
                </w:txbxContent>
              </v:textbox>
            </v:shape>
          </w:pict>
        </mc:Fallback>
      </mc:AlternateContent>
    </w:r>
    <w:r>
      <w:rPr>
        <w:noProof/>
        <w:lang w:val="es-ES"/>
      </w:rPr>
      <w:drawing>
        <wp:anchor distT="0" distB="0" distL="114300" distR="114300" simplePos="0" relativeHeight="251656704" behindDoc="0" locked="0" layoutInCell="1" allowOverlap="1">
          <wp:simplePos x="0" y="0"/>
          <wp:positionH relativeFrom="column">
            <wp:posOffset>-805815</wp:posOffset>
          </wp:positionH>
          <wp:positionV relativeFrom="paragraph">
            <wp:posOffset>-194945</wp:posOffset>
          </wp:positionV>
          <wp:extent cx="752475" cy="53276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DF6">
      <w:rPr>
        <w:rFonts w:ascii="Arial" w:hAnsi="Arial" w:cs="Arial"/>
        <w:color w:val="808080"/>
        <w:sz w:val="14"/>
        <w:szCs w:val="14"/>
        <w:lang w:val="es-ES"/>
      </w:rPr>
      <w:t xml:space="preserve"> </w:t>
    </w:r>
  </w:p>
  <w:p w:rsidR="003741F9" w:rsidRPr="001800F3" w:rsidRDefault="003741F9" w:rsidP="001800F3">
    <w:pPr>
      <w:rPr>
        <w:rFonts w:ascii="Arial" w:hAnsi="Arial" w:cs="Arial"/>
        <w:color w:val="808080"/>
        <w:sz w:val="14"/>
        <w:szCs w:val="14"/>
        <w:lang w:val="es-ES"/>
      </w:rPr>
    </w:pPr>
    <w:r w:rsidRPr="001800F3">
      <w:rPr>
        <w:rFonts w:ascii="Arial" w:hAnsi="Arial" w:cs="Arial"/>
        <w:color w:val="808080"/>
        <w:sz w:val="14"/>
        <w:szCs w:val="14"/>
        <w:lang w:val="es-ES"/>
      </w:rPr>
      <w:t xml:space="preserve">CONSEJERÍA DE TRANSPORTES, </w:t>
    </w:r>
  </w:p>
  <w:p w:rsidR="003741F9" w:rsidRPr="001800F3" w:rsidRDefault="003741F9" w:rsidP="001800F3">
    <w:pPr>
      <w:rPr>
        <w:rFonts w:ascii="Arial" w:hAnsi="Arial" w:cs="Arial"/>
        <w:color w:val="808080"/>
        <w:sz w:val="14"/>
        <w:szCs w:val="14"/>
        <w:lang w:val="es-ES"/>
      </w:rPr>
    </w:pPr>
    <w:r w:rsidRPr="001800F3">
      <w:rPr>
        <w:rFonts w:ascii="Arial" w:hAnsi="Arial" w:cs="Arial"/>
        <w:color w:val="808080"/>
        <w:sz w:val="14"/>
        <w:szCs w:val="14"/>
        <w:lang w:val="es-ES"/>
      </w:rPr>
      <w:t>VIVIENDA</w:t>
    </w:r>
    <w:r w:rsidR="001F6DF6">
      <w:rPr>
        <w:rFonts w:ascii="Arial" w:hAnsi="Arial" w:cs="Arial"/>
        <w:color w:val="808080"/>
        <w:sz w:val="14"/>
        <w:szCs w:val="14"/>
        <w:lang w:val="es-ES"/>
      </w:rPr>
      <w:t xml:space="preserve"> E INFRAESTRUCTURAS</w:t>
    </w:r>
  </w:p>
  <w:p w:rsidR="003741F9" w:rsidRDefault="003741F9" w:rsidP="00B90767">
    <w:pPr>
      <w:ind w:left="-709"/>
      <w:rPr>
        <w:rFonts w:ascii="Arial Black" w:hAnsi="Arial Black" w:cs="Arial"/>
        <w:b/>
        <w:color w:val="808080"/>
        <w:spacing w:val="20"/>
        <w:lang w:val="es-ES"/>
      </w:rPr>
    </w:pPr>
    <w:r w:rsidRPr="001F6DF6">
      <w:rPr>
        <w:rFonts w:ascii="Arial Black" w:hAnsi="Arial Black" w:cs="Arial"/>
        <w:b/>
        <w:color w:val="808080"/>
        <w:spacing w:val="20"/>
        <w:lang w:val="es-ES"/>
      </w:rPr>
      <w:t>Comunidad de 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81B7B"/>
    <w:multiLevelType w:val="hybridMultilevel"/>
    <w:tmpl w:val="7E422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1D3728"/>
    <w:multiLevelType w:val="hybridMultilevel"/>
    <w:tmpl w:val="7796542E"/>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2">
    <w:nsid w:val="4FB17F9B"/>
    <w:multiLevelType w:val="hybridMultilevel"/>
    <w:tmpl w:val="9AAE7C26"/>
    <w:lvl w:ilvl="0" w:tplc="A30A6A32">
      <w:start w:val="1"/>
      <w:numFmt w:val="bullet"/>
      <w:lvlText w:val="-"/>
      <w:lvlJc w:val="left"/>
      <w:pPr>
        <w:ind w:left="720" w:hanging="360"/>
      </w:pPr>
      <w:rPr>
        <w:rFonts w:ascii="Calibri" w:eastAsia="Times New Roman" w:hAnsi="Calibri"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E3611E6"/>
    <w:multiLevelType w:val="hybridMultilevel"/>
    <w:tmpl w:val="B1B4FC92"/>
    <w:lvl w:ilvl="0" w:tplc="663A4612">
      <w:start w:val="1"/>
      <w:numFmt w:val="bullet"/>
      <w:lvlText w:val=""/>
      <w:lvlJc w:val="left"/>
      <w:pPr>
        <w:tabs>
          <w:tab w:val="num" w:pos="1914"/>
        </w:tabs>
        <w:ind w:left="1914" w:hanging="227"/>
      </w:pPr>
      <w:rPr>
        <w:rFonts w:ascii="Wingdings" w:hAnsi="Wingdings"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
    <w:nsid w:val="764C0F9D"/>
    <w:multiLevelType w:val="hybridMultilevel"/>
    <w:tmpl w:val="FD926BA0"/>
    <w:lvl w:ilvl="0" w:tplc="79042378">
      <w:numFmt w:val="bullet"/>
      <w:lvlText w:val="-"/>
      <w:lvlJc w:val="left"/>
      <w:pPr>
        <w:ind w:left="720" w:hanging="360"/>
      </w:pPr>
      <w:rPr>
        <w:rFonts w:ascii="Calibri" w:eastAsia="Times New Roman" w:hAnsi="Calibri"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B0"/>
    <w:rsid w:val="000217C2"/>
    <w:rsid w:val="00046B13"/>
    <w:rsid w:val="00050E31"/>
    <w:rsid w:val="0005244F"/>
    <w:rsid w:val="00061EFE"/>
    <w:rsid w:val="00064571"/>
    <w:rsid w:val="000B754D"/>
    <w:rsid w:val="000C6175"/>
    <w:rsid w:val="000C7414"/>
    <w:rsid w:val="000F52E9"/>
    <w:rsid w:val="00101D60"/>
    <w:rsid w:val="001038BE"/>
    <w:rsid w:val="00131398"/>
    <w:rsid w:val="0014190D"/>
    <w:rsid w:val="00151625"/>
    <w:rsid w:val="00152D94"/>
    <w:rsid w:val="0017585F"/>
    <w:rsid w:val="00176400"/>
    <w:rsid w:val="001800F3"/>
    <w:rsid w:val="00183996"/>
    <w:rsid w:val="0019310F"/>
    <w:rsid w:val="00196461"/>
    <w:rsid w:val="001A0B10"/>
    <w:rsid w:val="001C2FF8"/>
    <w:rsid w:val="001F6DF6"/>
    <w:rsid w:val="00201168"/>
    <w:rsid w:val="00201F72"/>
    <w:rsid w:val="00212A50"/>
    <w:rsid w:val="00226322"/>
    <w:rsid w:val="00231C88"/>
    <w:rsid w:val="00242F0B"/>
    <w:rsid w:val="00266C4B"/>
    <w:rsid w:val="00281817"/>
    <w:rsid w:val="002A7622"/>
    <w:rsid w:val="002E22F6"/>
    <w:rsid w:val="002E69B4"/>
    <w:rsid w:val="0030508B"/>
    <w:rsid w:val="00321058"/>
    <w:rsid w:val="00326481"/>
    <w:rsid w:val="00343C18"/>
    <w:rsid w:val="0036736A"/>
    <w:rsid w:val="003720C9"/>
    <w:rsid w:val="003741F9"/>
    <w:rsid w:val="00393C5E"/>
    <w:rsid w:val="003B1759"/>
    <w:rsid w:val="003C1EC2"/>
    <w:rsid w:val="003C72D9"/>
    <w:rsid w:val="003D5B16"/>
    <w:rsid w:val="003E23EB"/>
    <w:rsid w:val="003F41F6"/>
    <w:rsid w:val="003F5BE2"/>
    <w:rsid w:val="00403AB5"/>
    <w:rsid w:val="00425EEA"/>
    <w:rsid w:val="0043325F"/>
    <w:rsid w:val="0043370A"/>
    <w:rsid w:val="004436CE"/>
    <w:rsid w:val="00443D26"/>
    <w:rsid w:val="00447FDC"/>
    <w:rsid w:val="00454B8D"/>
    <w:rsid w:val="0046579F"/>
    <w:rsid w:val="004712CE"/>
    <w:rsid w:val="00490DC2"/>
    <w:rsid w:val="00492075"/>
    <w:rsid w:val="004965CF"/>
    <w:rsid w:val="004A4F3C"/>
    <w:rsid w:val="004C4124"/>
    <w:rsid w:val="004C6B8F"/>
    <w:rsid w:val="005104F3"/>
    <w:rsid w:val="00510950"/>
    <w:rsid w:val="00513773"/>
    <w:rsid w:val="005203F3"/>
    <w:rsid w:val="0054577A"/>
    <w:rsid w:val="00546816"/>
    <w:rsid w:val="005711D0"/>
    <w:rsid w:val="005763D3"/>
    <w:rsid w:val="00576DCE"/>
    <w:rsid w:val="00577913"/>
    <w:rsid w:val="005825B4"/>
    <w:rsid w:val="00590588"/>
    <w:rsid w:val="005A0BC1"/>
    <w:rsid w:val="005A76D3"/>
    <w:rsid w:val="005C03E7"/>
    <w:rsid w:val="005D295F"/>
    <w:rsid w:val="0064218B"/>
    <w:rsid w:val="006777BB"/>
    <w:rsid w:val="00677C62"/>
    <w:rsid w:val="00683633"/>
    <w:rsid w:val="00683BFE"/>
    <w:rsid w:val="006871A0"/>
    <w:rsid w:val="0068725B"/>
    <w:rsid w:val="00692272"/>
    <w:rsid w:val="006A6060"/>
    <w:rsid w:val="006B1DE4"/>
    <w:rsid w:val="006E0A6A"/>
    <w:rsid w:val="006E212A"/>
    <w:rsid w:val="006E7A8C"/>
    <w:rsid w:val="007135A1"/>
    <w:rsid w:val="00722DC0"/>
    <w:rsid w:val="00732162"/>
    <w:rsid w:val="0074558B"/>
    <w:rsid w:val="007477E5"/>
    <w:rsid w:val="0075469D"/>
    <w:rsid w:val="00763DB0"/>
    <w:rsid w:val="00766C8F"/>
    <w:rsid w:val="00777103"/>
    <w:rsid w:val="00794E9B"/>
    <w:rsid w:val="007D21F0"/>
    <w:rsid w:val="00825A55"/>
    <w:rsid w:val="00825FB9"/>
    <w:rsid w:val="008325A7"/>
    <w:rsid w:val="00833AC4"/>
    <w:rsid w:val="00836ECC"/>
    <w:rsid w:val="008501CE"/>
    <w:rsid w:val="00851F5C"/>
    <w:rsid w:val="00854743"/>
    <w:rsid w:val="00867871"/>
    <w:rsid w:val="00872609"/>
    <w:rsid w:val="008823A5"/>
    <w:rsid w:val="00882E63"/>
    <w:rsid w:val="00884A6D"/>
    <w:rsid w:val="008868DA"/>
    <w:rsid w:val="00895F36"/>
    <w:rsid w:val="008A4A46"/>
    <w:rsid w:val="008A6E20"/>
    <w:rsid w:val="008B0CB0"/>
    <w:rsid w:val="008C0AE6"/>
    <w:rsid w:val="008C17EF"/>
    <w:rsid w:val="008C3BB9"/>
    <w:rsid w:val="008C491F"/>
    <w:rsid w:val="008D102B"/>
    <w:rsid w:val="008D7AF7"/>
    <w:rsid w:val="008E5E8C"/>
    <w:rsid w:val="008F749C"/>
    <w:rsid w:val="00907F61"/>
    <w:rsid w:val="009264ED"/>
    <w:rsid w:val="009661DF"/>
    <w:rsid w:val="00967D9E"/>
    <w:rsid w:val="00980F74"/>
    <w:rsid w:val="00991525"/>
    <w:rsid w:val="009A1E46"/>
    <w:rsid w:val="009A2355"/>
    <w:rsid w:val="009A4A9A"/>
    <w:rsid w:val="009A5230"/>
    <w:rsid w:val="009B11A8"/>
    <w:rsid w:val="009B3C79"/>
    <w:rsid w:val="009C6059"/>
    <w:rsid w:val="009D1A48"/>
    <w:rsid w:val="009E17FD"/>
    <w:rsid w:val="009F3547"/>
    <w:rsid w:val="009F4DE1"/>
    <w:rsid w:val="00A02DB3"/>
    <w:rsid w:val="00A02ED1"/>
    <w:rsid w:val="00A0347A"/>
    <w:rsid w:val="00A104FD"/>
    <w:rsid w:val="00A17E44"/>
    <w:rsid w:val="00A20573"/>
    <w:rsid w:val="00A2236D"/>
    <w:rsid w:val="00A22B31"/>
    <w:rsid w:val="00A24637"/>
    <w:rsid w:val="00A50C9D"/>
    <w:rsid w:val="00A72FE7"/>
    <w:rsid w:val="00A95CF9"/>
    <w:rsid w:val="00AA438D"/>
    <w:rsid w:val="00AE016D"/>
    <w:rsid w:val="00AE2785"/>
    <w:rsid w:val="00AF280D"/>
    <w:rsid w:val="00B11CC3"/>
    <w:rsid w:val="00B21E54"/>
    <w:rsid w:val="00B90767"/>
    <w:rsid w:val="00B9501A"/>
    <w:rsid w:val="00BA6D87"/>
    <w:rsid w:val="00BB1B81"/>
    <w:rsid w:val="00BD195C"/>
    <w:rsid w:val="00BD33C9"/>
    <w:rsid w:val="00BE50B0"/>
    <w:rsid w:val="00BE6DF2"/>
    <w:rsid w:val="00BE727A"/>
    <w:rsid w:val="00BF313C"/>
    <w:rsid w:val="00BF56DB"/>
    <w:rsid w:val="00BF7C59"/>
    <w:rsid w:val="00C00188"/>
    <w:rsid w:val="00C23E29"/>
    <w:rsid w:val="00C517D5"/>
    <w:rsid w:val="00C60B01"/>
    <w:rsid w:val="00C61932"/>
    <w:rsid w:val="00CE3C66"/>
    <w:rsid w:val="00D06294"/>
    <w:rsid w:val="00D10043"/>
    <w:rsid w:val="00D22937"/>
    <w:rsid w:val="00D2406A"/>
    <w:rsid w:val="00D31A2F"/>
    <w:rsid w:val="00D4206A"/>
    <w:rsid w:val="00D70E2A"/>
    <w:rsid w:val="00D93828"/>
    <w:rsid w:val="00DC5402"/>
    <w:rsid w:val="00DD0B4C"/>
    <w:rsid w:val="00DD2873"/>
    <w:rsid w:val="00DE656B"/>
    <w:rsid w:val="00DF5B64"/>
    <w:rsid w:val="00E05950"/>
    <w:rsid w:val="00E41B3C"/>
    <w:rsid w:val="00E45EC6"/>
    <w:rsid w:val="00E506C2"/>
    <w:rsid w:val="00E538C6"/>
    <w:rsid w:val="00E63A21"/>
    <w:rsid w:val="00E758B5"/>
    <w:rsid w:val="00E823A6"/>
    <w:rsid w:val="00E85B3B"/>
    <w:rsid w:val="00EA2990"/>
    <w:rsid w:val="00EA6DD0"/>
    <w:rsid w:val="00F043DA"/>
    <w:rsid w:val="00F22B43"/>
    <w:rsid w:val="00F25990"/>
    <w:rsid w:val="00F61708"/>
    <w:rsid w:val="00F62ECB"/>
    <w:rsid w:val="00F964E7"/>
    <w:rsid w:val="00FB0B69"/>
    <w:rsid w:val="00FB4187"/>
    <w:rsid w:val="00FC4A43"/>
    <w:rsid w:val="00FD0D22"/>
    <w:rsid w:val="00FD2123"/>
    <w:rsid w:val="00FD3413"/>
    <w:rsid w:val="00FD7D9E"/>
    <w:rsid w:val="00FE1A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23CCAF-C79D-4B26-BA6B-53A1B843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notaalpie">
    <w:name w:val="footnote reference"/>
  </w:style>
  <w:style w:type="paragraph" w:styleId="Textodeglobo">
    <w:name w:val="Balloon Text"/>
    <w:basedOn w:val="Normal"/>
    <w:semiHidden/>
    <w:rsid w:val="00FB0B69"/>
    <w:rPr>
      <w:rFonts w:ascii="Tahoma" w:hAnsi="Tahoma" w:cs="Tahoma"/>
      <w:sz w:val="16"/>
      <w:szCs w:val="16"/>
    </w:rPr>
  </w:style>
  <w:style w:type="paragraph" w:styleId="Encabezado">
    <w:name w:val="header"/>
    <w:basedOn w:val="Normal"/>
    <w:rsid w:val="001800F3"/>
    <w:pPr>
      <w:tabs>
        <w:tab w:val="center" w:pos="4252"/>
        <w:tab w:val="right" w:pos="8504"/>
      </w:tabs>
    </w:pPr>
  </w:style>
  <w:style w:type="paragraph" w:styleId="Piedepgina">
    <w:name w:val="footer"/>
    <w:basedOn w:val="Normal"/>
    <w:link w:val="PiedepginaCar"/>
    <w:rsid w:val="001800F3"/>
    <w:pPr>
      <w:tabs>
        <w:tab w:val="center" w:pos="4252"/>
        <w:tab w:val="right" w:pos="8504"/>
      </w:tabs>
    </w:pPr>
  </w:style>
  <w:style w:type="character" w:customStyle="1" w:styleId="PiedepginaCar">
    <w:name w:val="Pie de página Car"/>
    <w:link w:val="Piedepgina"/>
    <w:rsid w:val="001800F3"/>
    <w:rPr>
      <w:sz w:val="24"/>
      <w:szCs w:val="24"/>
      <w:lang w:val="en-US" w:eastAsia="es-ES" w:bidi="ar-SA"/>
    </w:rPr>
  </w:style>
  <w:style w:type="character" w:styleId="Nmerodepgina">
    <w:name w:val="page number"/>
    <w:basedOn w:val="Fuentedeprrafopredeter"/>
    <w:rsid w:val="00B9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D5F0C-3F91-4273-BA45-C1B2424A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5464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FECHA: Madrid, 27 de noviembre 2007</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Madrid, 27 de noviembre 2007</dc:title>
  <dc:subject/>
  <dc:creator>ICM</dc:creator>
  <cp:keywords/>
  <dc:description/>
  <cp:lastModifiedBy>RASERO LOPEZ, MACARENA</cp:lastModifiedBy>
  <cp:revision>2</cp:revision>
  <cp:lastPrinted>2017-02-16T07:15:00Z</cp:lastPrinted>
  <dcterms:created xsi:type="dcterms:W3CDTF">2017-04-18T09:56:00Z</dcterms:created>
  <dcterms:modified xsi:type="dcterms:W3CDTF">2017-04-18T09:56:00Z</dcterms:modified>
</cp:coreProperties>
</file>