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235019" w:rsidRPr="00AD2A9D" w:rsidTr="00A761F9">
        <w:tc>
          <w:tcPr>
            <w:tcW w:w="9073" w:type="dxa"/>
            <w:shd w:val="clear" w:color="auto" w:fill="A6A6A6" w:themeFill="background1" w:themeFillShade="A6"/>
          </w:tcPr>
          <w:p w:rsidR="00235019" w:rsidRPr="00FC2E51" w:rsidRDefault="00235019" w:rsidP="00365096">
            <w:pPr>
              <w:jc w:val="center"/>
              <w:rPr>
                <w:b/>
              </w:rPr>
            </w:pPr>
            <w:r w:rsidRPr="00FC2E51">
              <w:rPr>
                <w:b/>
              </w:rPr>
              <w:t>Consejería</w:t>
            </w:r>
            <w:r w:rsidR="00677742" w:rsidRPr="00FC2E51">
              <w:rPr>
                <w:b/>
              </w:rPr>
              <w:t xml:space="preserve"> de POLÍTICAS SOCIALES Y FAMILIA</w:t>
            </w:r>
          </w:p>
        </w:tc>
      </w:tr>
      <w:tr w:rsidR="00235019" w:rsidRPr="00AD2A9D" w:rsidTr="00A761F9">
        <w:tc>
          <w:tcPr>
            <w:tcW w:w="907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35019" w:rsidRPr="00FC2E51" w:rsidRDefault="00235019" w:rsidP="00365096">
            <w:pPr>
              <w:jc w:val="center"/>
              <w:rPr>
                <w:b/>
              </w:rPr>
            </w:pPr>
            <w:r w:rsidRPr="00FC2E51">
              <w:rPr>
                <w:b/>
              </w:rPr>
              <w:t>Dirección General</w:t>
            </w:r>
            <w:r w:rsidR="00677742" w:rsidRPr="00FC2E51">
              <w:rPr>
                <w:b/>
              </w:rPr>
              <w:t xml:space="preserve"> de Servicios Sociales e Integración Social</w:t>
            </w:r>
          </w:p>
        </w:tc>
      </w:tr>
      <w:tr w:rsidR="00235019" w:rsidRPr="00AD2A9D" w:rsidTr="00A761F9">
        <w:tc>
          <w:tcPr>
            <w:tcW w:w="9073" w:type="dxa"/>
            <w:shd w:val="clear" w:color="auto" w:fill="D9D9D9" w:themeFill="background1" w:themeFillShade="D9"/>
          </w:tcPr>
          <w:p w:rsidR="00235019" w:rsidRPr="00AD2A9D" w:rsidRDefault="00235019" w:rsidP="00365096">
            <w:pPr>
              <w:jc w:val="both"/>
            </w:pPr>
            <w:r w:rsidRPr="00AD2A9D">
              <w:t>Consulta pública del anteproyecto/proyecto</w:t>
            </w:r>
          </w:p>
        </w:tc>
      </w:tr>
      <w:tr w:rsidR="00235019" w:rsidRPr="00AD2A9D" w:rsidTr="004F2473">
        <w:trPr>
          <w:trHeight w:val="683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auto"/>
          </w:tcPr>
          <w:p w:rsidR="004F2473" w:rsidRDefault="004F2473" w:rsidP="00365096">
            <w:pPr>
              <w:jc w:val="both"/>
            </w:pPr>
          </w:p>
          <w:p w:rsidR="00235019" w:rsidRPr="00AD2A9D" w:rsidRDefault="0065608B" w:rsidP="00365096">
            <w:pPr>
              <w:jc w:val="both"/>
            </w:pPr>
            <w:r w:rsidRPr="00AD2A9D">
              <w:t xml:space="preserve">Proyecto de Decreto por el que se </w:t>
            </w:r>
            <w:r w:rsidR="00677742">
              <w:t>aprueba el Reglamento de Organización y Funcionamiento del Consejo LGTBI</w:t>
            </w:r>
            <w:r w:rsidR="003119B8" w:rsidRPr="00AD2A9D">
              <w:t xml:space="preserve"> de la Comunidad de Madrid</w:t>
            </w:r>
          </w:p>
          <w:p w:rsidR="00235019" w:rsidRPr="00AD2A9D" w:rsidRDefault="00235019" w:rsidP="00365096">
            <w:pPr>
              <w:jc w:val="both"/>
            </w:pPr>
          </w:p>
        </w:tc>
      </w:tr>
      <w:tr w:rsidR="00235019" w:rsidRPr="00AD2A9D" w:rsidTr="00A761F9">
        <w:tc>
          <w:tcPr>
            <w:tcW w:w="9073" w:type="dxa"/>
            <w:shd w:val="clear" w:color="auto" w:fill="D9D9D9" w:themeFill="background1" w:themeFillShade="D9"/>
          </w:tcPr>
          <w:p w:rsidR="00235019" w:rsidRPr="00AD2A9D" w:rsidRDefault="00235019" w:rsidP="00365096">
            <w:pPr>
              <w:jc w:val="both"/>
            </w:pPr>
            <w:r w:rsidRPr="00AD2A9D">
              <w:t>Problemas que se pretenden solucionar</w:t>
            </w:r>
          </w:p>
        </w:tc>
      </w:tr>
      <w:tr w:rsidR="00235019" w:rsidRPr="00AD2A9D" w:rsidTr="00A761F9">
        <w:tc>
          <w:tcPr>
            <w:tcW w:w="9073" w:type="dxa"/>
            <w:tcBorders>
              <w:bottom w:val="single" w:sz="4" w:space="0" w:color="auto"/>
            </w:tcBorders>
            <w:shd w:val="clear" w:color="auto" w:fill="auto"/>
          </w:tcPr>
          <w:p w:rsidR="00235019" w:rsidRPr="00AD2A9D" w:rsidRDefault="00235019" w:rsidP="00365096">
            <w:pPr>
              <w:jc w:val="both"/>
            </w:pPr>
          </w:p>
          <w:p w:rsidR="006B746D" w:rsidRDefault="006B746D" w:rsidP="003F4171">
            <w:pPr>
              <w:autoSpaceDE w:val="0"/>
              <w:autoSpaceDN w:val="0"/>
              <w:adjustRightInd w:val="0"/>
              <w:jc w:val="both"/>
              <w:rPr>
                <w:rFonts w:ascii="MinionPro-Regular" w:hAnsi="MinionPro-Regular" w:cs="MinionPro-Regular"/>
                <w:color w:val="1A1A1A"/>
              </w:rPr>
            </w:pPr>
            <w:r>
              <w:rPr>
                <w:rFonts w:ascii="MinionPro-Regular" w:hAnsi="MinionPro-Regular" w:cs="MinionPro-Regular"/>
                <w:color w:val="1A1A1A"/>
              </w:rPr>
              <w:t>El artículo 6</w:t>
            </w:r>
            <w:r w:rsidR="005E5B12">
              <w:rPr>
                <w:rFonts w:ascii="MinionPro-Regular" w:hAnsi="MinionPro-Regular" w:cs="MinionPro-Regular"/>
                <w:color w:val="1A1A1A"/>
              </w:rPr>
              <w:t xml:space="preserve"> Ley 3/2016, de 22 de julio, de Protección Integral contra la LGTBIfobia y la Discriminación por razón de Orientación e Identidad Sexual de la Comunidad de Madrid </w:t>
            </w:r>
            <w:r>
              <w:rPr>
                <w:rFonts w:ascii="MinionPro-Regular" w:hAnsi="MinionPro-Regular" w:cs="MinionPro-Regular"/>
                <w:color w:val="1A1A1A"/>
              </w:rPr>
              <w:t xml:space="preserve">crea el Consejo LGTBI, en el que tendrán representación la asociaciones que trabajen principalmente a favor de los derechos de las personas LGTBI, así como las personas y profesionales que hayan destacado por su trabajo y calidad de expertos en este ámbito. </w:t>
            </w:r>
          </w:p>
          <w:p w:rsidR="006B746D" w:rsidRDefault="006B746D" w:rsidP="003F4171">
            <w:pPr>
              <w:autoSpaceDE w:val="0"/>
              <w:autoSpaceDN w:val="0"/>
              <w:adjustRightInd w:val="0"/>
              <w:jc w:val="both"/>
              <w:rPr>
                <w:rFonts w:ascii="MinionPro-Regular" w:hAnsi="MinionPro-Regular" w:cs="MinionPro-Regular"/>
                <w:color w:val="1A1A1A"/>
              </w:rPr>
            </w:pPr>
          </w:p>
          <w:p w:rsidR="0056556D" w:rsidRDefault="0056556D" w:rsidP="0056556D">
            <w:pPr>
              <w:autoSpaceDE w:val="0"/>
              <w:autoSpaceDN w:val="0"/>
              <w:adjustRightInd w:val="0"/>
              <w:jc w:val="both"/>
              <w:rPr>
                <w:rFonts w:ascii="MinionPro-Regular" w:hAnsi="MinionPro-Regular" w:cs="MinionPro-Regular"/>
                <w:color w:val="1A1A1A"/>
              </w:rPr>
            </w:pPr>
            <w:r>
              <w:rPr>
                <w:rFonts w:ascii="MinionPro-Regular" w:hAnsi="MinionPro-Regular" w:cs="MinionPro-Regular"/>
                <w:color w:val="1A1A1A"/>
              </w:rPr>
              <w:t xml:space="preserve">Con la regulación del Consejo LGTBI se pretende, en primer lugar, cumplir con lo establecido en la Ley 3/2016, evitando los problemas que podría crear la convocatoria del Consejo sin una previa regulación en cuanto a su composición y funcionamiento. </w:t>
            </w:r>
          </w:p>
          <w:p w:rsidR="0056556D" w:rsidRDefault="0056556D" w:rsidP="0056556D">
            <w:pPr>
              <w:autoSpaceDE w:val="0"/>
              <w:autoSpaceDN w:val="0"/>
              <w:adjustRightInd w:val="0"/>
              <w:jc w:val="both"/>
              <w:rPr>
                <w:rFonts w:ascii="MinionPro-Regular" w:hAnsi="MinionPro-Regular" w:cs="MinionPro-Regular"/>
                <w:color w:val="1A1A1A"/>
              </w:rPr>
            </w:pPr>
          </w:p>
          <w:p w:rsidR="006B746D" w:rsidRPr="006B746D" w:rsidRDefault="0056556D" w:rsidP="0056556D">
            <w:pPr>
              <w:autoSpaceDE w:val="0"/>
              <w:autoSpaceDN w:val="0"/>
              <w:adjustRightInd w:val="0"/>
              <w:jc w:val="both"/>
              <w:rPr>
                <w:rFonts w:ascii="MinionPro-Regular" w:hAnsi="MinionPro-Regular" w:cs="MinionPro-Regular"/>
                <w:color w:val="1A1A1A"/>
              </w:rPr>
            </w:pPr>
            <w:r>
              <w:rPr>
                <w:rFonts w:ascii="MinionPro-Regular" w:hAnsi="MinionPro-Regular" w:cs="MinionPro-Regular"/>
                <w:color w:val="1A1A1A"/>
              </w:rPr>
              <w:t>Son</w:t>
            </w:r>
            <w:r w:rsidR="006B746D">
              <w:rPr>
                <w:rFonts w:ascii="MinionPro-Regular" w:hAnsi="MinionPro-Regular" w:cs="MinionPro-Regular"/>
                <w:color w:val="1A1A1A"/>
              </w:rPr>
              <w:t xml:space="preserve"> muchas las entidades que en el ámbito territorial de la </w:t>
            </w:r>
            <w:r w:rsidR="006B746D" w:rsidRPr="006B746D">
              <w:rPr>
                <w:rFonts w:ascii="MinionPro-Regular" w:hAnsi="MinionPro-Regular" w:cs="MinionPro-Regular"/>
                <w:color w:val="1A1A1A"/>
              </w:rPr>
              <w:t>Comunidad de Madrid</w:t>
            </w:r>
            <w:r w:rsidR="006B746D">
              <w:rPr>
                <w:rFonts w:ascii="MinionPro-Regular" w:hAnsi="MinionPro-Regular" w:cs="MinionPro-Regular"/>
                <w:color w:val="1A1A1A"/>
              </w:rPr>
              <w:t xml:space="preserve"> trabajan a favor de los derechos de las personas LGTBI, </w:t>
            </w:r>
            <w:r>
              <w:rPr>
                <w:rFonts w:ascii="MinionPro-Regular" w:hAnsi="MinionPro-Regular" w:cs="MinionPro-Regular"/>
                <w:color w:val="1A1A1A"/>
              </w:rPr>
              <w:t xml:space="preserve">siendo una constante la aparición de nuevas entidades en diversos municipios, ámbito universitario, etc. Para convocar el Consejo es necesario delimitar el número de entidades que van a formar parte del Pleno, con voz y con voto, a fin de dotar a dicho órgano de la eficacia y celeridad que debe tener, para cumplir las funciones que le encomienda el precitado artículo 6. </w:t>
            </w:r>
          </w:p>
          <w:p w:rsidR="00D70E12" w:rsidRDefault="00D70E12" w:rsidP="003F4171">
            <w:pPr>
              <w:autoSpaceDE w:val="0"/>
              <w:autoSpaceDN w:val="0"/>
              <w:adjustRightInd w:val="0"/>
              <w:jc w:val="both"/>
              <w:rPr>
                <w:rFonts w:ascii="MinionPro-Regular" w:hAnsi="MinionPro-Regular" w:cs="MinionPro-Regular"/>
                <w:color w:val="1A1A1A"/>
              </w:rPr>
            </w:pPr>
          </w:p>
          <w:p w:rsidR="008A0111" w:rsidRPr="00AD2A9D" w:rsidRDefault="008A0111" w:rsidP="006B746D">
            <w:pPr>
              <w:jc w:val="both"/>
            </w:pPr>
          </w:p>
        </w:tc>
      </w:tr>
      <w:tr w:rsidR="00235019" w:rsidRPr="00AD2A9D" w:rsidTr="00A761F9">
        <w:tc>
          <w:tcPr>
            <w:tcW w:w="9073" w:type="dxa"/>
            <w:shd w:val="clear" w:color="auto" w:fill="D9D9D9" w:themeFill="background1" w:themeFillShade="D9"/>
          </w:tcPr>
          <w:p w:rsidR="00235019" w:rsidRPr="00AD2A9D" w:rsidRDefault="006E7EC4" w:rsidP="00365096">
            <w:pPr>
              <w:jc w:val="both"/>
            </w:pPr>
            <w:r>
              <w:t xml:space="preserve"> </w:t>
            </w:r>
            <w:r w:rsidR="00C5397F">
              <w:t>Necesidad y oportunidad de la norma</w:t>
            </w:r>
          </w:p>
        </w:tc>
      </w:tr>
      <w:tr w:rsidR="00235019" w:rsidRPr="00AD2A9D" w:rsidTr="00A761F9">
        <w:tc>
          <w:tcPr>
            <w:tcW w:w="9073" w:type="dxa"/>
            <w:tcBorders>
              <w:bottom w:val="single" w:sz="4" w:space="0" w:color="auto"/>
            </w:tcBorders>
            <w:shd w:val="clear" w:color="auto" w:fill="auto"/>
          </w:tcPr>
          <w:p w:rsidR="00235019" w:rsidRPr="00AD2A9D" w:rsidRDefault="00235019" w:rsidP="00365096">
            <w:pPr>
              <w:jc w:val="both"/>
            </w:pPr>
          </w:p>
          <w:p w:rsidR="004C7E4E" w:rsidRDefault="00F431E0" w:rsidP="00A25505">
            <w:pPr>
              <w:jc w:val="both"/>
              <w:rPr>
                <w:rFonts w:ascii="MinionPro-Regular" w:hAnsi="MinionPro-Regular" w:cs="MinionPro-Regular"/>
                <w:color w:val="1A1A1A"/>
              </w:rPr>
            </w:pPr>
            <w:r>
              <w:rPr>
                <w:rFonts w:ascii="MinionPro-Regular" w:hAnsi="MinionPro-Regular" w:cs="MinionPro-Regular"/>
                <w:color w:val="1A1A1A"/>
              </w:rPr>
              <w:t xml:space="preserve">La Ley 3/2016, de 22 de julio, tiene un marcado carácter transversal, al afectar </w:t>
            </w:r>
            <w:r w:rsidR="00034275">
              <w:rPr>
                <w:rFonts w:ascii="MinionPro-Regular" w:hAnsi="MinionPro-Regular" w:cs="MinionPro-Regular"/>
                <w:color w:val="1A1A1A"/>
              </w:rPr>
              <w:t>prácticamente</w:t>
            </w:r>
            <w:r>
              <w:rPr>
                <w:rFonts w:ascii="MinionPro-Regular" w:hAnsi="MinionPro-Regular" w:cs="MinionPro-Regular"/>
                <w:color w:val="1A1A1A"/>
              </w:rPr>
              <w:t xml:space="preserve"> a</w:t>
            </w:r>
            <w:r w:rsidR="00034275">
              <w:rPr>
                <w:rFonts w:ascii="MinionPro-Regular" w:hAnsi="MinionPro-Regular" w:cs="MinionPro-Regular"/>
                <w:color w:val="1A1A1A"/>
              </w:rPr>
              <w:t xml:space="preserve"> todos los ámbitos de actuación administrativa (sanidad, educación, empleo, servicios sociales, etc.)</w:t>
            </w:r>
            <w:r>
              <w:rPr>
                <w:rFonts w:ascii="MinionPro-Regular" w:hAnsi="MinionPro-Regular" w:cs="MinionPro-Regular"/>
                <w:color w:val="1A1A1A"/>
              </w:rPr>
              <w:t xml:space="preserve">. Por otro lado, la gran cantidad de entidades que trabajan con personas LGTBI en la Comunidad de Madrid, ha provocado que muchas de ellas estén especializadas en la atención e intervención con determinados sectores de población LGTBI (mayores, menores, personas víctimas de agresiones, personas trans, etc.). </w:t>
            </w:r>
            <w:r w:rsidRPr="00E91753">
              <w:rPr>
                <w:rFonts w:ascii="MinionPro-Regular" w:hAnsi="MinionPro-Regular" w:cs="MinionPro-Regular"/>
                <w:color w:val="1A1A1A"/>
              </w:rPr>
              <w:t xml:space="preserve">Por ello </w:t>
            </w:r>
            <w:r w:rsidR="00E91753" w:rsidRPr="00E91753">
              <w:rPr>
                <w:rFonts w:ascii="MinionPro-Regular" w:hAnsi="MinionPro-Regular" w:cs="MinionPro-Regular"/>
                <w:color w:val="1A1A1A"/>
              </w:rPr>
              <w:t xml:space="preserve">resulta necesario el establecimiento de normas objetivas de selección de las entidades que garanticen la representación en el seno del Consejo de </w:t>
            </w:r>
            <w:r w:rsidR="00034275" w:rsidRPr="00E91753">
              <w:rPr>
                <w:rFonts w:ascii="MinionPro-Regular" w:hAnsi="MinionPro-Regular" w:cs="MinionPro-Regular"/>
                <w:color w:val="1A1A1A"/>
              </w:rPr>
              <w:t>todos los grupos de población LGTBI</w:t>
            </w:r>
            <w:r w:rsidR="00E91753" w:rsidRPr="00E91753">
              <w:rPr>
                <w:rFonts w:ascii="MinionPro-Regular" w:hAnsi="MinionPro-Regular" w:cs="MinionPro-Regular"/>
                <w:color w:val="1A1A1A"/>
              </w:rPr>
              <w:t>,</w:t>
            </w:r>
            <w:r w:rsidR="00034275" w:rsidRPr="00E91753">
              <w:rPr>
                <w:rFonts w:ascii="MinionPro-Regular" w:hAnsi="MinionPro-Regular" w:cs="MinionPro-Regular"/>
                <w:color w:val="1A1A1A"/>
              </w:rPr>
              <w:t xml:space="preserve"> para la correcta atención a sus necesidades y demandas específicas.</w:t>
            </w:r>
            <w:r w:rsidR="00034275">
              <w:rPr>
                <w:rFonts w:ascii="MinionPro-Regular" w:hAnsi="MinionPro-Regular" w:cs="MinionPro-Regular"/>
                <w:color w:val="1A1A1A"/>
              </w:rPr>
              <w:t xml:space="preserve">   </w:t>
            </w:r>
          </w:p>
          <w:p w:rsidR="00D0191A" w:rsidRDefault="00D0191A" w:rsidP="00A25505">
            <w:pPr>
              <w:jc w:val="both"/>
              <w:rPr>
                <w:rFonts w:ascii="MinionPro-Regular" w:hAnsi="MinionPro-Regular" w:cs="MinionPro-Regular"/>
                <w:color w:val="1A1A1A"/>
              </w:rPr>
            </w:pPr>
          </w:p>
          <w:p w:rsidR="00A25505" w:rsidRDefault="008477DF" w:rsidP="00A761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477DF">
              <w:rPr>
                <w:rFonts w:ascii="MinionPro-Regular" w:hAnsi="MinionPro-Regular" w:cs="MinionPro-Regular"/>
                <w:color w:val="1A1A1A"/>
              </w:rPr>
              <w:t>El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477DF">
              <w:rPr>
                <w:rFonts w:ascii="MinionPro-Regular" w:hAnsi="MinionPro-Regular" w:cs="MinionPro-Regular"/>
                <w:color w:val="1A1A1A"/>
              </w:rPr>
              <w:t>tiempo transcurrido desde la aprobación de la Ley 3/2016 y la experiencia obtenida a lo largo de su aplicación, aconsejan la regulación de este órgano colegiado</w:t>
            </w:r>
            <w:r w:rsidR="00E91753">
              <w:rPr>
                <w:rFonts w:ascii="MinionPro-Regular" w:hAnsi="MinionPro-Regular" w:cs="MinionPro-Regular"/>
                <w:color w:val="1A1A1A"/>
              </w:rPr>
              <w:t>, cuyas normas de funcionamiento deben tener carácter democrático</w:t>
            </w:r>
            <w:r w:rsidRPr="008477DF">
              <w:rPr>
                <w:rFonts w:ascii="MinionPro-Regular" w:hAnsi="MinionPro-Regular" w:cs="MinionPro-Regular"/>
                <w:color w:val="1A1A1A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0191A" w:rsidRDefault="00D0191A" w:rsidP="00A761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1753" w:rsidRDefault="00E91753" w:rsidP="00A761F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D0191A" w:rsidRPr="00AD2A9D" w:rsidRDefault="00D0191A" w:rsidP="00A761F9">
            <w:pPr>
              <w:autoSpaceDE w:val="0"/>
              <w:autoSpaceDN w:val="0"/>
              <w:adjustRightInd w:val="0"/>
            </w:pPr>
          </w:p>
        </w:tc>
      </w:tr>
      <w:tr w:rsidR="00235019" w:rsidRPr="00AD2A9D" w:rsidTr="00A761F9">
        <w:tc>
          <w:tcPr>
            <w:tcW w:w="9073" w:type="dxa"/>
            <w:shd w:val="clear" w:color="auto" w:fill="D9D9D9" w:themeFill="background1" w:themeFillShade="D9"/>
          </w:tcPr>
          <w:p w:rsidR="00235019" w:rsidRDefault="00235019" w:rsidP="00365096">
            <w:pPr>
              <w:jc w:val="both"/>
            </w:pPr>
            <w:r w:rsidRPr="00AD2A9D">
              <w:t>Objetivos</w:t>
            </w:r>
          </w:p>
          <w:p w:rsidR="0006696F" w:rsidRPr="00AD2A9D" w:rsidRDefault="0006696F" w:rsidP="00365096">
            <w:pPr>
              <w:jc w:val="both"/>
            </w:pPr>
          </w:p>
        </w:tc>
      </w:tr>
      <w:tr w:rsidR="00235019" w:rsidRPr="00AD2A9D" w:rsidTr="00A761F9">
        <w:tc>
          <w:tcPr>
            <w:tcW w:w="9073" w:type="dxa"/>
            <w:tcBorders>
              <w:bottom w:val="single" w:sz="4" w:space="0" w:color="auto"/>
            </w:tcBorders>
            <w:shd w:val="clear" w:color="auto" w:fill="auto"/>
          </w:tcPr>
          <w:p w:rsidR="00FD76D6" w:rsidRDefault="00FD76D6" w:rsidP="00365096">
            <w:pPr>
              <w:jc w:val="both"/>
            </w:pPr>
          </w:p>
          <w:p w:rsidR="006130A7" w:rsidRPr="00AD2A9D" w:rsidRDefault="00FD76D6" w:rsidP="0056556D">
            <w:pPr>
              <w:jc w:val="both"/>
            </w:pPr>
            <w:r>
              <w:lastRenderedPageBreak/>
              <w:t xml:space="preserve">El </w:t>
            </w:r>
            <w:r w:rsidR="00A670FB" w:rsidRPr="00AD2A9D">
              <w:t xml:space="preserve">objetivo último de este proyecto de Decreto </w:t>
            </w:r>
            <w:r w:rsidR="006A6CE7" w:rsidRPr="00AD2A9D">
              <w:t>es</w:t>
            </w:r>
            <w:r w:rsidR="0056556D">
              <w:t xml:space="preserve"> desarrollar el marco </w:t>
            </w:r>
            <w:r w:rsidR="00A670FB" w:rsidRPr="00AD2A9D">
              <w:t xml:space="preserve"> </w:t>
            </w:r>
            <w:r w:rsidR="00D56114" w:rsidRPr="00AD2A9D">
              <w:t xml:space="preserve">institucional de diálogo </w:t>
            </w:r>
            <w:r w:rsidR="003155AE">
              <w:t>entre</w:t>
            </w:r>
            <w:r w:rsidR="00D56114" w:rsidRPr="00AD2A9D">
              <w:t xml:space="preserve"> la Administración y el Tercer Sector</w:t>
            </w:r>
            <w:r w:rsidR="000641A6" w:rsidRPr="00AD2A9D">
              <w:t xml:space="preserve">, </w:t>
            </w:r>
            <w:r w:rsidR="0056556D">
              <w:t xml:space="preserve">que constituye  uno de los principios que debe regir la política madrileña en relación a los derechos de las personas LGTBI, conforme a lo dispuesto en el artículo 5.3d) de la Ley.  El desarrollo del Consejo permitirá el establecimiento de una estructura democrática con espacios de información y debate para conocer las actuaciones levadas a cabos y, en su caso, formular propuestas de mejora e informar sobre proyectos normativos que afecten a los derechos de las personas LGTBI.   </w:t>
            </w:r>
          </w:p>
        </w:tc>
      </w:tr>
      <w:tr w:rsidR="00235019" w:rsidRPr="00AD2A9D" w:rsidTr="00A761F9">
        <w:tc>
          <w:tcPr>
            <w:tcW w:w="9073" w:type="dxa"/>
            <w:shd w:val="clear" w:color="auto" w:fill="D9D9D9" w:themeFill="background1" w:themeFillShade="D9"/>
          </w:tcPr>
          <w:p w:rsidR="00235019" w:rsidRPr="00AD2A9D" w:rsidRDefault="00235019" w:rsidP="00365096">
            <w:pPr>
              <w:jc w:val="both"/>
            </w:pPr>
            <w:r w:rsidRPr="00AD2A9D">
              <w:lastRenderedPageBreak/>
              <w:t>Posibles soluciones alternativas</w:t>
            </w:r>
          </w:p>
        </w:tc>
      </w:tr>
      <w:tr w:rsidR="003F4171" w:rsidRPr="00AD2A9D" w:rsidTr="00A761F9">
        <w:tc>
          <w:tcPr>
            <w:tcW w:w="9073" w:type="dxa"/>
            <w:tcBorders>
              <w:bottom w:val="single" w:sz="4" w:space="0" w:color="auto"/>
            </w:tcBorders>
            <w:shd w:val="clear" w:color="auto" w:fill="auto"/>
          </w:tcPr>
          <w:p w:rsidR="00932476" w:rsidRPr="00AD2A9D" w:rsidRDefault="00932476" w:rsidP="00C92BFC">
            <w:pPr>
              <w:jc w:val="both"/>
            </w:pPr>
          </w:p>
          <w:p w:rsidR="00A36C11" w:rsidRDefault="00A36C11" w:rsidP="00A36C11">
            <w:pPr>
              <w:jc w:val="both"/>
            </w:pPr>
            <w:r>
              <w:t>La participación del Tercer Sector constituye ya uno de los principios en que se basa el sistema madrileño de servicios sociales, y así viene establecido en la Ley 11/2003, de 27 de marzo, de Servicios Sociales de la Comunidad de Madrid</w:t>
            </w:r>
            <w:r w:rsidR="0056556D">
              <w:t xml:space="preserve">. </w:t>
            </w:r>
          </w:p>
          <w:p w:rsidR="0056556D" w:rsidRDefault="0056556D" w:rsidP="00A36C11">
            <w:pPr>
              <w:jc w:val="both"/>
            </w:pPr>
          </w:p>
          <w:p w:rsidR="00FC2E51" w:rsidRDefault="00A36C11" w:rsidP="00A36C11">
            <w:pPr>
              <w:jc w:val="both"/>
              <w:rPr>
                <w:rFonts w:ascii="MinionPro-Regular" w:hAnsi="MinionPro-Regular" w:cs="MinionPro-Regular"/>
                <w:color w:val="1A1A1A"/>
              </w:rPr>
            </w:pPr>
            <w:r>
              <w:t>La Ley 3/2016, de 22 de julio</w:t>
            </w:r>
            <w:r w:rsidR="00FC2E51">
              <w:t xml:space="preserve">, de </w:t>
            </w:r>
            <w:r w:rsidR="00FC2E51">
              <w:rPr>
                <w:rFonts w:ascii="MinionPro-Regular" w:hAnsi="MinionPro-Regular" w:cs="MinionPro-Regular"/>
                <w:color w:val="1A1A1A"/>
              </w:rPr>
              <w:t xml:space="preserve">Protección Integral contra la LGTBIfobia y la Discriminación por razón de Orientación e Identidad Sexual de la Comunidad de Madrid, </w:t>
            </w:r>
            <w:r w:rsidR="00FD76D6">
              <w:rPr>
                <w:rFonts w:ascii="MinionPro-Regular" w:hAnsi="MinionPro-Regular" w:cs="MinionPro-Regular"/>
                <w:color w:val="1A1A1A"/>
              </w:rPr>
              <w:t xml:space="preserve">establece </w:t>
            </w:r>
            <w:r w:rsidR="0056556D">
              <w:rPr>
                <w:rFonts w:ascii="MinionPro-Regular" w:hAnsi="MinionPro-Regular" w:cs="MinionPro-Regular"/>
                <w:color w:val="1A1A1A"/>
              </w:rPr>
              <w:t xml:space="preserve"> por su parte </w:t>
            </w:r>
            <w:r w:rsidR="00FD76D6">
              <w:rPr>
                <w:rFonts w:ascii="MinionPro-Regular" w:hAnsi="MinionPro-Regular" w:cs="MinionPro-Regular"/>
                <w:color w:val="1A1A1A"/>
              </w:rPr>
              <w:t xml:space="preserve">medidas de tutela institucional a las personas LGTBI mediante la promoción de una política activa e integral, mediante instrumentos y estructuras organizativas que garanticen su viabilidad. </w:t>
            </w:r>
            <w:r w:rsidR="00FC2E51">
              <w:rPr>
                <w:rFonts w:ascii="MinionPro-Regular" w:hAnsi="MinionPro-Regular" w:cs="MinionPro-Regular"/>
                <w:color w:val="1A1A1A"/>
              </w:rPr>
              <w:t>Dicha política debe contar, entre otros aspectos, con la participación de las entidades del Tercer Sector que trabajen por personas LGTBI (artículo 5.3.d)).</w:t>
            </w:r>
          </w:p>
          <w:p w:rsidR="00FC2E51" w:rsidRDefault="00FC2E51" w:rsidP="00A36C11">
            <w:pPr>
              <w:jc w:val="both"/>
              <w:rPr>
                <w:rFonts w:ascii="MinionPro-Regular" w:hAnsi="MinionPro-Regular" w:cs="MinionPro-Regular"/>
                <w:color w:val="1A1A1A"/>
              </w:rPr>
            </w:pPr>
          </w:p>
          <w:p w:rsidR="00FC2E51" w:rsidRDefault="0056556D" w:rsidP="00A36C11">
            <w:pPr>
              <w:jc w:val="both"/>
              <w:rPr>
                <w:rFonts w:ascii="MinionPro-Regular" w:hAnsi="MinionPro-Regular" w:cs="MinionPro-Regular"/>
                <w:color w:val="1A1A1A"/>
              </w:rPr>
            </w:pPr>
            <w:r>
              <w:rPr>
                <w:rFonts w:ascii="MinionPro-Regular" w:hAnsi="MinionPro-Regular" w:cs="MinionPro-Regular"/>
                <w:color w:val="1A1A1A"/>
              </w:rPr>
              <w:t xml:space="preserve">La Ley 3/2016, de 22 de julio, junto a la Ley 2/2016, de 29 de marzo, constituyen normas innovadoras en el ordenamiento jurídico madrileño, no existiendo a nivel nacional leyes dirigidas específicamente a garantizar los derechos de las personas LGTBI. El carácter transversal de sus medidas y la parca regulación del Consejo LGTBI en su artículo 6, hace que no se haya planteado otra alternativa que su regulación por Decreto, a fin de definir claramente su composición, organización y funcionamiento. </w:t>
            </w:r>
          </w:p>
          <w:p w:rsidR="00CC19D0" w:rsidRDefault="00CC19D0" w:rsidP="00A36C11">
            <w:pPr>
              <w:jc w:val="both"/>
              <w:rPr>
                <w:rFonts w:ascii="MinionPro-Regular" w:hAnsi="MinionPro-Regular" w:cs="MinionPro-Regular"/>
                <w:color w:val="1A1A1A"/>
              </w:rPr>
            </w:pPr>
          </w:p>
          <w:p w:rsidR="00FC2E51" w:rsidRPr="00FC2E51" w:rsidRDefault="00FC2E51" w:rsidP="0056556D">
            <w:pPr>
              <w:jc w:val="both"/>
              <w:rPr>
                <w:rFonts w:ascii="MinionPro-Regular" w:hAnsi="MinionPro-Regular" w:cs="MinionPro-Regular"/>
                <w:color w:val="1A1A1A"/>
              </w:rPr>
            </w:pPr>
          </w:p>
        </w:tc>
      </w:tr>
      <w:tr w:rsidR="00235019" w:rsidRPr="00AD2A9D" w:rsidTr="00A761F9">
        <w:tc>
          <w:tcPr>
            <w:tcW w:w="9073" w:type="dxa"/>
            <w:shd w:val="clear" w:color="auto" w:fill="A6A6A6" w:themeFill="background1" w:themeFillShade="A6"/>
          </w:tcPr>
          <w:p w:rsidR="00235019" w:rsidRPr="00AD2A9D" w:rsidRDefault="00235019" w:rsidP="0056556D">
            <w:pPr>
              <w:jc w:val="both"/>
            </w:pPr>
            <w:r w:rsidRPr="00AD2A9D">
              <w:t>Fecha:</w:t>
            </w:r>
            <w:r w:rsidR="003D7978" w:rsidRPr="00AD2A9D">
              <w:t xml:space="preserve"> </w:t>
            </w:r>
            <w:r w:rsidR="0056556D">
              <w:t>27 de febrero</w:t>
            </w:r>
            <w:r w:rsidR="001F2956">
              <w:t xml:space="preserve"> de 2018</w:t>
            </w:r>
          </w:p>
        </w:tc>
      </w:tr>
      <w:tr w:rsidR="00235019" w:rsidTr="00A761F9">
        <w:tc>
          <w:tcPr>
            <w:tcW w:w="9073" w:type="dxa"/>
            <w:shd w:val="clear" w:color="auto" w:fill="A6A6A6" w:themeFill="background1" w:themeFillShade="A6"/>
          </w:tcPr>
          <w:p w:rsidR="003D7978" w:rsidRPr="00AD2A9D" w:rsidRDefault="00235019" w:rsidP="00A761F9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</w:rPr>
            </w:pPr>
            <w:r w:rsidRPr="00AD2A9D">
              <w:t>Firma:</w:t>
            </w:r>
            <w:r w:rsidR="003D7978" w:rsidRPr="00AD2A9D">
              <w:rPr>
                <w:rFonts w:ascii="CenturyGothic" w:hAnsi="CenturyGothic" w:cs="CenturyGothic"/>
              </w:rPr>
              <w:t xml:space="preserve"> </w:t>
            </w:r>
          </w:p>
          <w:p w:rsidR="003D7978" w:rsidRPr="004F2473" w:rsidRDefault="003D7978" w:rsidP="003D7978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sz w:val="22"/>
                <w:szCs w:val="22"/>
              </w:rPr>
            </w:pPr>
            <w:r w:rsidRPr="004F2473">
              <w:rPr>
                <w:rFonts w:ascii="CenturyGothic" w:hAnsi="CenturyGothic" w:cs="CenturyGothic"/>
                <w:sz w:val="22"/>
                <w:szCs w:val="22"/>
              </w:rPr>
              <w:t>EL DIRECTOR GENERAL</w:t>
            </w:r>
          </w:p>
          <w:p w:rsidR="003D7978" w:rsidRPr="004F2473" w:rsidRDefault="003D7978" w:rsidP="003D7978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sz w:val="22"/>
                <w:szCs w:val="22"/>
              </w:rPr>
            </w:pPr>
            <w:r w:rsidRPr="004F2473">
              <w:rPr>
                <w:rFonts w:ascii="CenturyGothic" w:hAnsi="CenturyGothic" w:cs="CenturyGothic"/>
                <w:sz w:val="22"/>
                <w:szCs w:val="22"/>
              </w:rPr>
              <w:t>DE SERVICIOS SOCIALES E INTEGRACIÓN SOCIAL</w:t>
            </w:r>
          </w:p>
          <w:p w:rsidR="003D7978" w:rsidRPr="004F2473" w:rsidRDefault="003D7978" w:rsidP="003D7978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sz w:val="22"/>
                <w:szCs w:val="22"/>
              </w:rPr>
            </w:pPr>
          </w:p>
          <w:p w:rsidR="00A761F9" w:rsidRPr="004F2473" w:rsidRDefault="00A761F9" w:rsidP="003D7978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sz w:val="22"/>
                <w:szCs w:val="22"/>
              </w:rPr>
            </w:pPr>
          </w:p>
          <w:p w:rsidR="003D7978" w:rsidRDefault="003D7978" w:rsidP="003D7978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sz w:val="22"/>
                <w:szCs w:val="22"/>
              </w:rPr>
            </w:pPr>
            <w:bookmarkStart w:id="0" w:name="_GoBack"/>
            <w:bookmarkEnd w:id="0"/>
          </w:p>
          <w:p w:rsidR="004F2473" w:rsidRPr="004F2473" w:rsidRDefault="004F2473" w:rsidP="003D7978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sz w:val="22"/>
                <w:szCs w:val="22"/>
              </w:rPr>
            </w:pPr>
          </w:p>
          <w:p w:rsidR="003D7978" w:rsidRPr="004F2473" w:rsidRDefault="003D7978" w:rsidP="003D7978">
            <w:pPr>
              <w:autoSpaceDE w:val="0"/>
              <w:autoSpaceDN w:val="0"/>
              <w:adjustRightInd w:val="0"/>
              <w:jc w:val="center"/>
              <w:rPr>
                <w:rFonts w:ascii="CenturyGothic" w:hAnsi="CenturyGothic" w:cs="CenturyGothic"/>
                <w:sz w:val="22"/>
                <w:szCs w:val="22"/>
              </w:rPr>
            </w:pPr>
          </w:p>
          <w:p w:rsidR="00235019" w:rsidRDefault="003D7978" w:rsidP="00A761F9">
            <w:pPr>
              <w:autoSpaceDE w:val="0"/>
              <w:autoSpaceDN w:val="0"/>
              <w:adjustRightInd w:val="0"/>
              <w:jc w:val="center"/>
            </w:pPr>
            <w:r w:rsidRPr="004F2473">
              <w:rPr>
                <w:rFonts w:ascii="CenturyGothic" w:hAnsi="CenturyGothic" w:cs="CenturyGothic"/>
                <w:sz w:val="22"/>
                <w:szCs w:val="22"/>
              </w:rPr>
              <w:t>Fdo.: Pablo Gómez Tavira</w:t>
            </w:r>
          </w:p>
        </w:tc>
      </w:tr>
    </w:tbl>
    <w:p w:rsidR="00710943" w:rsidRPr="007E1973" w:rsidRDefault="00710943" w:rsidP="007E1973"/>
    <w:sectPr w:rsidR="00710943" w:rsidRPr="007E1973" w:rsidSect="004F2473">
      <w:headerReference w:type="default" r:id="rId8"/>
      <w:pgSz w:w="11906" w:h="16838" w:code="9"/>
      <w:pgMar w:top="2209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DDA" w:rsidRDefault="00F86DDA">
      <w:r>
        <w:separator/>
      </w:r>
    </w:p>
  </w:endnote>
  <w:endnote w:type="continuationSeparator" w:id="0">
    <w:p w:rsidR="00F86DDA" w:rsidRDefault="00F86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DDA" w:rsidRDefault="00F86DDA">
      <w:r>
        <w:separator/>
      </w:r>
    </w:p>
  </w:footnote>
  <w:footnote w:type="continuationSeparator" w:id="0">
    <w:p w:rsidR="00F86DDA" w:rsidRDefault="00F86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6E" w:rsidRPr="00BD7F84" w:rsidRDefault="00B538BC" w:rsidP="007B322A">
    <w:pPr>
      <w:pStyle w:val="Encabezado"/>
      <w:ind w:hanging="851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-537210</wp:posOffset>
          </wp:positionH>
          <wp:positionV relativeFrom="paragraph">
            <wp:posOffset>93980</wp:posOffset>
          </wp:positionV>
          <wp:extent cx="2240280" cy="609600"/>
          <wp:effectExtent l="0" t="0" r="7620" b="0"/>
          <wp:wrapSquare wrapText="bothSides"/>
          <wp:docPr id="5" name="Imagen 5" descr="DG Serv Soc e Integracion Soc NEGRO iz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G Serv Soc e Integracion Soc NEGRO iz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30870"/>
    <w:multiLevelType w:val="hybridMultilevel"/>
    <w:tmpl w:val="6CF46F64"/>
    <w:lvl w:ilvl="0" w:tplc="15D291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276AD"/>
    <w:multiLevelType w:val="hybridMultilevel"/>
    <w:tmpl w:val="D77640A8"/>
    <w:lvl w:ilvl="0" w:tplc="8B4C79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72999"/>
    <w:multiLevelType w:val="hybridMultilevel"/>
    <w:tmpl w:val="B510961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257AFF"/>
    <w:multiLevelType w:val="hybridMultilevel"/>
    <w:tmpl w:val="07C44976"/>
    <w:lvl w:ilvl="0" w:tplc="66B6D47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4B5D6510"/>
    <w:multiLevelType w:val="hybridMultilevel"/>
    <w:tmpl w:val="A4FCFE94"/>
    <w:lvl w:ilvl="0" w:tplc="23DC39E4">
      <w:start w:val="1"/>
      <w:numFmt w:val="decimal"/>
      <w:lvlText w:val="%1º)"/>
      <w:lvlJc w:val="left"/>
      <w:pPr>
        <w:ind w:left="784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504" w:hanging="360"/>
      </w:pPr>
    </w:lvl>
    <w:lvl w:ilvl="2" w:tplc="0C0A001B" w:tentative="1">
      <w:start w:val="1"/>
      <w:numFmt w:val="lowerRoman"/>
      <w:lvlText w:val="%3."/>
      <w:lvlJc w:val="right"/>
      <w:pPr>
        <w:ind w:left="2224" w:hanging="180"/>
      </w:pPr>
    </w:lvl>
    <w:lvl w:ilvl="3" w:tplc="0C0A000F" w:tentative="1">
      <w:start w:val="1"/>
      <w:numFmt w:val="decimal"/>
      <w:lvlText w:val="%4."/>
      <w:lvlJc w:val="left"/>
      <w:pPr>
        <w:ind w:left="2944" w:hanging="360"/>
      </w:pPr>
    </w:lvl>
    <w:lvl w:ilvl="4" w:tplc="0C0A0019" w:tentative="1">
      <w:start w:val="1"/>
      <w:numFmt w:val="lowerLetter"/>
      <w:lvlText w:val="%5."/>
      <w:lvlJc w:val="left"/>
      <w:pPr>
        <w:ind w:left="3664" w:hanging="360"/>
      </w:pPr>
    </w:lvl>
    <w:lvl w:ilvl="5" w:tplc="0C0A001B" w:tentative="1">
      <w:start w:val="1"/>
      <w:numFmt w:val="lowerRoman"/>
      <w:lvlText w:val="%6."/>
      <w:lvlJc w:val="right"/>
      <w:pPr>
        <w:ind w:left="4384" w:hanging="180"/>
      </w:pPr>
    </w:lvl>
    <w:lvl w:ilvl="6" w:tplc="0C0A000F" w:tentative="1">
      <w:start w:val="1"/>
      <w:numFmt w:val="decimal"/>
      <w:lvlText w:val="%7."/>
      <w:lvlJc w:val="left"/>
      <w:pPr>
        <w:ind w:left="5104" w:hanging="360"/>
      </w:pPr>
    </w:lvl>
    <w:lvl w:ilvl="7" w:tplc="0C0A0019" w:tentative="1">
      <w:start w:val="1"/>
      <w:numFmt w:val="lowerLetter"/>
      <w:lvlText w:val="%8."/>
      <w:lvlJc w:val="left"/>
      <w:pPr>
        <w:ind w:left="5824" w:hanging="360"/>
      </w:pPr>
    </w:lvl>
    <w:lvl w:ilvl="8" w:tplc="0C0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>
    <w:nsid w:val="5156130A"/>
    <w:multiLevelType w:val="hybridMultilevel"/>
    <w:tmpl w:val="AAA4FE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1A02BD"/>
    <w:multiLevelType w:val="hybridMultilevel"/>
    <w:tmpl w:val="9BD6DF40"/>
    <w:lvl w:ilvl="0" w:tplc="0C0A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61914453"/>
    <w:multiLevelType w:val="hybridMultilevel"/>
    <w:tmpl w:val="100297E4"/>
    <w:lvl w:ilvl="0" w:tplc="0FB28EA6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D29DA"/>
    <w:multiLevelType w:val="hybridMultilevel"/>
    <w:tmpl w:val="38742608"/>
    <w:lvl w:ilvl="0" w:tplc="204E9C4A">
      <w:start w:val="9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976A3"/>
    <w:multiLevelType w:val="hybridMultilevel"/>
    <w:tmpl w:val="1E283EE4"/>
    <w:lvl w:ilvl="0" w:tplc="145EBB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EAF"/>
    <w:rsid w:val="00002ADE"/>
    <w:rsid w:val="00003550"/>
    <w:rsid w:val="0000747F"/>
    <w:rsid w:val="00017DB9"/>
    <w:rsid w:val="00023E5C"/>
    <w:rsid w:val="00024563"/>
    <w:rsid w:val="00027785"/>
    <w:rsid w:val="00032559"/>
    <w:rsid w:val="00034275"/>
    <w:rsid w:val="000376F2"/>
    <w:rsid w:val="00044CFA"/>
    <w:rsid w:val="0004789D"/>
    <w:rsid w:val="00053CF7"/>
    <w:rsid w:val="0006260F"/>
    <w:rsid w:val="000641A6"/>
    <w:rsid w:val="0006696F"/>
    <w:rsid w:val="00073A07"/>
    <w:rsid w:val="00097107"/>
    <w:rsid w:val="00097D6C"/>
    <w:rsid w:val="000A0326"/>
    <w:rsid w:val="000A13B6"/>
    <w:rsid w:val="000A3685"/>
    <w:rsid w:val="000B3F33"/>
    <w:rsid w:val="000B55EF"/>
    <w:rsid w:val="000B6113"/>
    <w:rsid w:val="000C15A8"/>
    <w:rsid w:val="000F65F3"/>
    <w:rsid w:val="0011773B"/>
    <w:rsid w:val="0013022B"/>
    <w:rsid w:val="0013583E"/>
    <w:rsid w:val="0014373F"/>
    <w:rsid w:val="001512C9"/>
    <w:rsid w:val="00162A37"/>
    <w:rsid w:val="00172C3A"/>
    <w:rsid w:val="00173611"/>
    <w:rsid w:val="00173AFA"/>
    <w:rsid w:val="0018451C"/>
    <w:rsid w:val="001A05C8"/>
    <w:rsid w:val="001A405B"/>
    <w:rsid w:val="001C186E"/>
    <w:rsid w:val="001C3D13"/>
    <w:rsid w:val="001D026D"/>
    <w:rsid w:val="001D239A"/>
    <w:rsid w:val="001F2956"/>
    <w:rsid w:val="001F37DB"/>
    <w:rsid w:val="001F74AB"/>
    <w:rsid w:val="001F7C85"/>
    <w:rsid w:val="00204847"/>
    <w:rsid w:val="00206702"/>
    <w:rsid w:val="00216075"/>
    <w:rsid w:val="00220FD3"/>
    <w:rsid w:val="00227AD8"/>
    <w:rsid w:val="00230380"/>
    <w:rsid w:val="0023337E"/>
    <w:rsid w:val="00235019"/>
    <w:rsid w:val="0023735F"/>
    <w:rsid w:val="00241B28"/>
    <w:rsid w:val="00250747"/>
    <w:rsid w:val="00251420"/>
    <w:rsid w:val="00256846"/>
    <w:rsid w:val="0025777E"/>
    <w:rsid w:val="002A7055"/>
    <w:rsid w:val="002A729B"/>
    <w:rsid w:val="002B6C6C"/>
    <w:rsid w:val="002C41FE"/>
    <w:rsid w:val="002E1C3B"/>
    <w:rsid w:val="002E3067"/>
    <w:rsid w:val="002F4D12"/>
    <w:rsid w:val="00304E60"/>
    <w:rsid w:val="00311698"/>
    <w:rsid w:val="003119B8"/>
    <w:rsid w:val="00313DB5"/>
    <w:rsid w:val="003155AE"/>
    <w:rsid w:val="00323DEA"/>
    <w:rsid w:val="00327504"/>
    <w:rsid w:val="00336C21"/>
    <w:rsid w:val="00341566"/>
    <w:rsid w:val="00341F8E"/>
    <w:rsid w:val="003520A9"/>
    <w:rsid w:val="00353C50"/>
    <w:rsid w:val="00362936"/>
    <w:rsid w:val="003631F5"/>
    <w:rsid w:val="00365903"/>
    <w:rsid w:val="00365DCB"/>
    <w:rsid w:val="00372B2D"/>
    <w:rsid w:val="003744E4"/>
    <w:rsid w:val="00392D26"/>
    <w:rsid w:val="003A6E89"/>
    <w:rsid w:val="003C126E"/>
    <w:rsid w:val="003C6A63"/>
    <w:rsid w:val="003C7936"/>
    <w:rsid w:val="003D1C73"/>
    <w:rsid w:val="003D4F09"/>
    <w:rsid w:val="003D7978"/>
    <w:rsid w:val="003F4171"/>
    <w:rsid w:val="0040337B"/>
    <w:rsid w:val="00410504"/>
    <w:rsid w:val="00413113"/>
    <w:rsid w:val="0041402B"/>
    <w:rsid w:val="00421A53"/>
    <w:rsid w:val="0042708A"/>
    <w:rsid w:val="004373AB"/>
    <w:rsid w:val="0043742E"/>
    <w:rsid w:val="004402FA"/>
    <w:rsid w:val="00451BFE"/>
    <w:rsid w:val="00453C3A"/>
    <w:rsid w:val="00466191"/>
    <w:rsid w:val="00476BA5"/>
    <w:rsid w:val="00483A4A"/>
    <w:rsid w:val="00487A63"/>
    <w:rsid w:val="004915E3"/>
    <w:rsid w:val="004B3D4D"/>
    <w:rsid w:val="004C59B8"/>
    <w:rsid w:val="004C7E4E"/>
    <w:rsid w:val="004D0671"/>
    <w:rsid w:val="004D197B"/>
    <w:rsid w:val="004D788F"/>
    <w:rsid w:val="004F2473"/>
    <w:rsid w:val="004F66DC"/>
    <w:rsid w:val="00503E0B"/>
    <w:rsid w:val="00505369"/>
    <w:rsid w:val="00506430"/>
    <w:rsid w:val="00512223"/>
    <w:rsid w:val="005236BC"/>
    <w:rsid w:val="005256A9"/>
    <w:rsid w:val="00535DDA"/>
    <w:rsid w:val="00541691"/>
    <w:rsid w:val="00551AD5"/>
    <w:rsid w:val="005532FF"/>
    <w:rsid w:val="00565460"/>
    <w:rsid w:val="0056556D"/>
    <w:rsid w:val="00566F40"/>
    <w:rsid w:val="0057568A"/>
    <w:rsid w:val="00576B33"/>
    <w:rsid w:val="00582194"/>
    <w:rsid w:val="005835F0"/>
    <w:rsid w:val="005907D1"/>
    <w:rsid w:val="005A62FE"/>
    <w:rsid w:val="005B0EE4"/>
    <w:rsid w:val="005B5652"/>
    <w:rsid w:val="005C2897"/>
    <w:rsid w:val="005D744D"/>
    <w:rsid w:val="005E1002"/>
    <w:rsid w:val="005E1004"/>
    <w:rsid w:val="005E5B12"/>
    <w:rsid w:val="005F6C70"/>
    <w:rsid w:val="005F7571"/>
    <w:rsid w:val="00604A4D"/>
    <w:rsid w:val="00607C94"/>
    <w:rsid w:val="006130A7"/>
    <w:rsid w:val="0061614C"/>
    <w:rsid w:val="00617E22"/>
    <w:rsid w:val="00620B05"/>
    <w:rsid w:val="0062465D"/>
    <w:rsid w:val="00635BBB"/>
    <w:rsid w:val="00637A6A"/>
    <w:rsid w:val="00640178"/>
    <w:rsid w:val="006513BB"/>
    <w:rsid w:val="006528AD"/>
    <w:rsid w:val="0065608B"/>
    <w:rsid w:val="00672654"/>
    <w:rsid w:val="00673115"/>
    <w:rsid w:val="00677742"/>
    <w:rsid w:val="00687FAD"/>
    <w:rsid w:val="006933D4"/>
    <w:rsid w:val="006A0291"/>
    <w:rsid w:val="006A6CE7"/>
    <w:rsid w:val="006B746D"/>
    <w:rsid w:val="006C376F"/>
    <w:rsid w:val="006C6D56"/>
    <w:rsid w:val="006D3D49"/>
    <w:rsid w:val="006E19C0"/>
    <w:rsid w:val="006E5781"/>
    <w:rsid w:val="006E7EC4"/>
    <w:rsid w:val="006F0DAE"/>
    <w:rsid w:val="00710943"/>
    <w:rsid w:val="00723242"/>
    <w:rsid w:val="00730F3F"/>
    <w:rsid w:val="00744CF1"/>
    <w:rsid w:val="00747059"/>
    <w:rsid w:val="00747B2A"/>
    <w:rsid w:val="00756CDB"/>
    <w:rsid w:val="00765464"/>
    <w:rsid w:val="00770252"/>
    <w:rsid w:val="0077145C"/>
    <w:rsid w:val="00786536"/>
    <w:rsid w:val="00795B29"/>
    <w:rsid w:val="007A0FFF"/>
    <w:rsid w:val="007A12C9"/>
    <w:rsid w:val="007A6E49"/>
    <w:rsid w:val="007B22F3"/>
    <w:rsid w:val="007B322A"/>
    <w:rsid w:val="007B3B14"/>
    <w:rsid w:val="007B68F5"/>
    <w:rsid w:val="007D0B27"/>
    <w:rsid w:val="007E1973"/>
    <w:rsid w:val="0082700B"/>
    <w:rsid w:val="008325EA"/>
    <w:rsid w:val="00832621"/>
    <w:rsid w:val="008477DF"/>
    <w:rsid w:val="00847BEE"/>
    <w:rsid w:val="00850224"/>
    <w:rsid w:val="00852383"/>
    <w:rsid w:val="008573A3"/>
    <w:rsid w:val="0086608A"/>
    <w:rsid w:val="00876570"/>
    <w:rsid w:val="00886773"/>
    <w:rsid w:val="00894B1E"/>
    <w:rsid w:val="008A0111"/>
    <w:rsid w:val="008C404D"/>
    <w:rsid w:val="008C47C8"/>
    <w:rsid w:val="008D0003"/>
    <w:rsid w:val="008D0084"/>
    <w:rsid w:val="008D1DBC"/>
    <w:rsid w:val="008D3CC3"/>
    <w:rsid w:val="008D7A19"/>
    <w:rsid w:val="008E55D7"/>
    <w:rsid w:val="00911B1B"/>
    <w:rsid w:val="009178B5"/>
    <w:rsid w:val="00923AEF"/>
    <w:rsid w:val="00925EEB"/>
    <w:rsid w:val="00932476"/>
    <w:rsid w:val="0094096C"/>
    <w:rsid w:val="00942663"/>
    <w:rsid w:val="00955A28"/>
    <w:rsid w:val="0096652B"/>
    <w:rsid w:val="009716A3"/>
    <w:rsid w:val="00976C6B"/>
    <w:rsid w:val="00976EE0"/>
    <w:rsid w:val="00980088"/>
    <w:rsid w:val="00990F59"/>
    <w:rsid w:val="00994B81"/>
    <w:rsid w:val="009951B3"/>
    <w:rsid w:val="009A001A"/>
    <w:rsid w:val="009A04DC"/>
    <w:rsid w:val="009A35DA"/>
    <w:rsid w:val="009B00A0"/>
    <w:rsid w:val="009B1998"/>
    <w:rsid w:val="009C5FDC"/>
    <w:rsid w:val="009E7139"/>
    <w:rsid w:val="00A1366C"/>
    <w:rsid w:val="00A13813"/>
    <w:rsid w:val="00A176FC"/>
    <w:rsid w:val="00A23A32"/>
    <w:rsid w:val="00A25505"/>
    <w:rsid w:val="00A36C11"/>
    <w:rsid w:val="00A4318E"/>
    <w:rsid w:val="00A4457C"/>
    <w:rsid w:val="00A4587C"/>
    <w:rsid w:val="00A57AF6"/>
    <w:rsid w:val="00A66C08"/>
    <w:rsid w:val="00A670FB"/>
    <w:rsid w:val="00A742D3"/>
    <w:rsid w:val="00A745C5"/>
    <w:rsid w:val="00A761F9"/>
    <w:rsid w:val="00A84EB2"/>
    <w:rsid w:val="00AA6F00"/>
    <w:rsid w:val="00AB1B84"/>
    <w:rsid w:val="00AC2BFD"/>
    <w:rsid w:val="00AD002C"/>
    <w:rsid w:val="00AD2A9D"/>
    <w:rsid w:val="00AE6C13"/>
    <w:rsid w:val="00AF64F6"/>
    <w:rsid w:val="00B01B91"/>
    <w:rsid w:val="00B25278"/>
    <w:rsid w:val="00B2729C"/>
    <w:rsid w:val="00B36C85"/>
    <w:rsid w:val="00B433FA"/>
    <w:rsid w:val="00B538BC"/>
    <w:rsid w:val="00B672CD"/>
    <w:rsid w:val="00B83CD7"/>
    <w:rsid w:val="00B92303"/>
    <w:rsid w:val="00BA052B"/>
    <w:rsid w:val="00BA2022"/>
    <w:rsid w:val="00BA2584"/>
    <w:rsid w:val="00BB0355"/>
    <w:rsid w:val="00BB6B4C"/>
    <w:rsid w:val="00BC1353"/>
    <w:rsid w:val="00BC6B0A"/>
    <w:rsid w:val="00BD6EAF"/>
    <w:rsid w:val="00BD7F84"/>
    <w:rsid w:val="00BE12B8"/>
    <w:rsid w:val="00BE1F35"/>
    <w:rsid w:val="00BF70D6"/>
    <w:rsid w:val="00C000A9"/>
    <w:rsid w:val="00C00895"/>
    <w:rsid w:val="00C025BC"/>
    <w:rsid w:val="00C11568"/>
    <w:rsid w:val="00C11EAA"/>
    <w:rsid w:val="00C141B2"/>
    <w:rsid w:val="00C15007"/>
    <w:rsid w:val="00C17F62"/>
    <w:rsid w:val="00C21B76"/>
    <w:rsid w:val="00C30C02"/>
    <w:rsid w:val="00C4117E"/>
    <w:rsid w:val="00C46846"/>
    <w:rsid w:val="00C503D7"/>
    <w:rsid w:val="00C5397F"/>
    <w:rsid w:val="00C567B7"/>
    <w:rsid w:val="00C63F9B"/>
    <w:rsid w:val="00C64B8B"/>
    <w:rsid w:val="00C673B8"/>
    <w:rsid w:val="00C75364"/>
    <w:rsid w:val="00C92BFC"/>
    <w:rsid w:val="00CA0BE8"/>
    <w:rsid w:val="00CA2A41"/>
    <w:rsid w:val="00CB1167"/>
    <w:rsid w:val="00CB188A"/>
    <w:rsid w:val="00CB5A39"/>
    <w:rsid w:val="00CC19D0"/>
    <w:rsid w:val="00CC54C9"/>
    <w:rsid w:val="00CE0E76"/>
    <w:rsid w:val="00CE3365"/>
    <w:rsid w:val="00CE4811"/>
    <w:rsid w:val="00CF40B6"/>
    <w:rsid w:val="00CF7239"/>
    <w:rsid w:val="00D00FF4"/>
    <w:rsid w:val="00D0191A"/>
    <w:rsid w:val="00D169F3"/>
    <w:rsid w:val="00D367F1"/>
    <w:rsid w:val="00D519D0"/>
    <w:rsid w:val="00D5484E"/>
    <w:rsid w:val="00D56114"/>
    <w:rsid w:val="00D61F5E"/>
    <w:rsid w:val="00D6615C"/>
    <w:rsid w:val="00D70E12"/>
    <w:rsid w:val="00D74DF6"/>
    <w:rsid w:val="00D7750D"/>
    <w:rsid w:val="00D777B0"/>
    <w:rsid w:val="00D777EE"/>
    <w:rsid w:val="00D8252B"/>
    <w:rsid w:val="00DA10EB"/>
    <w:rsid w:val="00DA25D4"/>
    <w:rsid w:val="00DA4283"/>
    <w:rsid w:val="00DD2712"/>
    <w:rsid w:val="00DD4931"/>
    <w:rsid w:val="00DD5ACC"/>
    <w:rsid w:val="00DD676F"/>
    <w:rsid w:val="00DE7D99"/>
    <w:rsid w:val="00DF5E61"/>
    <w:rsid w:val="00E0119F"/>
    <w:rsid w:val="00E04E2A"/>
    <w:rsid w:val="00E276F1"/>
    <w:rsid w:val="00E307D9"/>
    <w:rsid w:val="00E356B5"/>
    <w:rsid w:val="00E60E33"/>
    <w:rsid w:val="00E714A4"/>
    <w:rsid w:val="00E72878"/>
    <w:rsid w:val="00E812A9"/>
    <w:rsid w:val="00E824CB"/>
    <w:rsid w:val="00E827FE"/>
    <w:rsid w:val="00E90A81"/>
    <w:rsid w:val="00E91753"/>
    <w:rsid w:val="00E97E8B"/>
    <w:rsid w:val="00EA23F8"/>
    <w:rsid w:val="00EB00BD"/>
    <w:rsid w:val="00EB137B"/>
    <w:rsid w:val="00EB3FDA"/>
    <w:rsid w:val="00EB7F6C"/>
    <w:rsid w:val="00EC169A"/>
    <w:rsid w:val="00ED2B2C"/>
    <w:rsid w:val="00ED615B"/>
    <w:rsid w:val="00EF1CD1"/>
    <w:rsid w:val="00EF29BC"/>
    <w:rsid w:val="00F21D64"/>
    <w:rsid w:val="00F251D6"/>
    <w:rsid w:val="00F27EAF"/>
    <w:rsid w:val="00F322DE"/>
    <w:rsid w:val="00F35563"/>
    <w:rsid w:val="00F42D33"/>
    <w:rsid w:val="00F431E0"/>
    <w:rsid w:val="00F55B5F"/>
    <w:rsid w:val="00F61230"/>
    <w:rsid w:val="00F650F0"/>
    <w:rsid w:val="00F7147B"/>
    <w:rsid w:val="00F77C96"/>
    <w:rsid w:val="00F82261"/>
    <w:rsid w:val="00F86DDA"/>
    <w:rsid w:val="00F92D79"/>
    <w:rsid w:val="00FB1FE4"/>
    <w:rsid w:val="00FB5BF8"/>
    <w:rsid w:val="00FC2E51"/>
    <w:rsid w:val="00FD4C22"/>
    <w:rsid w:val="00FD76D6"/>
    <w:rsid w:val="00FE4236"/>
    <w:rsid w:val="00FE4B8E"/>
    <w:rsid w:val="00FE605D"/>
    <w:rsid w:val="00FE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67F62417-E3A1-4173-AAB7-E21D110B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73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27EA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27E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53C50"/>
    <w:rPr>
      <w:sz w:val="24"/>
      <w:szCs w:val="24"/>
      <w:lang w:val="es-ES" w:eastAsia="es-ES" w:bidi="ar-SA"/>
    </w:rPr>
  </w:style>
  <w:style w:type="character" w:customStyle="1" w:styleId="ICM">
    <w:name w:val="ICM"/>
    <w:semiHidden/>
    <w:rsid w:val="00353C50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11773B"/>
  </w:style>
  <w:style w:type="paragraph" w:styleId="Prrafodelista">
    <w:name w:val="List Paragraph"/>
    <w:basedOn w:val="Normal"/>
    <w:link w:val="PrrafodelistaCar"/>
    <w:uiPriority w:val="34"/>
    <w:qFormat/>
    <w:rsid w:val="00AC2BF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laconcuadrcula">
    <w:name w:val="Table Grid"/>
    <w:basedOn w:val="Tablanormal"/>
    <w:rsid w:val="00AC2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C12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126E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650F0"/>
    <w:rPr>
      <w:b/>
      <w:bCs/>
    </w:rPr>
  </w:style>
  <w:style w:type="character" w:customStyle="1" w:styleId="txt08gr32">
    <w:name w:val="txt08gr32"/>
    <w:basedOn w:val="Fuentedeprrafopredeter"/>
    <w:rsid w:val="00F650F0"/>
    <w:rPr>
      <w:rFonts w:ascii="Arial" w:hAnsi="Arial" w:cs="Arial" w:hint="default"/>
      <w:color w:val="666666"/>
      <w:sz w:val="19"/>
      <w:szCs w:val="19"/>
    </w:rPr>
  </w:style>
  <w:style w:type="character" w:customStyle="1" w:styleId="PrrafodelistaCar">
    <w:name w:val="Párrafo de lista Car"/>
    <w:link w:val="Prrafodelista"/>
    <w:uiPriority w:val="34"/>
    <w:locked/>
    <w:rsid w:val="00976C6B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04C4E-003B-4884-AC42-7EF90CFB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725</Words>
  <Characters>3882</Characters>
  <Application>Microsoft Office Word</Application>
  <DocSecurity>0</DocSecurity>
  <Lines>87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ICM</dc:creator>
  <cp:keywords/>
  <dc:description/>
  <cp:lastModifiedBy>DIAZ ARCONES, ALBERTO</cp:lastModifiedBy>
  <cp:revision>4</cp:revision>
  <cp:lastPrinted>2018-02-27T15:32:00Z</cp:lastPrinted>
  <dcterms:created xsi:type="dcterms:W3CDTF">2018-02-27T12:36:00Z</dcterms:created>
  <dcterms:modified xsi:type="dcterms:W3CDTF">2018-02-27T15:33:00Z</dcterms:modified>
</cp:coreProperties>
</file>