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drawings/drawing1.xml" ContentType="application/vnd.openxmlformats-officedocument.drawingml.chartshapes+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drawings/drawing2.xml" ContentType="application/vnd.openxmlformats-officedocument.drawingml.chartshapes+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3.xml" ContentType="application/vnd.openxmlformats-officedocument.drawingml.chartshapes+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7.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5.xml" ContentType="application/vnd.openxmlformats-officedocument.drawingml.chart+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theme/themeOverride8.xml" ContentType="application/vnd.openxmlformats-officedocument.themeOverride+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theme/themeOverride9.xml" ContentType="application/vnd.openxmlformats-officedocument.themeOverride+xml"/>
  <Override PartName="/word/charts/chart53.xml" ContentType="application/vnd.openxmlformats-officedocument.drawingml.chart+xml"/>
  <Override PartName="/word/theme/themeOverride10.xml" ContentType="application/vnd.openxmlformats-officedocument.themeOverride+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64.xml" ContentType="application/vnd.openxmlformats-officedocument.drawingml.chart+xml"/>
  <Override PartName="/word/charts/chart65.xml" ContentType="application/vnd.openxmlformats-officedocument.drawingml.chart+xml"/>
  <Override PartName="/word/charts/style29.xml" ContentType="application/vnd.ms-office.chartstyle+xml"/>
  <Override PartName="/word/charts/colors2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5D13" w:rsidRPr="00A71B61" w:rsidRDefault="00340B43">
      <w:pPr>
        <w:rPr>
          <w:szCs w:val="20"/>
        </w:rPr>
        <w:sectPr w:rsidR="00B35D13" w:rsidRPr="00A71B61" w:rsidSect="00B35D13">
          <w:headerReference w:type="default" r:id="rId8"/>
          <w:footerReference w:type="default" r:id="rId9"/>
          <w:pgSz w:w="11906" w:h="16838" w:code="9"/>
          <w:pgMar w:top="0" w:right="0" w:bottom="0" w:left="0" w:header="737" w:footer="284" w:gutter="0"/>
          <w:cols w:space="708"/>
          <w:docGrid w:linePitch="360"/>
        </w:sectPr>
      </w:pPr>
      <w:bookmarkStart w:id="0" w:name="_Toc56606550"/>
      <w:r w:rsidRPr="00A71B61">
        <w:rPr>
          <w:noProof/>
          <w:szCs w:val="20"/>
          <w:lang w:eastAsia="es-ES"/>
        </w:rPr>
        <w:drawing>
          <wp:anchor distT="0" distB="0" distL="114300" distR="114300" simplePos="0" relativeHeight="251670528" behindDoc="0" locked="0" layoutInCell="1" allowOverlap="1">
            <wp:simplePos x="0" y="0"/>
            <wp:positionH relativeFrom="margin">
              <wp:align>right</wp:align>
            </wp:positionH>
            <wp:positionV relativeFrom="paragraph">
              <wp:posOffset>-814705</wp:posOffset>
            </wp:positionV>
            <wp:extent cx="7560000" cy="10692000"/>
            <wp:effectExtent l="0" t="0" r="3175" b="0"/>
            <wp:wrapNone/>
            <wp:docPr id="17" name="Imagen 17" descr="C:\Users\50047396v\Desktop\Portada_CentroTransf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50047396v\Desktop\Portada_CentroTransfusion.jpg"/>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tabs>
          <w:tab w:val="left" w:pos="4879"/>
        </w:tabs>
        <w:rPr>
          <w:szCs w:val="20"/>
        </w:rPr>
      </w:pPr>
      <w:r w:rsidRPr="00A71B61">
        <w:rPr>
          <w:szCs w:val="20"/>
        </w:rPr>
        <w:tab/>
      </w:r>
    </w:p>
    <w:p w:rsidR="00C645E5" w:rsidRPr="00A71B61" w:rsidRDefault="00C645E5" w:rsidP="00C645E5">
      <w:pPr>
        <w:rPr>
          <w:szCs w:val="20"/>
        </w:rPr>
      </w:pPr>
    </w:p>
    <w:p w:rsidR="00C645E5" w:rsidRPr="00A71B61" w:rsidRDefault="00C645E5" w:rsidP="00C645E5">
      <w:pPr>
        <w:rPr>
          <w:szCs w:val="20"/>
        </w:rPr>
      </w:pPr>
      <w:r w:rsidRPr="00A71B61">
        <w:rPr>
          <w:noProof/>
          <w:szCs w:val="20"/>
          <w:lang w:eastAsia="es-ES"/>
        </w:rPr>
        <w:drawing>
          <wp:anchor distT="0" distB="0" distL="114300" distR="114300" simplePos="0" relativeHeight="251672576" behindDoc="1" locked="0" layoutInCell="1" allowOverlap="1" wp14:anchorId="3BB30458" wp14:editId="5DBA6F58">
            <wp:simplePos x="0" y="0"/>
            <wp:positionH relativeFrom="page">
              <wp:align>center</wp:align>
            </wp:positionH>
            <wp:positionV relativeFrom="paragraph">
              <wp:posOffset>74732</wp:posOffset>
            </wp:positionV>
            <wp:extent cx="2620645" cy="1637665"/>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11" cstate="screen">
                      <a:extLst>
                        <a:ext uri="{28A0092B-C50C-407E-A947-70E740481C1C}">
                          <a14:useLocalDpi xmlns:a14="http://schemas.microsoft.com/office/drawing/2010/main"/>
                        </a:ext>
                      </a:extLst>
                    </a:blip>
                    <a:srcRect b="70763"/>
                    <a:stretch/>
                  </pic:blipFill>
                  <pic:spPr bwMode="auto">
                    <a:xfrm>
                      <a:off x="0" y="0"/>
                      <a:ext cx="2620645" cy="1637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45E5" w:rsidRPr="00A71B61" w:rsidRDefault="00C645E5" w:rsidP="00C645E5">
      <w:pPr>
        <w:tabs>
          <w:tab w:val="left" w:pos="5932"/>
        </w:tabs>
        <w:rPr>
          <w:szCs w:val="20"/>
        </w:rPr>
      </w:pPr>
      <w:r w:rsidRPr="00A71B61">
        <w:rPr>
          <w:szCs w:val="20"/>
        </w:rPr>
        <w:tab/>
      </w: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rPr>
          <w:szCs w:val="20"/>
        </w:rPr>
      </w:pPr>
    </w:p>
    <w:p w:rsidR="00C645E5" w:rsidRPr="00A71B61" w:rsidRDefault="00C645E5" w:rsidP="00C645E5">
      <w:pPr>
        <w:rPr>
          <w:szCs w:val="20"/>
        </w:rPr>
      </w:pPr>
    </w:p>
    <w:p w:rsidR="00C645E5" w:rsidRPr="00A71B61" w:rsidRDefault="00FF52BE" w:rsidP="00C645E5">
      <w:pPr>
        <w:rPr>
          <w:szCs w:val="20"/>
        </w:rPr>
      </w:pPr>
      <w:r w:rsidRPr="00A71B61">
        <w:rPr>
          <w:noProof/>
          <w:szCs w:val="20"/>
          <w:lang w:eastAsia="es-ES"/>
        </w:rPr>
        <mc:AlternateContent>
          <mc:Choice Requires="wps">
            <w:drawing>
              <wp:anchor distT="45720" distB="45720" distL="114300" distR="114300" simplePos="0" relativeHeight="251673600" behindDoc="0" locked="0" layoutInCell="1" allowOverlap="1" wp14:anchorId="544E78D4" wp14:editId="617E5280">
                <wp:simplePos x="0" y="0"/>
                <wp:positionH relativeFrom="margin">
                  <wp:posOffset>534670</wp:posOffset>
                </wp:positionH>
                <wp:positionV relativeFrom="paragraph">
                  <wp:posOffset>13335</wp:posOffset>
                </wp:positionV>
                <wp:extent cx="3971290" cy="1198880"/>
                <wp:effectExtent l="0" t="0" r="0" b="1270"/>
                <wp:wrapSquare wrapText="bothSides"/>
                <wp:docPr id="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290" cy="1198880"/>
                        </a:xfrm>
                        <a:prstGeom prst="rect">
                          <a:avLst/>
                        </a:prstGeom>
                        <a:noFill/>
                        <a:ln w="9525">
                          <a:noFill/>
                          <a:miter lim="800000"/>
                          <a:headEnd/>
                          <a:tailEnd/>
                        </a:ln>
                      </wps:spPr>
                      <wps:txbx>
                        <w:txbxContent>
                          <w:p w:rsidR="00E87599" w:rsidRDefault="00E87599" w:rsidP="00FF52BE">
                            <w:pPr>
                              <w:spacing w:line="260" w:lineRule="atLeast"/>
                              <w:ind w:right="-857"/>
                              <w:jc w:val="center"/>
                              <w:rPr>
                                <w:rFonts w:ascii="Montserrat SemiBold" w:hAnsi="Montserrat SemiBold" w:cs="Arial"/>
                                <w:b/>
                                <w:color w:val="00B0F0"/>
                                <w:sz w:val="44"/>
                              </w:rPr>
                            </w:pPr>
                            <w:r>
                              <w:rPr>
                                <w:rFonts w:ascii="Montserrat SemiBold" w:hAnsi="Montserrat SemiBold" w:cs="Arial"/>
                                <w:b/>
                                <w:color w:val="00B0F0"/>
                                <w:sz w:val="44"/>
                              </w:rPr>
                              <w:t xml:space="preserve">Centro de Transfusión </w:t>
                            </w:r>
                          </w:p>
                          <w:p w:rsidR="00E87599" w:rsidRPr="003B513B" w:rsidRDefault="00E87599" w:rsidP="00FF52BE">
                            <w:pPr>
                              <w:spacing w:line="260" w:lineRule="atLeast"/>
                              <w:ind w:right="-857"/>
                              <w:jc w:val="center"/>
                              <w:rPr>
                                <w:rFonts w:ascii="Montserrat SemiBold" w:hAnsi="Montserrat SemiBold" w:cs="Arial"/>
                                <w:b/>
                                <w:color w:val="00B0F0"/>
                                <w:sz w:val="44"/>
                              </w:rPr>
                            </w:pPr>
                            <w:r>
                              <w:rPr>
                                <w:rFonts w:ascii="Montserrat SemiBold" w:hAnsi="Montserrat SemiBold" w:cs="Arial"/>
                                <w:b/>
                                <w:color w:val="00B0F0"/>
                                <w:sz w:val="44"/>
                              </w:rPr>
                              <w:t>Comunidad de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4E78D4" id="_x0000_t202" coordsize="21600,21600" o:spt="202" path="m,l,21600r21600,l21600,xe">
                <v:stroke joinstyle="miter"/>
                <v:path gradientshapeok="t" o:connecttype="rect"/>
              </v:shapetype>
              <v:shape id="_x0000_s1026" type="#_x0000_t202" style="position:absolute;left:0;text-align:left;margin-left:42.1pt;margin-top:1.05pt;width:312.7pt;height:94.4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" filled="f" stroked="f">
                <v:textbox>
                  <w:txbxContent>
                    <w:p w:rsidR="00E87599" w:rsidRDefault="00E87599" w:rsidP="00FF52BE">
                      <w:pPr>
                        <w:spacing w:line="260" w:lineRule="atLeast"/>
                        <w:ind w:right="-857"/>
                        <w:jc w:val="center"/>
                        <w:rPr>
                          <w:rFonts w:ascii="Montserrat SemiBold" w:hAnsi="Montserrat SemiBold" w:cs="Arial"/>
                          <w:b/>
                          <w:color w:val="00B0F0"/>
                          <w:sz w:val="44"/>
                        </w:rPr>
                      </w:pPr>
                      <w:r>
                        <w:rPr>
                          <w:rFonts w:ascii="Montserrat SemiBold" w:hAnsi="Montserrat SemiBold" w:cs="Arial"/>
                          <w:b/>
                          <w:color w:val="00B0F0"/>
                          <w:sz w:val="44"/>
                        </w:rPr>
                        <w:t xml:space="preserve">Centro de Transfusión </w:t>
                      </w:r>
                    </w:p>
                    <w:p w:rsidR="00E87599" w:rsidRPr="003B513B" w:rsidRDefault="00E87599" w:rsidP="00FF52BE">
                      <w:pPr>
                        <w:spacing w:line="260" w:lineRule="atLeast"/>
                        <w:ind w:right="-857"/>
                        <w:jc w:val="center"/>
                        <w:rPr>
                          <w:rFonts w:ascii="Montserrat SemiBold" w:hAnsi="Montserrat SemiBold" w:cs="Arial"/>
                          <w:b/>
                          <w:color w:val="00B0F0"/>
                          <w:sz w:val="44"/>
                        </w:rPr>
                      </w:pPr>
                      <w:r>
                        <w:rPr>
                          <w:rFonts w:ascii="Montserrat SemiBold" w:hAnsi="Montserrat SemiBold" w:cs="Arial"/>
                          <w:b/>
                          <w:color w:val="00B0F0"/>
                          <w:sz w:val="44"/>
                        </w:rPr>
                        <w:t>Comunidad de Madrid</w:t>
                      </w:r>
                    </w:p>
                  </w:txbxContent>
                </v:textbox>
                <w10:wrap type="square" anchorx="margin"/>
              </v:shape>
            </w:pict>
          </mc:Fallback>
        </mc:AlternateContent>
      </w:r>
    </w:p>
    <w:p w:rsidR="00C645E5" w:rsidRPr="00A71B61" w:rsidRDefault="00C645E5">
      <w:pPr>
        <w:rPr>
          <w:szCs w:val="20"/>
        </w:rPr>
      </w:pPr>
      <w:r w:rsidRPr="00A71B61">
        <w:rPr>
          <w:noProof/>
          <w:szCs w:val="20"/>
          <w:lang w:eastAsia="es-ES"/>
        </w:rPr>
        <w:drawing>
          <wp:anchor distT="0" distB="0" distL="114300" distR="114300" simplePos="0" relativeHeight="251676672" behindDoc="0" locked="0" layoutInCell="1" allowOverlap="1">
            <wp:simplePos x="0" y="0"/>
            <wp:positionH relativeFrom="page">
              <wp:align>center</wp:align>
            </wp:positionH>
            <wp:positionV relativeFrom="paragraph">
              <wp:posOffset>3843655</wp:posOffset>
            </wp:positionV>
            <wp:extent cx="2885704" cy="580754"/>
            <wp:effectExtent l="0" t="0" r="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ENTRO DE TRANSFUSIÓN.jpg"/>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2885704" cy="580754"/>
                    </a:xfrm>
                    <a:prstGeom prst="rect">
                      <a:avLst/>
                    </a:prstGeom>
                  </pic:spPr>
                </pic:pic>
              </a:graphicData>
            </a:graphic>
            <wp14:sizeRelH relativeFrom="margin">
              <wp14:pctWidth>0</wp14:pctWidth>
            </wp14:sizeRelH>
            <wp14:sizeRelV relativeFrom="margin">
              <wp14:pctHeight>0</wp14:pctHeight>
            </wp14:sizeRelV>
          </wp:anchor>
        </w:drawing>
      </w:r>
      <w:r w:rsidRPr="00A71B61">
        <w:rPr>
          <w:szCs w:val="20"/>
        </w:rPr>
        <w:br w:type="page"/>
      </w:r>
    </w:p>
    <w:p w:rsidR="00C645E5" w:rsidRPr="00A71B61" w:rsidRDefault="00C645E5">
      <w:pPr>
        <w:rPr>
          <w:szCs w:val="20"/>
        </w:rPr>
      </w:pPr>
      <w:r w:rsidRPr="00A71B61">
        <w:rPr>
          <w:noProof/>
          <w:szCs w:val="20"/>
          <w:lang w:eastAsia="es-ES"/>
        </w:rPr>
        <w:lastRenderedPageBreak/>
        <mc:AlternateContent>
          <mc:Choice Requires="wps">
            <w:drawing>
              <wp:anchor distT="0" distB="0" distL="114300" distR="114300" simplePos="0" relativeHeight="251675648" behindDoc="0" locked="0" layoutInCell="1" allowOverlap="1" wp14:anchorId="6EA081C9" wp14:editId="1E9FF242">
                <wp:simplePos x="0" y="0"/>
                <wp:positionH relativeFrom="column">
                  <wp:posOffset>-300251</wp:posOffset>
                </wp:positionH>
                <wp:positionV relativeFrom="paragraph">
                  <wp:posOffset>4503762</wp:posOffset>
                </wp:positionV>
                <wp:extent cx="3072130" cy="3352800"/>
                <wp:effectExtent l="0" t="0" r="0" b="0"/>
                <wp:wrapNone/>
                <wp:docPr id="101"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E87599" w:rsidRPr="00E50347" w:rsidRDefault="00E87599" w:rsidP="00C645E5">
                            <w:pPr>
                              <w:rPr>
                                <w:b/>
                                <w:color w:val="7F7F7F" w:themeColor="text1" w:themeTint="80"/>
                              </w:rPr>
                            </w:pPr>
                            <w:r w:rsidRPr="00E50347">
                              <w:rPr>
                                <w:b/>
                                <w:color w:val="7F7F7F" w:themeColor="text1" w:themeTint="80"/>
                              </w:rPr>
                              <w:t>CONSEJERÍA DE SANIDAD</w:t>
                            </w:r>
                          </w:p>
                          <w:p w:rsidR="00E87599" w:rsidRPr="00E50347" w:rsidRDefault="00E87599" w:rsidP="00C645E5">
                            <w:pPr>
                              <w:rPr>
                                <w:color w:val="7F7F7F" w:themeColor="text1" w:themeTint="80"/>
                              </w:rPr>
                            </w:pPr>
                          </w:p>
                          <w:p w:rsidR="00E87599" w:rsidRPr="00E50347" w:rsidRDefault="00E87599" w:rsidP="00C645E5">
                            <w:pPr>
                              <w:rPr>
                                <w:b/>
                                <w:color w:val="7F7F7F" w:themeColor="text1" w:themeTint="80"/>
                              </w:rPr>
                            </w:pPr>
                            <w:r w:rsidRPr="00E50347">
                              <w:rPr>
                                <w:b/>
                                <w:color w:val="7F7F7F" w:themeColor="text1" w:themeTint="80"/>
                              </w:rPr>
                              <w:t xml:space="preserve">Coordina: </w:t>
                            </w:r>
                          </w:p>
                          <w:p w:rsidR="00E87599" w:rsidRPr="00E50347" w:rsidRDefault="00E87599" w:rsidP="00C45C2C">
                            <w:pPr>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E87599" w:rsidRPr="00E50347" w:rsidRDefault="00E87599" w:rsidP="00C645E5">
                            <w:pPr>
                              <w:rPr>
                                <w:color w:val="7F7F7F" w:themeColor="text1" w:themeTint="80"/>
                              </w:rPr>
                            </w:pPr>
                          </w:p>
                          <w:p w:rsidR="00E87599" w:rsidRPr="00E50347" w:rsidRDefault="00E87599" w:rsidP="00C645E5">
                            <w:pPr>
                              <w:rPr>
                                <w:color w:val="7F7F7F" w:themeColor="text1" w:themeTint="80"/>
                              </w:rPr>
                            </w:pPr>
                            <w:r w:rsidRPr="00E50347">
                              <w:rPr>
                                <w:color w:val="7F7F7F" w:themeColor="text1" w:themeTint="80"/>
                              </w:rPr>
                              <w:t>© Comunidad de Madrid</w:t>
                            </w:r>
                          </w:p>
                          <w:p w:rsidR="00E87599" w:rsidRPr="00E50347" w:rsidRDefault="00E87599" w:rsidP="00C645E5">
                            <w:pPr>
                              <w:rPr>
                                <w:color w:val="7F7F7F" w:themeColor="text1" w:themeTint="80"/>
                              </w:rPr>
                            </w:pPr>
                            <w:r w:rsidRPr="00E50347">
                              <w:rPr>
                                <w:color w:val="7F7F7F" w:themeColor="text1" w:themeTint="80"/>
                              </w:rPr>
                              <w:t>Edita: Servicio Madrileño de Salud</w:t>
                            </w:r>
                          </w:p>
                          <w:p w:rsidR="00E87599" w:rsidRPr="00E50347" w:rsidRDefault="00E87599" w:rsidP="00C645E5">
                            <w:pPr>
                              <w:rPr>
                                <w:color w:val="7F7F7F" w:themeColor="text1" w:themeTint="80"/>
                              </w:rPr>
                            </w:pPr>
                          </w:p>
                          <w:p w:rsidR="00E87599" w:rsidRPr="00E50347" w:rsidRDefault="00E87599" w:rsidP="00C645E5">
                            <w:pPr>
                              <w:rPr>
                                <w:b/>
                                <w:color w:val="7F7F7F" w:themeColor="text1" w:themeTint="80"/>
                              </w:rPr>
                            </w:pPr>
                            <w:r w:rsidRPr="00E50347">
                              <w:rPr>
                                <w:b/>
                                <w:color w:val="7F7F7F" w:themeColor="text1" w:themeTint="80"/>
                              </w:rPr>
                              <w:t>Edición electrónica</w:t>
                            </w:r>
                          </w:p>
                          <w:p w:rsidR="00E87599" w:rsidRPr="00E50347" w:rsidRDefault="00E87599" w:rsidP="00C645E5">
                            <w:pPr>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E87599" w:rsidRPr="00E50347" w:rsidRDefault="00E87599" w:rsidP="00C645E5">
                            <w:pPr>
                              <w:rPr>
                                <w:color w:val="7F7F7F" w:themeColor="text1" w:themeTint="80"/>
                              </w:rPr>
                            </w:pPr>
                          </w:p>
                          <w:p w:rsidR="00E87599" w:rsidRPr="00E50347" w:rsidRDefault="00E87599" w:rsidP="00C645E5">
                            <w:pPr>
                              <w:rPr>
                                <w:color w:val="7F7F7F" w:themeColor="text1" w:themeTint="80"/>
                              </w:rPr>
                            </w:pPr>
                            <w:r w:rsidRPr="00E50347">
                              <w:rPr>
                                <w:color w:val="7F7F7F" w:themeColor="text1" w:themeTint="80"/>
                              </w:rPr>
                              <w:t>Impreso en España – Printed in Spain</w:t>
                            </w:r>
                          </w:p>
                          <w:p w:rsidR="00E87599" w:rsidRPr="00E50347" w:rsidRDefault="00E87599" w:rsidP="00C645E5">
                            <w:pPr>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081C9" id="Text Box 426" o:spid="_x0000_s1027" type="#_x0000_t202" style="position:absolute;left:0;text-align:left;margin-left:-23.65pt;margin-top:354.65pt;width:241.9pt;height:2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" filled="f" stroked="f">
                <v:textbox>
                  <w:txbxContent>
                    <w:p w:rsidR="00E87599" w:rsidRPr="00E50347" w:rsidRDefault="00E87599" w:rsidP="00C645E5">
                      <w:pPr>
                        <w:rPr>
                          <w:b/>
                          <w:color w:val="7F7F7F" w:themeColor="text1" w:themeTint="80"/>
                        </w:rPr>
                      </w:pPr>
                      <w:r w:rsidRPr="00E50347">
                        <w:rPr>
                          <w:b/>
                          <w:color w:val="7F7F7F" w:themeColor="text1" w:themeTint="80"/>
                        </w:rPr>
                        <w:t>CONSEJERÍA DE SANIDAD</w:t>
                      </w:r>
                    </w:p>
                    <w:p w:rsidR="00E87599" w:rsidRPr="00E50347" w:rsidRDefault="00E87599" w:rsidP="00C645E5">
                      <w:pPr>
                        <w:rPr>
                          <w:color w:val="7F7F7F" w:themeColor="text1" w:themeTint="80"/>
                        </w:rPr>
                      </w:pPr>
                    </w:p>
                    <w:p w:rsidR="00E87599" w:rsidRPr="00E50347" w:rsidRDefault="00E87599" w:rsidP="00C645E5">
                      <w:pPr>
                        <w:rPr>
                          <w:b/>
                          <w:color w:val="7F7F7F" w:themeColor="text1" w:themeTint="80"/>
                        </w:rPr>
                      </w:pPr>
                      <w:r w:rsidRPr="00E50347">
                        <w:rPr>
                          <w:b/>
                          <w:color w:val="7F7F7F" w:themeColor="text1" w:themeTint="80"/>
                        </w:rPr>
                        <w:t xml:space="preserve">Coordina: </w:t>
                      </w:r>
                    </w:p>
                    <w:p w:rsidR="00E87599" w:rsidRPr="00E50347" w:rsidRDefault="00E87599" w:rsidP="00C45C2C">
                      <w:pPr>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E87599" w:rsidRPr="00E50347" w:rsidRDefault="00E87599" w:rsidP="00C645E5">
                      <w:pPr>
                        <w:rPr>
                          <w:color w:val="7F7F7F" w:themeColor="text1" w:themeTint="80"/>
                        </w:rPr>
                      </w:pPr>
                    </w:p>
                    <w:p w:rsidR="00E87599" w:rsidRPr="00E50347" w:rsidRDefault="00E87599" w:rsidP="00C645E5">
                      <w:pPr>
                        <w:rPr>
                          <w:color w:val="7F7F7F" w:themeColor="text1" w:themeTint="80"/>
                        </w:rPr>
                      </w:pPr>
                      <w:r w:rsidRPr="00E50347">
                        <w:rPr>
                          <w:color w:val="7F7F7F" w:themeColor="text1" w:themeTint="80"/>
                        </w:rPr>
                        <w:t>© Comunidad de Madrid</w:t>
                      </w:r>
                    </w:p>
                    <w:p w:rsidR="00E87599" w:rsidRPr="00E50347" w:rsidRDefault="00E87599" w:rsidP="00C645E5">
                      <w:pPr>
                        <w:rPr>
                          <w:color w:val="7F7F7F" w:themeColor="text1" w:themeTint="80"/>
                        </w:rPr>
                      </w:pPr>
                      <w:r w:rsidRPr="00E50347">
                        <w:rPr>
                          <w:color w:val="7F7F7F" w:themeColor="text1" w:themeTint="80"/>
                        </w:rPr>
                        <w:t>Edita: Servicio Madrileño de Salud</w:t>
                      </w:r>
                    </w:p>
                    <w:p w:rsidR="00E87599" w:rsidRPr="00E50347" w:rsidRDefault="00E87599" w:rsidP="00C645E5">
                      <w:pPr>
                        <w:rPr>
                          <w:color w:val="7F7F7F" w:themeColor="text1" w:themeTint="80"/>
                        </w:rPr>
                      </w:pPr>
                    </w:p>
                    <w:p w:rsidR="00E87599" w:rsidRPr="00E50347" w:rsidRDefault="00E87599" w:rsidP="00C645E5">
                      <w:pPr>
                        <w:rPr>
                          <w:b/>
                          <w:color w:val="7F7F7F" w:themeColor="text1" w:themeTint="80"/>
                        </w:rPr>
                      </w:pPr>
                      <w:r w:rsidRPr="00E50347">
                        <w:rPr>
                          <w:b/>
                          <w:color w:val="7F7F7F" w:themeColor="text1" w:themeTint="80"/>
                        </w:rPr>
                        <w:t>Edición electrónica</w:t>
                      </w:r>
                    </w:p>
                    <w:p w:rsidR="00E87599" w:rsidRPr="00E50347" w:rsidRDefault="00E87599" w:rsidP="00C645E5">
                      <w:pPr>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E87599" w:rsidRPr="00E50347" w:rsidRDefault="00E87599" w:rsidP="00C645E5">
                      <w:pPr>
                        <w:rPr>
                          <w:color w:val="7F7F7F" w:themeColor="text1" w:themeTint="80"/>
                        </w:rPr>
                      </w:pPr>
                    </w:p>
                    <w:p w:rsidR="00E87599" w:rsidRPr="00E50347" w:rsidRDefault="00E87599" w:rsidP="00C645E5">
                      <w:pPr>
                        <w:rPr>
                          <w:color w:val="7F7F7F" w:themeColor="text1" w:themeTint="80"/>
                        </w:rPr>
                      </w:pPr>
                      <w:r w:rsidRPr="00E50347">
                        <w:rPr>
                          <w:color w:val="7F7F7F" w:themeColor="text1" w:themeTint="80"/>
                        </w:rPr>
                        <w:t>Impreso en España – Printed in Spain</w:t>
                      </w:r>
                    </w:p>
                    <w:p w:rsidR="00E87599" w:rsidRPr="00E50347" w:rsidRDefault="00E87599" w:rsidP="00C645E5">
                      <w:pPr>
                        <w:rPr>
                          <w:color w:val="7F7F7F" w:themeColor="text1" w:themeTint="80"/>
                        </w:rPr>
                      </w:pPr>
                    </w:p>
                  </w:txbxContent>
                </v:textbox>
              </v:shape>
            </w:pict>
          </mc:Fallback>
        </mc:AlternateContent>
      </w:r>
      <w:r w:rsidRPr="00A71B61">
        <w:rPr>
          <w:szCs w:val="20"/>
        </w:rPr>
        <w:br w:type="page"/>
      </w:r>
    </w:p>
    <w:p w:rsidR="00340B43" w:rsidRPr="00A71B61" w:rsidRDefault="00340B43">
      <w:pPr>
        <w:rPr>
          <w:szCs w:val="20"/>
        </w:rPr>
      </w:pPr>
    </w:p>
    <w:p w:rsidR="00C645E5" w:rsidRPr="00A71B61" w:rsidRDefault="00C645E5">
      <w:pPr>
        <w:rPr>
          <w:szCs w:val="20"/>
        </w:rPr>
      </w:pPr>
    </w:p>
    <w:sdt>
      <w:sdtPr>
        <w:rPr>
          <w:rFonts w:asciiTheme="minorHAnsi" w:eastAsiaTheme="minorHAnsi" w:hAnsiTheme="minorHAnsi" w:cstheme="minorBidi"/>
          <w:color w:val="auto"/>
          <w:sz w:val="20"/>
          <w:szCs w:val="20"/>
          <w:lang w:eastAsia="en-US"/>
        </w:rPr>
        <w:id w:val="355001704"/>
        <w:docPartObj>
          <w:docPartGallery w:val="Table of Contents"/>
          <w:docPartUnique/>
        </w:docPartObj>
      </w:sdtPr>
      <w:sdtEndPr>
        <w:rPr>
          <w:b/>
          <w:bCs/>
        </w:rPr>
      </w:sdtEndPr>
      <w:sdtContent>
        <w:p w:rsidR="00340B43" w:rsidRPr="00A71B61" w:rsidRDefault="0002242D">
          <w:pPr>
            <w:pStyle w:val="TtuloTDC"/>
            <w:rPr>
              <w:sz w:val="20"/>
              <w:szCs w:val="20"/>
            </w:rPr>
          </w:pPr>
          <w:r>
            <w:rPr>
              <w:sz w:val="20"/>
              <w:szCs w:val="20"/>
            </w:rPr>
            <w:t>Índice</w:t>
          </w:r>
        </w:p>
        <w:p w:rsidR="00AB3790" w:rsidRDefault="00001F87">
          <w:pPr>
            <w:pStyle w:val="TDC1"/>
            <w:rPr>
              <w:rFonts w:asciiTheme="minorHAnsi" w:eastAsiaTheme="minorEastAsia" w:hAnsiTheme="minorHAnsi"/>
              <w:color w:val="auto"/>
              <w:lang w:eastAsia="es-ES"/>
            </w:rPr>
          </w:pPr>
          <w:r>
            <w:rPr>
              <w:b/>
              <w:bCs/>
              <w:sz w:val="20"/>
              <w:szCs w:val="20"/>
            </w:rPr>
            <w:fldChar w:fldCharType="begin"/>
          </w:r>
          <w:r>
            <w:rPr>
              <w:b/>
              <w:bCs/>
              <w:sz w:val="20"/>
              <w:szCs w:val="20"/>
            </w:rPr>
            <w:instrText xml:space="preserve"> TOC \o "1-2" \h \z \u </w:instrText>
          </w:r>
          <w:r>
            <w:rPr>
              <w:b/>
              <w:bCs/>
              <w:sz w:val="20"/>
              <w:szCs w:val="20"/>
            </w:rPr>
            <w:fldChar w:fldCharType="separate"/>
          </w:r>
          <w:hyperlink w:anchor="_Toc90584850" w:history="1">
            <w:r w:rsidR="00AB3790" w:rsidRPr="001927B2">
              <w:rPr>
                <w:rStyle w:val="Hipervnculo"/>
              </w:rPr>
              <w:t>Presentación</w:t>
            </w:r>
            <w:r w:rsidR="00AB3790">
              <w:rPr>
                <w:webHidden/>
              </w:rPr>
              <w:tab/>
            </w:r>
            <w:r w:rsidR="00AB3790">
              <w:rPr>
                <w:webHidden/>
              </w:rPr>
              <w:fldChar w:fldCharType="begin"/>
            </w:r>
            <w:r w:rsidR="00AB3790">
              <w:rPr>
                <w:webHidden/>
              </w:rPr>
              <w:instrText xml:space="preserve"> PAGEREF _Toc90584850 \h </w:instrText>
            </w:r>
            <w:r w:rsidR="00AB3790">
              <w:rPr>
                <w:webHidden/>
              </w:rPr>
            </w:r>
            <w:r w:rsidR="00AB3790">
              <w:rPr>
                <w:webHidden/>
              </w:rPr>
              <w:fldChar w:fldCharType="separate"/>
            </w:r>
            <w:r w:rsidR="00AB3790">
              <w:rPr>
                <w:webHidden/>
              </w:rPr>
              <w:t>6</w:t>
            </w:r>
            <w:r w:rsidR="00AB3790">
              <w:rPr>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51" w:history="1">
            <w:r w:rsidRPr="001927B2">
              <w:rPr>
                <w:rStyle w:val="Hipervnculo"/>
              </w:rPr>
              <w:t>Recursos humanos</w:t>
            </w:r>
            <w:r>
              <w:rPr>
                <w:webHidden/>
              </w:rPr>
              <w:tab/>
            </w:r>
            <w:r>
              <w:rPr>
                <w:webHidden/>
              </w:rPr>
              <w:fldChar w:fldCharType="begin"/>
            </w:r>
            <w:r>
              <w:rPr>
                <w:webHidden/>
              </w:rPr>
              <w:instrText xml:space="preserve"> PAGEREF _Toc90584851 \h </w:instrText>
            </w:r>
            <w:r>
              <w:rPr>
                <w:webHidden/>
              </w:rPr>
            </w:r>
            <w:r>
              <w:rPr>
                <w:webHidden/>
              </w:rPr>
              <w:fldChar w:fldCharType="separate"/>
            </w:r>
            <w:r>
              <w:rPr>
                <w:webHidden/>
              </w:rPr>
              <w:t>7</w:t>
            </w:r>
            <w:r>
              <w:rPr>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52" w:history="1">
            <w:r w:rsidRPr="001927B2">
              <w:rPr>
                <w:rStyle w:val="Hipervnculo"/>
              </w:rPr>
              <w:t>Datos económicos (resumen)</w:t>
            </w:r>
            <w:r>
              <w:rPr>
                <w:webHidden/>
              </w:rPr>
              <w:tab/>
            </w:r>
            <w:r>
              <w:rPr>
                <w:webHidden/>
              </w:rPr>
              <w:fldChar w:fldCharType="begin"/>
            </w:r>
            <w:r>
              <w:rPr>
                <w:webHidden/>
              </w:rPr>
              <w:instrText xml:space="preserve"> PAGEREF _Toc90584852 \h </w:instrText>
            </w:r>
            <w:r>
              <w:rPr>
                <w:webHidden/>
              </w:rPr>
            </w:r>
            <w:r>
              <w:rPr>
                <w:webHidden/>
              </w:rPr>
              <w:fldChar w:fldCharType="separate"/>
            </w:r>
            <w:r>
              <w:rPr>
                <w:webHidden/>
              </w:rPr>
              <w:t>9</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53" w:history="1">
            <w:r w:rsidRPr="001927B2">
              <w:rPr>
                <w:rStyle w:val="Hipervnculo"/>
                <w:noProof/>
              </w:rPr>
              <w:t>Gastos</w:t>
            </w:r>
            <w:r>
              <w:rPr>
                <w:noProof/>
                <w:webHidden/>
              </w:rPr>
              <w:tab/>
            </w:r>
            <w:r>
              <w:rPr>
                <w:noProof/>
                <w:webHidden/>
              </w:rPr>
              <w:fldChar w:fldCharType="begin"/>
            </w:r>
            <w:r>
              <w:rPr>
                <w:noProof/>
                <w:webHidden/>
              </w:rPr>
              <w:instrText xml:space="preserve"> PAGEREF _Toc90584853 \h </w:instrText>
            </w:r>
            <w:r>
              <w:rPr>
                <w:noProof/>
                <w:webHidden/>
              </w:rPr>
            </w:r>
            <w:r>
              <w:rPr>
                <w:noProof/>
                <w:webHidden/>
              </w:rPr>
              <w:fldChar w:fldCharType="separate"/>
            </w:r>
            <w:r>
              <w:rPr>
                <w:noProof/>
                <w:webHidden/>
              </w:rPr>
              <w:t>9</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54" w:history="1">
            <w:r w:rsidRPr="001927B2">
              <w:rPr>
                <w:rStyle w:val="Hipervnculo"/>
                <w:noProof/>
              </w:rPr>
              <w:t>Resumen</w:t>
            </w:r>
            <w:r>
              <w:rPr>
                <w:noProof/>
                <w:webHidden/>
              </w:rPr>
              <w:tab/>
            </w:r>
            <w:r>
              <w:rPr>
                <w:noProof/>
                <w:webHidden/>
              </w:rPr>
              <w:fldChar w:fldCharType="begin"/>
            </w:r>
            <w:r>
              <w:rPr>
                <w:noProof/>
                <w:webHidden/>
              </w:rPr>
              <w:instrText xml:space="preserve"> PAGEREF _Toc90584854 \h </w:instrText>
            </w:r>
            <w:r>
              <w:rPr>
                <w:noProof/>
                <w:webHidden/>
              </w:rPr>
            </w:r>
            <w:r>
              <w:rPr>
                <w:noProof/>
                <w:webHidden/>
              </w:rPr>
              <w:fldChar w:fldCharType="separate"/>
            </w:r>
            <w:r>
              <w:rPr>
                <w:noProof/>
                <w:webHidden/>
              </w:rPr>
              <w:t>9</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55" w:history="1">
            <w:r w:rsidRPr="001927B2">
              <w:rPr>
                <w:rStyle w:val="Hipervnculo"/>
                <w:noProof/>
              </w:rPr>
              <w:t>Gastos corrientes</w:t>
            </w:r>
            <w:r>
              <w:rPr>
                <w:noProof/>
                <w:webHidden/>
              </w:rPr>
              <w:tab/>
            </w:r>
            <w:r>
              <w:rPr>
                <w:noProof/>
                <w:webHidden/>
              </w:rPr>
              <w:fldChar w:fldCharType="begin"/>
            </w:r>
            <w:r>
              <w:rPr>
                <w:noProof/>
                <w:webHidden/>
              </w:rPr>
              <w:instrText xml:space="preserve"> PAGEREF _Toc90584855 \h </w:instrText>
            </w:r>
            <w:r>
              <w:rPr>
                <w:noProof/>
                <w:webHidden/>
              </w:rPr>
            </w:r>
            <w:r>
              <w:rPr>
                <w:noProof/>
                <w:webHidden/>
              </w:rPr>
              <w:fldChar w:fldCharType="separate"/>
            </w:r>
            <w:r>
              <w:rPr>
                <w:noProof/>
                <w:webHidden/>
              </w:rPr>
              <w:t>9</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56" w:history="1">
            <w:r w:rsidRPr="001927B2">
              <w:rPr>
                <w:rStyle w:val="Hipervnculo"/>
                <w:noProof/>
              </w:rPr>
              <w:t>Inversiones</w:t>
            </w:r>
            <w:r>
              <w:rPr>
                <w:noProof/>
                <w:webHidden/>
              </w:rPr>
              <w:tab/>
            </w:r>
            <w:r>
              <w:rPr>
                <w:noProof/>
                <w:webHidden/>
              </w:rPr>
              <w:fldChar w:fldCharType="begin"/>
            </w:r>
            <w:r>
              <w:rPr>
                <w:noProof/>
                <w:webHidden/>
              </w:rPr>
              <w:instrText xml:space="preserve"> PAGEREF _Toc90584856 \h </w:instrText>
            </w:r>
            <w:r>
              <w:rPr>
                <w:noProof/>
                <w:webHidden/>
              </w:rPr>
            </w:r>
            <w:r>
              <w:rPr>
                <w:noProof/>
                <w:webHidden/>
              </w:rPr>
              <w:fldChar w:fldCharType="separate"/>
            </w:r>
            <w:r>
              <w:rPr>
                <w:noProof/>
                <w:webHidden/>
              </w:rPr>
              <w:t>10</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57" w:history="1">
            <w:r w:rsidRPr="001927B2">
              <w:rPr>
                <w:rStyle w:val="Hipervnculo"/>
                <w:noProof/>
              </w:rPr>
              <w:t>Ingresos</w:t>
            </w:r>
            <w:r>
              <w:rPr>
                <w:noProof/>
                <w:webHidden/>
              </w:rPr>
              <w:tab/>
            </w:r>
            <w:r>
              <w:rPr>
                <w:noProof/>
                <w:webHidden/>
              </w:rPr>
              <w:fldChar w:fldCharType="begin"/>
            </w:r>
            <w:r>
              <w:rPr>
                <w:noProof/>
                <w:webHidden/>
              </w:rPr>
              <w:instrText xml:space="preserve"> PAGEREF _Toc90584857 \h </w:instrText>
            </w:r>
            <w:r>
              <w:rPr>
                <w:noProof/>
                <w:webHidden/>
              </w:rPr>
            </w:r>
            <w:r>
              <w:rPr>
                <w:noProof/>
                <w:webHidden/>
              </w:rPr>
              <w:fldChar w:fldCharType="separate"/>
            </w:r>
            <w:r>
              <w:rPr>
                <w:noProof/>
                <w:webHidden/>
              </w:rPr>
              <w:t>10</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58" w:history="1">
            <w:r w:rsidRPr="001927B2">
              <w:rPr>
                <w:rStyle w:val="Hipervnculo"/>
              </w:rPr>
              <w:t>Oficina de Atención al Donante</w:t>
            </w:r>
            <w:r>
              <w:rPr>
                <w:webHidden/>
              </w:rPr>
              <w:tab/>
            </w:r>
            <w:r>
              <w:rPr>
                <w:webHidden/>
              </w:rPr>
              <w:fldChar w:fldCharType="begin"/>
            </w:r>
            <w:r>
              <w:rPr>
                <w:webHidden/>
              </w:rPr>
              <w:instrText xml:space="preserve"> PAGEREF _Toc90584858 \h </w:instrText>
            </w:r>
            <w:r>
              <w:rPr>
                <w:webHidden/>
              </w:rPr>
            </w:r>
            <w:r>
              <w:rPr>
                <w:webHidden/>
              </w:rPr>
              <w:fldChar w:fldCharType="separate"/>
            </w:r>
            <w:r>
              <w:rPr>
                <w:webHidden/>
              </w:rPr>
              <w:t>11</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59" w:history="1">
            <w:r w:rsidRPr="001927B2">
              <w:rPr>
                <w:rStyle w:val="Hipervnculo"/>
                <w:noProof/>
              </w:rPr>
              <w:t>Consultas, Sugerencias, reclamaciones y agradecimientos</w:t>
            </w:r>
            <w:r>
              <w:rPr>
                <w:noProof/>
                <w:webHidden/>
              </w:rPr>
              <w:tab/>
            </w:r>
            <w:r>
              <w:rPr>
                <w:noProof/>
                <w:webHidden/>
              </w:rPr>
              <w:fldChar w:fldCharType="begin"/>
            </w:r>
            <w:r>
              <w:rPr>
                <w:noProof/>
                <w:webHidden/>
              </w:rPr>
              <w:instrText xml:space="preserve"> PAGEREF _Toc90584859 \h </w:instrText>
            </w:r>
            <w:r>
              <w:rPr>
                <w:noProof/>
                <w:webHidden/>
              </w:rPr>
            </w:r>
            <w:r>
              <w:rPr>
                <w:noProof/>
                <w:webHidden/>
              </w:rPr>
              <w:fldChar w:fldCharType="separate"/>
            </w:r>
            <w:r>
              <w:rPr>
                <w:noProof/>
                <w:webHidden/>
              </w:rPr>
              <w:t>11</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60" w:history="1">
            <w:r w:rsidRPr="001927B2">
              <w:rPr>
                <w:rStyle w:val="Hipervnculo"/>
                <w:noProof/>
              </w:rPr>
              <w:t>Teléfono gratuito de atención al ciudadano 900 30 35 30</w:t>
            </w:r>
            <w:r>
              <w:rPr>
                <w:noProof/>
                <w:webHidden/>
              </w:rPr>
              <w:tab/>
            </w:r>
            <w:r>
              <w:rPr>
                <w:noProof/>
                <w:webHidden/>
              </w:rPr>
              <w:fldChar w:fldCharType="begin"/>
            </w:r>
            <w:r>
              <w:rPr>
                <w:noProof/>
                <w:webHidden/>
              </w:rPr>
              <w:instrText xml:space="preserve"> PAGEREF _Toc90584860 \h </w:instrText>
            </w:r>
            <w:r>
              <w:rPr>
                <w:noProof/>
                <w:webHidden/>
              </w:rPr>
            </w:r>
            <w:r>
              <w:rPr>
                <w:noProof/>
                <w:webHidden/>
              </w:rPr>
              <w:fldChar w:fldCharType="separate"/>
            </w:r>
            <w:r>
              <w:rPr>
                <w:noProof/>
                <w:webHidden/>
              </w:rPr>
              <w:t>12</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61" w:history="1">
            <w:r w:rsidRPr="001927B2">
              <w:rPr>
                <w:rStyle w:val="Hipervnculo"/>
              </w:rPr>
              <w:t>Promoción</w:t>
            </w:r>
            <w:r>
              <w:rPr>
                <w:webHidden/>
              </w:rPr>
              <w:tab/>
            </w:r>
            <w:r>
              <w:rPr>
                <w:webHidden/>
              </w:rPr>
              <w:fldChar w:fldCharType="begin"/>
            </w:r>
            <w:r>
              <w:rPr>
                <w:webHidden/>
              </w:rPr>
              <w:instrText xml:space="preserve"> PAGEREF _Toc90584861 \h </w:instrText>
            </w:r>
            <w:r>
              <w:rPr>
                <w:webHidden/>
              </w:rPr>
            </w:r>
            <w:r>
              <w:rPr>
                <w:webHidden/>
              </w:rPr>
              <w:fldChar w:fldCharType="separate"/>
            </w:r>
            <w:r>
              <w:rPr>
                <w:webHidden/>
              </w:rPr>
              <w:t>13</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62" w:history="1">
            <w:r w:rsidRPr="001927B2">
              <w:rPr>
                <w:rStyle w:val="Hipervnculo"/>
                <w:noProof/>
              </w:rPr>
              <w:t>Promoción de la Donación de Sangre</w:t>
            </w:r>
            <w:r>
              <w:rPr>
                <w:noProof/>
                <w:webHidden/>
              </w:rPr>
              <w:tab/>
            </w:r>
            <w:r>
              <w:rPr>
                <w:noProof/>
                <w:webHidden/>
              </w:rPr>
              <w:fldChar w:fldCharType="begin"/>
            </w:r>
            <w:r>
              <w:rPr>
                <w:noProof/>
                <w:webHidden/>
              </w:rPr>
              <w:instrText xml:space="preserve"> PAGEREF _Toc90584862 \h </w:instrText>
            </w:r>
            <w:r>
              <w:rPr>
                <w:noProof/>
                <w:webHidden/>
              </w:rPr>
            </w:r>
            <w:r>
              <w:rPr>
                <w:noProof/>
                <w:webHidden/>
              </w:rPr>
              <w:fldChar w:fldCharType="separate"/>
            </w:r>
            <w:r>
              <w:rPr>
                <w:noProof/>
                <w:webHidden/>
              </w:rPr>
              <w:t>13</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63" w:history="1">
            <w:r w:rsidRPr="001927B2">
              <w:rPr>
                <w:rStyle w:val="Hipervnculo"/>
                <w:noProof/>
              </w:rPr>
              <w:t>Promoción de La donación de Médula Ósea</w:t>
            </w:r>
            <w:r>
              <w:rPr>
                <w:noProof/>
                <w:webHidden/>
              </w:rPr>
              <w:tab/>
            </w:r>
            <w:r>
              <w:rPr>
                <w:noProof/>
                <w:webHidden/>
              </w:rPr>
              <w:fldChar w:fldCharType="begin"/>
            </w:r>
            <w:r>
              <w:rPr>
                <w:noProof/>
                <w:webHidden/>
              </w:rPr>
              <w:instrText xml:space="preserve"> PAGEREF _Toc90584863 \h </w:instrText>
            </w:r>
            <w:r>
              <w:rPr>
                <w:noProof/>
                <w:webHidden/>
              </w:rPr>
            </w:r>
            <w:r>
              <w:rPr>
                <w:noProof/>
                <w:webHidden/>
              </w:rPr>
              <w:fldChar w:fldCharType="separate"/>
            </w:r>
            <w:r>
              <w:rPr>
                <w:noProof/>
                <w:webHidden/>
              </w:rPr>
              <w:t>20</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64" w:history="1">
            <w:r w:rsidRPr="001927B2">
              <w:rPr>
                <w:rStyle w:val="Hipervnculo"/>
                <w:noProof/>
              </w:rPr>
              <w:t>Actividad del Departamento de Reprografía</w:t>
            </w:r>
            <w:r>
              <w:rPr>
                <w:noProof/>
                <w:webHidden/>
              </w:rPr>
              <w:tab/>
            </w:r>
            <w:r>
              <w:rPr>
                <w:noProof/>
                <w:webHidden/>
              </w:rPr>
              <w:fldChar w:fldCharType="begin"/>
            </w:r>
            <w:r>
              <w:rPr>
                <w:noProof/>
                <w:webHidden/>
              </w:rPr>
              <w:instrText xml:space="preserve"> PAGEREF _Toc90584864 \h </w:instrText>
            </w:r>
            <w:r>
              <w:rPr>
                <w:noProof/>
                <w:webHidden/>
              </w:rPr>
            </w:r>
            <w:r>
              <w:rPr>
                <w:noProof/>
                <w:webHidden/>
              </w:rPr>
              <w:fldChar w:fldCharType="separate"/>
            </w:r>
            <w:r>
              <w:rPr>
                <w:noProof/>
                <w:webHidden/>
              </w:rPr>
              <w:t>24</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65" w:history="1">
            <w:r w:rsidRPr="001927B2">
              <w:rPr>
                <w:rStyle w:val="Hipervnculo"/>
                <w:noProof/>
              </w:rPr>
              <w:t>Navidad 2020</w:t>
            </w:r>
            <w:r>
              <w:rPr>
                <w:noProof/>
                <w:webHidden/>
              </w:rPr>
              <w:tab/>
            </w:r>
            <w:r>
              <w:rPr>
                <w:noProof/>
                <w:webHidden/>
              </w:rPr>
              <w:fldChar w:fldCharType="begin"/>
            </w:r>
            <w:r>
              <w:rPr>
                <w:noProof/>
                <w:webHidden/>
              </w:rPr>
              <w:instrText xml:space="preserve"> PAGEREF _Toc90584865 \h </w:instrText>
            </w:r>
            <w:r>
              <w:rPr>
                <w:noProof/>
                <w:webHidden/>
              </w:rPr>
            </w:r>
            <w:r>
              <w:rPr>
                <w:noProof/>
                <w:webHidden/>
              </w:rPr>
              <w:fldChar w:fldCharType="separate"/>
            </w:r>
            <w:r>
              <w:rPr>
                <w:noProof/>
                <w:webHidden/>
              </w:rPr>
              <w:t>25</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66" w:history="1">
            <w:r w:rsidRPr="001927B2">
              <w:rPr>
                <w:rStyle w:val="Hipervnculo"/>
              </w:rPr>
              <w:t>Comunicación</w:t>
            </w:r>
            <w:r>
              <w:rPr>
                <w:webHidden/>
              </w:rPr>
              <w:tab/>
            </w:r>
            <w:r>
              <w:rPr>
                <w:webHidden/>
              </w:rPr>
              <w:fldChar w:fldCharType="begin"/>
            </w:r>
            <w:r>
              <w:rPr>
                <w:webHidden/>
              </w:rPr>
              <w:instrText xml:space="preserve"> PAGEREF _Toc90584866 \h </w:instrText>
            </w:r>
            <w:r>
              <w:rPr>
                <w:webHidden/>
              </w:rPr>
            </w:r>
            <w:r>
              <w:rPr>
                <w:webHidden/>
              </w:rPr>
              <w:fldChar w:fldCharType="separate"/>
            </w:r>
            <w:r>
              <w:rPr>
                <w:webHidden/>
              </w:rPr>
              <w:t>26</w:t>
            </w:r>
            <w:r>
              <w:rPr>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67" w:history="1">
            <w:r w:rsidRPr="001927B2">
              <w:rPr>
                <w:rStyle w:val="Hipervnculo"/>
              </w:rPr>
              <w:t>Donación de Sangre</w:t>
            </w:r>
            <w:r>
              <w:rPr>
                <w:webHidden/>
              </w:rPr>
              <w:tab/>
            </w:r>
            <w:r>
              <w:rPr>
                <w:webHidden/>
              </w:rPr>
              <w:fldChar w:fldCharType="begin"/>
            </w:r>
            <w:r>
              <w:rPr>
                <w:webHidden/>
              </w:rPr>
              <w:instrText xml:space="preserve"> PAGEREF _Toc90584867 \h </w:instrText>
            </w:r>
            <w:r>
              <w:rPr>
                <w:webHidden/>
              </w:rPr>
            </w:r>
            <w:r>
              <w:rPr>
                <w:webHidden/>
              </w:rPr>
              <w:fldChar w:fldCharType="separate"/>
            </w:r>
            <w:r>
              <w:rPr>
                <w:webHidden/>
              </w:rPr>
              <w:t>44</w:t>
            </w:r>
            <w:r>
              <w:rPr>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68" w:history="1">
            <w:r w:rsidRPr="001927B2">
              <w:rPr>
                <w:rStyle w:val="Hipervnculo"/>
              </w:rPr>
              <w:t>Donación por procedimiento de aféresis</w:t>
            </w:r>
            <w:r>
              <w:rPr>
                <w:webHidden/>
              </w:rPr>
              <w:tab/>
            </w:r>
            <w:r>
              <w:rPr>
                <w:webHidden/>
              </w:rPr>
              <w:fldChar w:fldCharType="begin"/>
            </w:r>
            <w:r>
              <w:rPr>
                <w:webHidden/>
              </w:rPr>
              <w:instrText xml:space="preserve"> PAGEREF _Toc90584868 \h </w:instrText>
            </w:r>
            <w:r>
              <w:rPr>
                <w:webHidden/>
              </w:rPr>
            </w:r>
            <w:r>
              <w:rPr>
                <w:webHidden/>
              </w:rPr>
              <w:fldChar w:fldCharType="separate"/>
            </w:r>
            <w:r>
              <w:rPr>
                <w:webHidden/>
              </w:rPr>
              <w:t>46</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69" w:history="1">
            <w:r w:rsidRPr="001927B2">
              <w:rPr>
                <w:rStyle w:val="Hipervnculo"/>
                <w:noProof/>
              </w:rPr>
              <w:t>Aféresis multicomponente</w:t>
            </w:r>
            <w:r>
              <w:rPr>
                <w:noProof/>
                <w:webHidden/>
              </w:rPr>
              <w:tab/>
            </w:r>
            <w:r>
              <w:rPr>
                <w:noProof/>
                <w:webHidden/>
              </w:rPr>
              <w:fldChar w:fldCharType="begin"/>
            </w:r>
            <w:r>
              <w:rPr>
                <w:noProof/>
                <w:webHidden/>
              </w:rPr>
              <w:instrText xml:space="preserve"> PAGEREF _Toc90584869 \h </w:instrText>
            </w:r>
            <w:r>
              <w:rPr>
                <w:noProof/>
                <w:webHidden/>
              </w:rPr>
            </w:r>
            <w:r>
              <w:rPr>
                <w:noProof/>
                <w:webHidden/>
              </w:rPr>
              <w:fldChar w:fldCharType="separate"/>
            </w:r>
            <w:r>
              <w:rPr>
                <w:noProof/>
                <w:webHidden/>
              </w:rPr>
              <w:t>46</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0" w:history="1">
            <w:r w:rsidRPr="001927B2">
              <w:rPr>
                <w:rStyle w:val="Hipervnculo"/>
                <w:noProof/>
              </w:rPr>
              <w:t>Programa de obtención de plasma convaleciente de coronavirus</w:t>
            </w:r>
            <w:r>
              <w:rPr>
                <w:noProof/>
                <w:webHidden/>
              </w:rPr>
              <w:tab/>
            </w:r>
            <w:r>
              <w:rPr>
                <w:noProof/>
                <w:webHidden/>
              </w:rPr>
              <w:fldChar w:fldCharType="begin"/>
            </w:r>
            <w:r>
              <w:rPr>
                <w:noProof/>
                <w:webHidden/>
              </w:rPr>
              <w:instrText xml:space="preserve"> PAGEREF _Toc90584870 \h </w:instrText>
            </w:r>
            <w:r>
              <w:rPr>
                <w:noProof/>
                <w:webHidden/>
              </w:rPr>
            </w:r>
            <w:r>
              <w:rPr>
                <w:noProof/>
                <w:webHidden/>
              </w:rPr>
              <w:fldChar w:fldCharType="separate"/>
            </w:r>
            <w:r>
              <w:rPr>
                <w:noProof/>
                <w:webHidden/>
              </w:rPr>
              <w:t>46</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71" w:history="1">
            <w:r w:rsidRPr="001927B2">
              <w:rPr>
                <w:rStyle w:val="Hipervnculo"/>
              </w:rPr>
              <w:t>Donación de sangre de cordón umbilical. Banco de cordón umbilical (BSCU)</w:t>
            </w:r>
            <w:r>
              <w:rPr>
                <w:webHidden/>
              </w:rPr>
              <w:tab/>
            </w:r>
            <w:r>
              <w:rPr>
                <w:webHidden/>
              </w:rPr>
              <w:fldChar w:fldCharType="begin"/>
            </w:r>
            <w:r>
              <w:rPr>
                <w:webHidden/>
              </w:rPr>
              <w:instrText xml:space="preserve"> PAGEREF _Toc90584871 \h </w:instrText>
            </w:r>
            <w:r>
              <w:rPr>
                <w:webHidden/>
              </w:rPr>
            </w:r>
            <w:r>
              <w:rPr>
                <w:webHidden/>
              </w:rPr>
              <w:fldChar w:fldCharType="separate"/>
            </w:r>
            <w:r>
              <w:rPr>
                <w:webHidden/>
              </w:rPr>
              <w:t>50</w:t>
            </w:r>
            <w:r>
              <w:rPr>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72" w:history="1">
            <w:r w:rsidRPr="001927B2">
              <w:rPr>
                <w:rStyle w:val="Hipervnculo"/>
              </w:rPr>
              <w:t>Criopreservación</w:t>
            </w:r>
            <w:r>
              <w:rPr>
                <w:webHidden/>
              </w:rPr>
              <w:tab/>
            </w:r>
            <w:r>
              <w:rPr>
                <w:webHidden/>
              </w:rPr>
              <w:fldChar w:fldCharType="begin"/>
            </w:r>
            <w:r>
              <w:rPr>
                <w:webHidden/>
              </w:rPr>
              <w:instrText xml:space="preserve"> PAGEREF _Toc90584872 \h </w:instrText>
            </w:r>
            <w:r>
              <w:rPr>
                <w:webHidden/>
              </w:rPr>
            </w:r>
            <w:r>
              <w:rPr>
                <w:webHidden/>
              </w:rPr>
              <w:fldChar w:fldCharType="separate"/>
            </w:r>
            <w:r>
              <w:rPr>
                <w:webHidden/>
              </w:rPr>
              <w:t>54</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3" w:history="1">
            <w:r w:rsidRPr="001927B2">
              <w:rPr>
                <w:rStyle w:val="Hipervnculo"/>
                <w:noProof/>
              </w:rPr>
              <w:t>Criopreservación de plaquetas</w:t>
            </w:r>
            <w:r>
              <w:rPr>
                <w:noProof/>
                <w:webHidden/>
              </w:rPr>
              <w:tab/>
            </w:r>
            <w:r>
              <w:rPr>
                <w:noProof/>
                <w:webHidden/>
              </w:rPr>
              <w:fldChar w:fldCharType="begin"/>
            </w:r>
            <w:r>
              <w:rPr>
                <w:noProof/>
                <w:webHidden/>
              </w:rPr>
              <w:instrText xml:space="preserve"> PAGEREF _Toc90584873 \h </w:instrText>
            </w:r>
            <w:r>
              <w:rPr>
                <w:noProof/>
                <w:webHidden/>
              </w:rPr>
            </w:r>
            <w:r>
              <w:rPr>
                <w:noProof/>
                <w:webHidden/>
              </w:rPr>
              <w:fldChar w:fldCharType="separate"/>
            </w:r>
            <w:r>
              <w:rPr>
                <w:noProof/>
                <w:webHidden/>
              </w:rPr>
              <w:t>54</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4" w:history="1">
            <w:r w:rsidRPr="001927B2">
              <w:rPr>
                <w:rStyle w:val="Hipervnculo"/>
                <w:noProof/>
              </w:rPr>
              <w:t>Glicerolización de hematíes</w:t>
            </w:r>
            <w:r>
              <w:rPr>
                <w:noProof/>
                <w:webHidden/>
              </w:rPr>
              <w:tab/>
            </w:r>
            <w:r>
              <w:rPr>
                <w:noProof/>
                <w:webHidden/>
              </w:rPr>
              <w:fldChar w:fldCharType="begin"/>
            </w:r>
            <w:r>
              <w:rPr>
                <w:noProof/>
                <w:webHidden/>
              </w:rPr>
              <w:instrText xml:space="preserve"> PAGEREF _Toc90584874 \h </w:instrText>
            </w:r>
            <w:r>
              <w:rPr>
                <w:noProof/>
                <w:webHidden/>
              </w:rPr>
            </w:r>
            <w:r>
              <w:rPr>
                <w:noProof/>
                <w:webHidden/>
              </w:rPr>
              <w:fldChar w:fldCharType="separate"/>
            </w:r>
            <w:r>
              <w:rPr>
                <w:noProof/>
                <w:webHidden/>
              </w:rPr>
              <w:t>54</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5" w:history="1">
            <w:r w:rsidRPr="001927B2">
              <w:rPr>
                <w:rStyle w:val="Hipervnculo"/>
                <w:noProof/>
              </w:rPr>
              <w:t>Desglicerolización de hematíes</w:t>
            </w:r>
            <w:r>
              <w:rPr>
                <w:noProof/>
                <w:webHidden/>
              </w:rPr>
              <w:tab/>
            </w:r>
            <w:r>
              <w:rPr>
                <w:noProof/>
                <w:webHidden/>
              </w:rPr>
              <w:fldChar w:fldCharType="begin"/>
            </w:r>
            <w:r>
              <w:rPr>
                <w:noProof/>
                <w:webHidden/>
              </w:rPr>
              <w:instrText xml:space="preserve"> PAGEREF _Toc90584875 \h </w:instrText>
            </w:r>
            <w:r>
              <w:rPr>
                <w:noProof/>
                <w:webHidden/>
              </w:rPr>
            </w:r>
            <w:r>
              <w:rPr>
                <w:noProof/>
                <w:webHidden/>
              </w:rPr>
              <w:fldChar w:fldCharType="separate"/>
            </w:r>
            <w:r>
              <w:rPr>
                <w:noProof/>
                <w:webHidden/>
              </w:rPr>
              <w:t>54</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6" w:history="1">
            <w:r w:rsidRPr="001927B2">
              <w:rPr>
                <w:rStyle w:val="Hipervnculo"/>
                <w:noProof/>
              </w:rPr>
              <w:t>Lavado de hematíes</w:t>
            </w:r>
            <w:r>
              <w:rPr>
                <w:noProof/>
                <w:webHidden/>
              </w:rPr>
              <w:tab/>
            </w:r>
            <w:r>
              <w:rPr>
                <w:noProof/>
                <w:webHidden/>
              </w:rPr>
              <w:fldChar w:fldCharType="begin"/>
            </w:r>
            <w:r>
              <w:rPr>
                <w:noProof/>
                <w:webHidden/>
              </w:rPr>
              <w:instrText xml:space="preserve"> PAGEREF _Toc90584876 \h </w:instrText>
            </w:r>
            <w:r>
              <w:rPr>
                <w:noProof/>
                <w:webHidden/>
              </w:rPr>
            </w:r>
            <w:r>
              <w:rPr>
                <w:noProof/>
                <w:webHidden/>
              </w:rPr>
              <w:fldChar w:fldCharType="separate"/>
            </w:r>
            <w:r>
              <w:rPr>
                <w:noProof/>
                <w:webHidden/>
              </w:rPr>
              <w:t>55</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7" w:history="1">
            <w:r w:rsidRPr="001927B2">
              <w:rPr>
                <w:rStyle w:val="Hipervnculo"/>
                <w:noProof/>
              </w:rPr>
              <w:t>Distribución para transfusión de concentrados de hematíes de fenotipos raros</w:t>
            </w:r>
            <w:r>
              <w:rPr>
                <w:noProof/>
                <w:webHidden/>
              </w:rPr>
              <w:tab/>
            </w:r>
            <w:r>
              <w:rPr>
                <w:noProof/>
                <w:webHidden/>
              </w:rPr>
              <w:fldChar w:fldCharType="begin"/>
            </w:r>
            <w:r>
              <w:rPr>
                <w:noProof/>
                <w:webHidden/>
              </w:rPr>
              <w:instrText xml:space="preserve"> PAGEREF _Toc90584877 \h </w:instrText>
            </w:r>
            <w:r>
              <w:rPr>
                <w:noProof/>
                <w:webHidden/>
              </w:rPr>
            </w:r>
            <w:r>
              <w:rPr>
                <w:noProof/>
                <w:webHidden/>
              </w:rPr>
              <w:fldChar w:fldCharType="separate"/>
            </w:r>
            <w:r>
              <w:rPr>
                <w:noProof/>
                <w:webHidden/>
              </w:rPr>
              <w:t>55</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78" w:history="1">
            <w:r w:rsidRPr="001927B2">
              <w:rPr>
                <w:rStyle w:val="Hipervnculo"/>
              </w:rPr>
              <w:t>Banco de Tejido Ovárico</w:t>
            </w:r>
            <w:r>
              <w:rPr>
                <w:webHidden/>
              </w:rPr>
              <w:tab/>
            </w:r>
            <w:r>
              <w:rPr>
                <w:webHidden/>
              </w:rPr>
              <w:fldChar w:fldCharType="begin"/>
            </w:r>
            <w:r>
              <w:rPr>
                <w:webHidden/>
              </w:rPr>
              <w:instrText xml:space="preserve"> PAGEREF _Toc90584878 \h </w:instrText>
            </w:r>
            <w:r>
              <w:rPr>
                <w:webHidden/>
              </w:rPr>
            </w:r>
            <w:r>
              <w:rPr>
                <w:webHidden/>
              </w:rPr>
              <w:fldChar w:fldCharType="separate"/>
            </w:r>
            <w:r>
              <w:rPr>
                <w:webHidden/>
              </w:rPr>
              <w:t>57</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79" w:history="1">
            <w:r w:rsidRPr="001927B2">
              <w:rPr>
                <w:rStyle w:val="Hipervnculo"/>
                <w:noProof/>
              </w:rPr>
              <w:t>Actividad 2020</w:t>
            </w:r>
            <w:r>
              <w:rPr>
                <w:noProof/>
                <w:webHidden/>
              </w:rPr>
              <w:tab/>
            </w:r>
            <w:r>
              <w:rPr>
                <w:noProof/>
                <w:webHidden/>
              </w:rPr>
              <w:fldChar w:fldCharType="begin"/>
            </w:r>
            <w:r>
              <w:rPr>
                <w:noProof/>
                <w:webHidden/>
              </w:rPr>
              <w:instrText xml:space="preserve"> PAGEREF _Toc90584879 \h </w:instrText>
            </w:r>
            <w:r>
              <w:rPr>
                <w:noProof/>
                <w:webHidden/>
              </w:rPr>
            </w:r>
            <w:r>
              <w:rPr>
                <w:noProof/>
                <w:webHidden/>
              </w:rPr>
              <w:fldChar w:fldCharType="separate"/>
            </w:r>
            <w:r>
              <w:rPr>
                <w:noProof/>
                <w:webHidden/>
              </w:rPr>
              <w:t>57</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0" w:history="1">
            <w:r w:rsidRPr="001927B2">
              <w:rPr>
                <w:rStyle w:val="Hipervnculo"/>
                <w:noProof/>
              </w:rPr>
              <w:t>Evaluación de la actividad 2020 según protocolo de trabajo e indicadores de calidad</w:t>
            </w:r>
            <w:r>
              <w:rPr>
                <w:noProof/>
                <w:webHidden/>
              </w:rPr>
              <w:tab/>
            </w:r>
            <w:r>
              <w:rPr>
                <w:noProof/>
                <w:webHidden/>
              </w:rPr>
              <w:fldChar w:fldCharType="begin"/>
            </w:r>
            <w:r>
              <w:rPr>
                <w:noProof/>
                <w:webHidden/>
              </w:rPr>
              <w:instrText xml:space="preserve"> PAGEREF _Toc90584880 \h </w:instrText>
            </w:r>
            <w:r>
              <w:rPr>
                <w:noProof/>
                <w:webHidden/>
              </w:rPr>
            </w:r>
            <w:r>
              <w:rPr>
                <w:noProof/>
                <w:webHidden/>
              </w:rPr>
              <w:fldChar w:fldCharType="separate"/>
            </w:r>
            <w:r>
              <w:rPr>
                <w:noProof/>
                <w:webHidden/>
              </w:rPr>
              <w:t>58</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81" w:history="1">
            <w:r w:rsidRPr="001927B2">
              <w:rPr>
                <w:rStyle w:val="Hipervnculo"/>
              </w:rPr>
              <w:t>Laboratorio de aná</w:t>
            </w:r>
            <w:bookmarkStart w:id="1" w:name="_GoBack"/>
            <w:bookmarkEnd w:id="1"/>
            <w:r w:rsidRPr="001927B2">
              <w:rPr>
                <w:rStyle w:val="Hipervnculo"/>
              </w:rPr>
              <w:t>lisis de donantes y donaciones</w:t>
            </w:r>
            <w:r>
              <w:rPr>
                <w:webHidden/>
              </w:rPr>
              <w:tab/>
            </w:r>
            <w:r>
              <w:rPr>
                <w:webHidden/>
              </w:rPr>
              <w:fldChar w:fldCharType="begin"/>
            </w:r>
            <w:r>
              <w:rPr>
                <w:webHidden/>
              </w:rPr>
              <w:instrText xml:space="preserve"> PAGEREF _Toc90584881 \h </w:instrText>
            </w:r>
            <w:r>
              <w:rPr>
                <w:webHidden/>
              </w:rPr>
            </w:r>
            <w:r>
              <w:rPr>
                <w:webHidden/>
              </w:rPr>
              <w:fldChar w:fldCharType="separate"/>
            </w:r>
            <w:r>
              <w:rPr>
                <w:webHidden/>
              </w:rPr>
              <w:t>61</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2" w:history="1">
            <w:r w:rsidRPr="001927B2">
              <w:rPr>
                <w:rStyle w:val="Hipervnculo"/>
                <w:noProof/>
              </w:rPr>
              <w:t>Determinaciones serológicas</w:t>
            </w:r>
            <w:r>
              <w:rPr>
                <w:noProof/>
                <w:webHidden/>
              </w:rPr>
              <w:tab/>
            </w:r>
            <w:r>
              <w:rPr>
                <w:noProof/>
                <w:webHidden/>
              </w:rPr>
              <w:fldChar w:fldCharType="begin"/>
            </w:r>
            <w:r>
              <w:rPr>
                <w:noProof/>
                <w:webHidden/>
              </w:rPr>
              <w:instrText xml:space="preserve"> PAGEREF _Toc90584882 \h </w:instrText>
            </w:r>
            <w:r>
              <w:rPr>
                <w:noProof/>
                <w:webHidden/>
              </w:rPr>
            </w:r>
            <w:r>
              <w:rPr>
                <w:noProof/>
                <w:webHidden/>
              </w:rPr>
              <w:fldChar w:fldCharType="separate"/>
            </w:r>
            <w:r>
              <w:rPr>
                <w:noProof/>
                <w:webHidden/>
              </w:rPr>
              <w:t>61</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3" w:history="1">
            <w:r w:rsidRPr="001927B2">
              <w:rPr>
                <w:rStyle w:val="Hipervnculo"/>
                <w:noProof/>
              </w:rPr>
              <w:t>Hematimetría</w:t>
            </w:r>
            <w:r>
              <w:rPr>
                <w:noProof/>
                <w:webHidden/>
              </w:rPr>
              <w:tab/>
            </w:r>
            <w:r>
              <w:rPr>
                <w:noProof/>
                <w:webHidden/>
              </w:rPr>
              <w:fldChar w:fldCharType="begin"/>
            </w:r>
            <w:r>
              <w:rPr>
                <w:noProof/>
                <w:webHidden/>
              </w:rPr>
              <w:instrText xml:space="preserve"> PAGEREF _Toc90584883 \h </w:instrText>
            </w:r>
            <w:r>
              <w:rPr>
                <w:noProof/>
                <w:webHidden/>
              </w:rPr>
            </w:r>
            <w:r>
              <w:rPr>
                <w:noProof/>
                <w:webHidden/>
              </w:rPr>
              <w:fldChar w:fldCharType="separate"/>
            </w:r>
            <w:r>
              <w:rPr>
                <w:noProof/>
                <w:webHidden/>
              </w:rPr>
              <w:t>62</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4" w:history="1">
            <w:r w:rsidRPr="001927B2">
              <w:rPr>
                <w:rStyle w:val="Hipervnculo"/>
                <w:noProof/>
              </w:rPr>
              <w:t>Laboratorio de NAT VHC/  VIH/VHB</w:t>
            </w:r>
            <w:r>
              <w:rPr>
                <w:noProof/>
                <w:webHidden/>
              </w:rPr>
              <w:tab/>
            </w:r>
            <w:r>
              <w:rPr>
                <w:noProof/>
                <w:webHidden/>
              </w:rPr>
              <w:fldChar w:fldCharType="begin"/>
            </w:r>
            <w:r>
              <w:rPr>
                <w:noProof/>
                <w:webHidden/>
              </w:rPr>
              <w:instrText xml:space="preserve"> PAGEREF _Toc90584884 \h </w:instrText>
            </w:r>
            <w:r>
              <w:rPr>
                <w:noProof/>
                <w:webHidden/>
              </w:rPr>
            </w:r>
            <w:r>
              <w:rPr>
                <w:noProof/>
                <w:webHidden/>
              </w:rPr>
              <w:fldChar w:fldCharType="separate"/>
            </w:r>
            <w:r>
              <w:rPr>
                <w:noProof/>
                <w:webHidden/>
              </w:rPr>
              <w:t>62</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5" w:history="1">
            <w:r w:rsidRPr="001927B2">
              <w:rPr>
                <w:rStyle w:val="Hipervnculo"/>
                <w:noProof/>
              </w:rPr>
              <w:t>Otras analíticas</w:t>
            </w:r>
            <w:r>
              <w:rPr>
                <w:noProof/>
                <w:webHidden/>
              </w:rPr>
              <w:tab/>
            </w:r>
            <w:r>
              <w:rPr>
                <w:noProof/>
                <w:webHidden/>
              </w:rPr>
              <w:fldChar w:fldCharType="begin"/>
            </w:r>
            <w:r>
              <w:rPr>
                <w:noProof/>
                <w:webHidden/>
              </w:rPr>
              <w:instrText xml:space="preserve"> PAGEREF _Toc90584885 \h </w:instrText>
            </w:r>
            <w:r>
              <w:rPr>
                <w:noProof/>
                <w:webHidden/>
              </w:rPr>
            </w:r>
            <w:r>
              <w:rPr>
                <w:noProof/>
                <w:webHidden/>
              </w:rPr>
              <w:fldChar w:fldCharType="separate"/>
            </w:r>
            <w:r>
              <w:rPr>
                <w:noProof/>
                <w:webHidden/>
              </w:rPr>
              <w:t>63</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6" w:history="1">
            <w:r w:rsidRPr="001927B2">
              <w:rPr>
                <w:rStyle w:val="Hipervnculo"/>
                <w:noProof/>
              </w:rPr>
              <w:t>Unidades de sangre rechazadas por alteraciones analíticas</w:t>
            </w:r>
            <w:r>
              <w:rPr>
                <w:noProof/>
                <w:webHidden/>
              </w:rPr>
              <w:tab/>
            </w:r>
            <w:r>
              <w:rPr>
                <w:noProof/>
                <w:webHidden/>
              </w:rPr>
              <w:fldChar w:fldCharType="begin"/>
            </w:r>
            <w:r>
              <w:rPr>
                <w:noProof/>
                <w:webHidden/>
              </w:rPr>
              <w:instrText xml:space="preserve"> PAGEREF _Toc90584886 \h </w:instrText>
            </w:r>
            <w:r>
              <w:rPr>
                <w:noProof/>
                <w:webHidden/>
              </w:rPr>
            </w:r>
            <w:r>
              <w:rPr>
                <w:noProof/>
                <w:webHidden/>
              </w:rPr>
              <w:fldChar w:fldCharType="separate"/>
            </w:r>
            <w:r>
              <w:rPr>
                <w:noProof/>
                <w:webHidden/>
              </w:rPr>
              <w:t>64</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87" w:history="1">
            <w:r w:rsidRPr="001927B2">
              <w:rPr>
                <w:rStyle w:val="Hipervnculo"/>
              </w:rPr>
              <w:t>Laboratorio de Fraccionamiento – Distribución. Control de Calidad</w:t>
            </w:r>
            <w:r>
              <w:rPr>
                <w:webHidden/>
              </w:rPr>
              <w:tab/>
            </w:r>
            <w:r>
              <w:rPr>
                <w:webHidden/>
              </w:rPr>
              <w:fldChar w:fldCharType="begin"/>
            </w:r>
            <w:r>
              <w:rPr>
                <w:webHidden/>
              </w:rPr>
              <w:instrText xml:space="preserve"> PAGEREF _Toc90584887 \h </w:instrText>
            </w:r>
            <w:r>
              <w:rPr>
                <w:webHidden/>
              </w:rPr>
            </w:r>
            <w:r>
              <w:rPr>
                <w:webHidden/>
              </w:rPr>
              <w:fldChar w:fldCharType="separate"/>
            </w:r>
            <w:r>
              <w:rPr>
                <w:webHidden/>
              </w:rPr>
              <w:t>65</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8" w:history="1">
            <w:r w:rsidRPr="001927B2">
              <w:rPr>
                <w:rStyle w:val="Hipervnculo"/>
                <w:noProof/>
              </w:rPr>
              <w:t>Procesamiento</w:t>
            </w:r>
            <w:r>
              <w:rPr>
                <w:noProof/>
                <w:webHidden/>
              </w:rPr>
              <w:tab/>
            </w:r>
            <w:r>
              <w:rPr>
                <w:noProof/>
                <w:webHidden/>
              </w:rPr>
              <w:fldChar w:fldCharType="begin"/>
            </w:r>
            <w:r>
              <w:rPr>
                <w:noProof/>
                <w:webHidden/>
              </w:rPr>
              <w:instrText xml:space="preserve"> PAGEREF _Toc90584888 \h </w:instrText>
            </w:r>
            <w:r>
              <w:rPr>
                <w:noProof/>
                <w:webHidden/>
              </w:rPr>
            </w:r>
            <w:r>
              <w:rPr>
                <w:noProof/>
                <w:webHidden/>
              </w:rPr>
              <w:fldChar w:fldCharType="separate"/>
            </w:r>
            <w:r>
              <w:rPr>
                <w:noProof/>
                <w:webHidden/>
              </w:rPr>
              <w:t>65</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89" w:history="1">
            <w:r w:rsidRPr="001927B2">
              <w:rPr>
                <w:rStyle w:val="Hipervnculo"/>
                <w:noProof/>
              </w:rPr>
              <w:t>Caducidad de componentes en el CTCM</w:t>
            </w:r>
            <w:r>
              <w:rPr>
                <w:noProof/>
                <w:webHidden/>
              </w:rPr>
              <w:tab/>
            </w:r>
            <w:r>
              <w:rPr>
                <w:noProof/>
                <w:webHidden/>
              </w:rPr>
              <w:fldChar w:fldCharType="begin"/>
            </w:r>
            <w:r>
              <w:rPr>
                <w:noProof/>
                <w:webHidden/>
              </w:rPr>
              <w:instrText xml:space="preserve"> PAGEREF _Toc90584889 \h </w:instrText>
            </w:r>
            <w:r>
              <w:rPr>
                <w:noProof/>
                <w:webHidden/>
              </w:rPr>
            </w:r>
            <w:r>
              <w:rPr>
                <w:noProof/>
                <w:webHidden/>
              </w:rPr>
              <w:fldChar w:fldCharType="separate"/>
            </w:r>
            <w:r>
              <w:rPr>
                <w:noProof/>
                <w:webHidden/>
              </w:rPr>
              <w:t>65</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0" w:history="1">
            <w:r w:rsidRPr="001927B2">
              <w:rPr>
                <w:rStyle w:val="Hipervnculo"/>
                <w:noProof/>
              </w:rPr>
              <w:t>Rechazo de componentes. Causas</w:t>
            </w:r>
            <w:r>
              <w:rPr>
                <w:noProof/>
                <w:webHidden/>
              </w:rPr>
              <w:tab/>
            </w:r>
            <w:r>
              <w:rPr>
                <w:noProof/>
                <w:webHidden/>
              </w:rPr>
              <w:fldChar w:fldCharType="begin"/>
            </w:r>
            <w:r>
              <w:rPr>
                <w:noProof/>
                <w:webHidden/>
              </w:rPr>
              <w:instrText xml:space="preserve"> PAGEREF _Toc90584890 \h </w:instrText>
            </w:r>
            <w:r>
              <w:rPr>
                <w:noProof/>
                <w:webHidden/>
              </w:rPr>
            </w:r>
            <w:r>
              <w:rPr>
                <w:noProof/>
                <w:webHidden/>
              </w:rPr>
              <w:fldChar w:fldCharType="separate"/>
            </w:r>
            <w:r>
              <w:rPr>
                <w:noProof/>
                <w:webHidden/>
              </w:rPr>
              <w:t>66</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1" w:history="1">
            <w:r w:rsidRPr="001927B2">
              <w:rPr>
                <w:rStyle w:val="Hipervnculo"/>
                <w:noProof/>
              </w:rPr>
              <w:t>Control de calidad de componentes</w:t>
            </w:r>
            <w:r>
              <w:rPr>
                <w:noProof/>
                <w:webHidden/>
              </w:rPr>
              <w:tab/>
            </w:r>
            <w:r>
              <w:rPr>
                <w:noProof/>
                <w:webHidden/>
              </w:rPr>
              <w:fldChar w:fldCharType="begin"/>
            </w:r>
            <w:r>
              <w:rPr>
                <w:noProof/>
                <w:webHidden/>
              </w:rPr>
              <w:instrText xml:space="preserve"> PAGEREF _Toc90584891 \h </w:instrText>
            </w:r>
            <w:r>
              <w:rPr>
                <w:noProof/>
                <w:webHidden/>
              </w:rPr>
            </w:r>
            <w:r>
              <w:rPr>
                <w:noProof/>
                <w:webHidden/>
              </w:rPr>
              <w:fldChar w:fldCharType="separate"/>
            </w:r>
            <w:r>
              <w:rPr>
                <w:noProof/>
                <w:webHidden/>
              </w:rPr>
              <w:t>67</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2" w:history="1">
            <w:r w:rsidRPr="001927B2">
              <w:rPr>
                <w:rStyle w:val="Hipervnculo"/>
                <w:noProof/>
              </w:rPr>
              <w:t>Componentes sanguíneos distribuidos a los hospitales</w:t>
            </w:r>
            <w:r>
              <w:rPr>
                <w:noProof/>
                <w:webHidden/>
              </w:rPr>
              <w:tab/>
            </w:r>
            <w:r>
              <w:rPr>
                <w:noProof/>
                <w:webHidden/>
              </w:rPr>
              <w:fldChar w:fldCharType="begin"/>
            </w:r>
            <w:r>
              <w:rPr>
                <w:noProof/>
                <w:webHidden/>
              </w:rPr>
              <w:instrText xml:space="preserve"> PAGEREF _Toc90584892 \h </w:instrText>
            </w:r>
            <w:r>
              <w:rPr>
                <w:noProof/>
                <w:webHidden/>
              </w:rPr>
            </w:r>
            <w:r>
              <w:rPr>
                <w:noProof/>
                <w:webHidden/>
              </w:rPr>
              <w:fldChar w:fldCharType="separate"/>
            </w:r>
            <w:r>
              <w:rPr>
                <w:noProof/>
                <w:webHidden/>
              </w:rPr>
              <w:t>70</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93" w:history="1">
            <w:r w:rsidRPr="001927B2">
              <w:rPr>
                <w:rStyle w:val="Hipervnculo"/>
              </w:rPr>
              <w:t>Inmunohematología-Técnicas Especiales</w:t>
            </w:r>
            <w:r>
              <w:rPr>
                <w:webHidden/>
              </w:rPr>
              <w:tab/>
            </w:r>
            <w:r>
              <w:rPr>
                <w:webHidden/>
              </w:rPr>
              <w:fldChar w:fldCharType="begin"/>
            </w:r>
            <w:r>
              <w:rPr>
                <w:webHidden/>
              </w:rPr>
              <w:instrText xml:space="preserve"> PAGEREF _Toc90584893 \h </w:instrText>
            </w:r>
            <w:r>
              <w:rPr>
                <w:webHidden/>
              </w:rPr>
            </w:r>
            <w:r>
              <w:rPr>
                <w:webHidden/>
              </w:rPr>
              <w:fldChar w:fldCharType="separate"/>
            </w:r>
            <w:r>
              <w:rPr>
                <w:webHidden/>
              </w:rPr>
              <w:t>72</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4" w:history="1">
            <w:r w:rsidRPr="001927B2">
              <w:rPr>
                <w:rStyle w:val="Hipervnculo"/>
                <w:noProof/>
              </w:rPr>
              <w:t>Estudio inmunohematológico de donantes y donaciones</w:t>
            </w:r>
            <w:r>
              <w:rPr>
                <w:noProof/>
                <w:webHidden/>
              </w:rPr>
              <w:tab/>
            </w:r>
            <w:r>
              <w:rPr>
                <w:noProof/>
                <w:webHidden/>
              </w:rPr>
              <w:fldChar w:fldCharType="begin"/>
            </w:r>
            <w:r>
              <w:rPr>
                <w:noProof/>
                <w:webHidden/>
              </w:rPr>
              <w:instrText xml:space="preserve"> PAGEREF _Toc90584894 \h </w:instrText>
            </w:r>
            <w:r>
              <w:rPr>
                <w:noProof/>
                <w:webHidden/>
              </w:rPr>
            </w:r>
            <w:r>
              <w:rPr>
                <w:noProof/>
                <w:webHidden/>
              </w:rPr>
              <w:fldChar w:fldCharType="separate"/>
            </w:r>
            <w:r>
              <w:rPr>
                <w:noProof/>
                <w:webHidden/>
              </w:rPr>
              <w:t>72</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5" w:history="1">
            <w:r w:rsidRPr="001927B2">
              <w:rPr>
                <w:rStyle w:val="Hipervnculo"/>
                <w:noProof/>
              </w:rPr>
              <w:t>Estudios inmunohematológicos en pacientes</w:t>
            </w:r>
            <w:r>
              <w:rPr>
                <w:noProof/>
                <w:webHidden/>
              </w:rPr>
              <w:tab/>
            </w:r>
            <w:r>
              <w:rPr>
                <w:noProof/>
                <w:webHidden/>
              </w:rPr>
              <w:fldChar w:fldCharType="begin"/>
            </w:r>
            <w:r>
              <w:rPr>
                <w:noProof/>
                <w:webHidden/>
              </w:rPr>
              <w:instrText xml:space="preserve"> PAGEREF _Toc90584895 \h </w:instrText>
            </w:r>
            <w:r>
              <w:rPr>
                <w:noProof/>
                <w:webHidden/>
              </w:rPr>
            </w:r>
            <w:r>
              <w:rPr>
                <w:noProof/>
                <w:webHidden/>
              </w:rPr>
              <w:fldChar w:fldCharType="separate"/>
            </w:r>
            <w:r>
              <w:rPr>
                <w:noProof/>
                <w:webHidden/>
              </w:rPr>
              <w:t>72</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896" w:history="1">
            <w:r w:rsidRPr="001927B2">
              <w:rPr>
                <w:rStyle w:val="Hipervnculo"/>
              </w:rPr>
              <w:t>Hemovigilancia</w:t>
            </w:r>
            <w:r>
              <w:rPr>
                <w:webHidden/>
              </w:rPr>
              <w:tab/>
            </w:r>
            <w:r>
              <w:rPr>
                <w:webHidden/>
              </w:rPr>
              <w:fldChar w:fldCharType="begin"/>
            </w:r>
            <w:r>
              <w:rPr>
                <w:webHidden/>
              </w:rPr>
              <w:instrText xml:space="preserve"> PAGEREF _Toc90584896 \h </w:instrText>
            </w:r>
            <w:r>
              <w:rPr>
                <w:webHidden/>
              </w:rPr>
            </w:r>
            <w:r>
              <w:rPr>
                <w:webHidden/>
              </w:rPr>
              <w:fldChar w:fldCharType="separate"/>
            </w:r>
            <w:r>
              <w:rPr>
                <w:webHidden/>
              </w:rPr>
              <w:t>75</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7" w:history="1">
            <w:r w:rsidRPr="001927B2">
              <w:rPr>
                <w:rStyle w:val="Hipervnculo"/>
                <w:noProof/>
              </w:rPr>
              <w:t>Incidentes relacionados con la donación</w:t>
            </w:r>
            <w:r>
              <w:rPr>
                <w:noProof/>
                <w:webHidden/>
              </w:rPr>
              <w:tab/>
            </w:r>
            <w:r>
              <w:rPr>
                <w:noProof/>
                <w:webHidden/>
              </w:rPr>
              <w:fldChar w:fldCharType="begin"/>
            </w:r>
            <w:r>
              <w:rPr>
                <w:noProof/>
                <w:webHidden/>
              </w:rPr>
              <w:instrText xml:space="preserve"> PAGEREF _Toc90584897 \h </w:instrText>
            </w:r>
            <w:r>
              <w:rPr>
                <w:noProof/>
                <w:webHidden/>
              </w:rPr>
            </w:r>
            <w:r>
              <w:rPr>
                <w:noProof/>
                <w:webHidden/>
              </w:rPr>
              <w:fldChar w:fldCharType="separate"/>
            </w:r>
            <w:r>
              <w:rPr>
                <w:noProof/>
                <w:webHidden/>
              </w:rPr>
              <w:t>75</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8" w:history="1">
            <w:r w:rsidRPr="001927B2">
              <w:rPr>
                <w:rStyle w:val="Hipervnculo"/>
                <w:noProof/>
              </w:rPr>
              <w:t>Seroconversiones objetivadas en donantes</w:t>
            </w:r>
            <w:r>
              <w:rPr>
                <w:noProof/>
                <w:webHidden/>
              </w:rPr>
              <w:tab/>
            </w:r>
            <w:r>
              <w:rPr>
                <w:noProof/>
                <w:webHidden/>
              </w:rPr>
              <w:fldChar w:fldCharType="begin"/>
            </w:r>
            <w:r>
              <w:rPr>
                <w:noProof/>
                <w:webHidden/>
              </w:rPr>
              <w:instrText xml:space="preserve"> PAGEREF _Toc90584898 \h </w:instrText>
            </w:r>
            <w:r>
              <w:rPr>
                <w:noProof/>
                <w:webHidden/>
              </w:rPr>
            </w:r>
            <w:r>
              <w:rPr>
                <w:noProof/>
                <w:webHidden/>
              </w:rPr>
              <w:fldChar w:fldCharType="separate"/>
            </w:r>
            <w:r>
              <w:rPr>
                <w:noProof/>
                <w:webHidden/>
              </w:rPr>
              <w:t>81</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899" w:history="1">
            <w:r w:rsidRPr="001927B2">
              <w:rPr>
                <w:rStyle w:val="Hipervnculo"/>
                <w:noProof/>
              </w:rPr>
              <w:t>Incidentes relacionados con la transfusión</w:t>
            </w:r>
            <w:r>
              <w:rPr>
                <w:noProof/>
                <w:webHidden/>
              </w:rPr>
              <w:tab/>
            </w:r>
            <w:r>
              <w:rPr>
                <w:noProof/>
                <w:webHidden/>
              </w:rPr>
              <w:fldChar w:fldCharType="begin"/>
            </w:r>
            <w:r>
              <w:rPr>
                <w:noProof/>
                <w:webHidden/>
              </w:rPr>
              <w:instrText xml:space="preserve"> PAGEREF _Toc90584899 \h </w:instrText>
            </w:r>
            <w:r>
              <w:rPr>
                <w:noProof/>
                <w:webHidden/>
              </w:rPr>
            </w:r>
            <w:r>
              <w:rPr>
                <w:noProof/>
                <w:webHidden/>
              </w:rPr>
              <w:fldChar w:fldCharType="separate"/>
            </w:r>
            <w:r>
              <w:rPr>
                <w:noProof/>
                <w:webHidden/>
              </w:rPr>
              <w:t>85</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900" w:history="1">
            <w:r w:rsidRPr="001927B2">
              <w:rPr>
                <w:rStyle w:val="Hipervnculo"/>
              </w:rPr>
              <w:t>Histocompatibilidad, HLA de alta resolución y biología molecular</w:t>
            </w:r>
            <w:r>
              <w:rPr>
                <w:webHidden/>
              </w:rPr>
              <w:tab/>
            </w:r>
            <w:r>
              <w:rPr>
                <w:webHidden/>
              </w:rPr>
              <w:fldChar w:fldCharType="begin"/>
            </w:r>
            <w:r>
              <w:rPr>
                <w:webHidden/>
              </w:rPr>
              <w:instrText xml:space="preserve"> PAGEREF _Toc90584900 \h </w:instrText>
            </w:r>
            <w:r>
              <w:rPr>
                <w:webHidden/>
              </w:rPr>
            </w:r>
            <w:r>
              <w:rPr>
                <w:webHidden/>
              </w:rPr>
              <w:fldChar w:fldCharType="separate"/>
            </w:r>
            <w:r>
              <w:rPr>
                <w:webHidden/>
              </w:rPr>
              <w:t>117</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1" w:history="1">
            <w:r w:rsidRPr="001927B2">
              <w:rPr>
                <w:rStyle w:val="Hipervnculo"/>
                <w:noProof/>
              </w:rPr>
              <w:t>Tipaje HLA de alta resolución</w:t>
            </w:r>
            <w:r>
              <w:rPr>
                <w:noProof/>
                <w:webHidden/>
              </w:rPr>
              <w:tab/>
            </w:r>
            <w:r>
              <w:rPr>
                <w:noProof/>
                <w:webHidden/>
              </w:rPr>
              <w:fldChar w:fldCharType="begin"/>
            </w:r>
            <w:r>
              <w:rPr>
                <w:noProof/>
                <w:webHidden/>
              </w:rPr>
              <w:instrText xml:space="preserve"> PAGEREF _Toc90584901 \h </w:instrText>
            </w:r>
            <w:r>
              <w:rPr>
                <w:noProof/>
                <w:webHidden/>
              </w:rPr>
            </w:r>
            <w:r>
              <w:rPr>
                <w:noProof/>
                <w:webHidden/>
              </w:rPr>
              <w:fldChar w:fldCharType="separate"/>
            </w:r>
            <w:r>
              <w:rPr>
                <w:noProof/>
                <w:webHidden/>
              </w:rPr>
              <w:t>122</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2" w:history="1">
            <w:r w:rsidRPr="001927B2">
              <w:rPr>
                <w:rStyle w:val="Hipervnculo"/>
                <w:noProof/>
              </w:rPr>
              <w:t>Citometría de flujo, Biología molecular</w:t>
            </w:r>
            <w:r>
              <w:rPr>
                <w:noProof/>
                <w:webHidden/>
              </w:rPr>
              <w:tab/>
            </w:r>
            <w:r>
              <w:rPr>
                <w:noProof/>
                <w:webHidden/>
              </w:rPr>
              <w:fldChar w:fldCharType="begin"/>
            </w:r>
            <w:r>
              <w:rPr>
                <w:noProof/>
                <w:webHidden/>
              </w:rPr>
              <w:instrText xml:space="preserve"> PAGEREF _Toc90584902 \h </w:instrText>
            </w:r>
            <w:r>
              <w:rPr>
                <w:noProof/>
                <w:webHidden/>
              </w:rPr>
            </w:r>
            <w:r>
              <w:rPr>
                <w:noProof/>
                <w:webHidden/>
              </w:rPr>
              <w:fldChar w:fldCharType="separate"/>
            </w:r>
            <w:r>
              <w:rPr>
                <w:noProof/>
                <w:webHidden/>
              </w:rPr>
              <w:t>123</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903" w:history="1">
            <w:r w:rsidRPr="001927B2">
              <w:rPr>
                <w:rStyle w:val="Hipervnculo"/>
              </w:rPr>
              <w:t>Coordinación de la donación efectiva de médula ósea</w:t>
            </w:r>
            <w:r>
              <w:rPr>
                <w:webHidden/>
              </w:rPr>
              <w:tab/>
            </w:r>
            <w:r>
              <w:rPr>
                <w:webHidden/>
              </w:rPr>
              <w:fldChar w:fldCharType="begin"/>
            </w:r>
            <w:r>
              <w:rPr>
                <w:webHidden/>
              </w:rPr>
              <w:instrText xml:space="preserve"> PAGEREF _Toc90584903 \h </w:instrText>
            </w:r>
            <w:r>
              <w:rPr>
                <w:webHidden/>
              </w:rPr>
            </w:r>
            <w:r>
              <w:rPr>
                <w:webHidden/>
              </w:rPr>
              <w:fldChar w:fldCharType="separate"/>
            </w:r>
            <w:r>
              <w:rPr>
                <w:webHidden/>
              </w:rPr>
              <w:t>125</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4" w:history="1">
            <w:r w:rsidRPr="001927B2">
              <w:rPr>
                <w:rStyle w:val="Hipervnculo"/>
                <w:noProof/>
              </w:rPr>
              <w:t>Objetivos de la coordinación</w:t>
            </w:r>
            <w:r>
              <w:rPr>
                <w:noProof/>
                <w:webHidden/>
              </w:rPr>
              <w:tab/>
            </w:r>
            <w:r>
              <w:rPr>
                <w:noProof/>
                <w:webHidden/>
              </w:rPr>
              <w:fldChar w:fldCharType="begin"/>
            </w:r>
            <w:r>
              <w:rPr>
                <w:noProof/>
                <w:webHidden/>
              </w:rPr>
              <w:instrText xml:space="preserve"> PAGEREF _Toc90584904 \h </w:instrText>
            </w:r>
            <w:r>
              <w:rPr>
                <w:noProof/>
                <w:webHidden/>
              </w:rPr>
            </w:r>
            <w:r>
              <w:rPr>
                <w:noProof/>
                <w:webHidden/>
              </w:rPr>
              <w:fldChar w:fldCharType="separate"/>
            </w:r>
            <w:r>
              <w:rPr>
                <w:noProof/>
                <w:webHidden/>
              </w:rPr>
              <w:t>125</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5" w:history="1">
            <w:r w:rsidRPr="001927B2">
              <w:rPr>
                <w:rStyle w:val="Hipervnculo"/>
                <w:noProof/>
              </w:rPr>
              <w:t>Actividad y resultados</w:t>
            </w:r>
            <w:r>
              <w:rPr>
                <w:noProof/>
                <w:webHidden/>
              </w:rPr>
              <w:tab/>
            </w:r>
            <w:r>
              <w:rPr>
                <w:noProof/>
                <w:webHidden/>
              </w:rPr>
              <w:fldChar w:fldCharType="begin"/>
            </w:r>
            <w:r>
              <w:rPr>
                <w:noProof/>
                <w:webHidden/>
              </w:rPr>
              <w:instrText xml:space="preserve"> PAGEREF _Toc90584905 \h </w:instrText>
            </w:r>
            <w:r>
              <w:rPr>
                <w:noProof/>
                <w:webHidden/>
              </w:rPr>
            </w:r>
            <w:r>
              <w:rPr>
                <w:noProof/>
                <w:webHidden/>
              </w:rPr>
              <w:fldChar w:fldCharType="separate"/>
            </w:r>
            <w:r>
              <w:rPr>
                <w:noProof/>
                <w:webHidden/>
              </w:rPr>
              <w:t>125</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906" w:history="1">
            <w:r w:rsidRPr="001927B2">
              <w:rPr>
                <w:rStyle w:val="Hipervnculo"/>
              </w:rPr>
              <w:t>Formación, Comunicaciones, Publicaciones y Actividad Investigadora</w:t>
            </w:r>
            <w:r>
              <w:rPr>
                <w:webHidden/>
              </w:rPr>
              <w:tab/>
            </w:r>
            <w:r>
              <w:rPr>
                <w:webHidden/>
              </w:rPr>
              <w:fldChar w:fldCharType="begin"/>
            </w:r>
            <w:r>
              <w:rPr>
                <w:webHidden/>
              </w:rPr>
              <w:instrText xml:space="preserve"> PAGEREF _Toc90584906 \h </w:instrText>
            </w:r>
            <w:r>
              <w:rPr>
                <w:webHidden/>
              </w:rPr>
            </w:r>
            <w:r>
              <w:rPr>
                <w:webHidden/>
              </w:rPr>
              <w:fldChar w:fldCharType="separate"/>
            </w:r>
            <w:r>
              <w:rPr>
                <w:webHidden/>
              </w:rPr>
              <w:t>129</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7" w:history="1">
            <w:r w:rsidRPr="001927B2">
              <w:rPr>
                <w:rStyle w:val="Hipervnculo"/>
                <w:noProof/>
              </w:rPr>
              <w:t>Ponencias y participación en actividades formativas</w:t>
            </w:r>
            <w:r>
              <w:rPr>
                <w:noProof/>
                <w:webHidden/>
              </w:rPr>
              <w:tab/>
            </w:r>
            <w:r>
              <w:rPr>
                <w:noProof/>
                <w:webHidden/>
              </w:rPr>
              <w:fldChar w:fldCharType="begin"/>
            </w:r>
            <w:r>
              <w:rPr>
                <w:noProof/>
                <w:webHidden/>
              </w:rPr>
              <w:instrText xml:space="preserve"> PAGEREF _Toc90584907 \h </w:instrText>
            </w:r>
            <w:r>
              <w:rPr>
                <w:noProof/>
                <w:webHidden/>
              </w:rPr>
            </w:r>
            <w:r>
              <w:rPr>
                <w:noProof/>
                <w:webHidden/>
              </w:rPr>
              <w:fldChar w:fldCharType="separate"/>
            </w:r>
            <w:r>
              <w:rPr>
                <w:noProof/>
                <w:webHidden/>
              </w:rPr>
              <w:t>129</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8" w:history="1">
            <w:r w:rsidRPr="001927B2">
              <w:rPr>
                <w:rStyle w:val="Hipervnculo"/>
                <w:noProof/>
              </w:rPr>
              <w:t>Publicaciones:</w:t>
            </w:r>
            <w:r>
              <w:rPr>
                <w:noProof/>
                <w:webHidden/>
              </w:rPr>
              <w:tab/>
            </w:r>
            <w:r>
              <w:rPr>
                <w:noProof/>
                <w:webHidden/>
              </w:rPr>
              <w:fldChar w:fldCharType="begin"/>
            </w:r>
            <w:r>
              <w:rPr>
                <w:noProof/>
                <w:webHidden/>
              </w:rPr>
              <w:instrText xml:space="preserve"> PAGEREF _Toc90584908 \h </w:instrText>
            </w:r>
            <w:r>
              <w:rPr>
                <w:noProof/>
                <w:webHidden/>
              </w:rPr>
            </w:r>
            <w:r>
              <w:rPr>
                <w:noProof/>
                <w:webHidden/>
              </w:rPr>
              <w:fldChar w:fldCharType="separate"/>
            </w:r>
            <w:r>
              <w:rPr>
                <w:noProof/>
                <w:webHidden/>
              </w:rPr>
              <w:t>129</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09" w:history="1">
            <w:r w:rsidRPr="001927B2">
              <w:rPr>
                <w:rStyle w:val="Hipervnculo"/>
                <w:noProof/>
              </w:rPr>
              <w:t>Participación del CTCM como centro proveedor de plasma convaleciente de Coronavirus para ensayos clínicos</w:t>
            </w:r>
            <w:r>
              <w:rPr>
                <w:noProof/>
                <w:webHidden/>
              </w:rPr>
              <w:tab/>
            </w:r>
            <w:r>
              <w:rPr>
                <w:noProof/>
                <w:webHidden/>
              </w:rPr>
              <w:fldChar w:fldCharType="begin"/>
            </w:r>
            <w:r>
              <w:rPr>
                <w:noProof/>
                <w:webHidden/>
              </w:rPr>
              <w:instrText xml:space="preserve"> PAGEREF _Toc90584909 \h </w:instrText>
            </w:r>
            <w:r>
              <w:rPr>
                <w:noProof/>
                <w:webHidden/>
              </w:rPr>
            </w:r>
            <w:r>
              <w:rPr>
                <w:noProof/>
                <w:webHidden/>
              </w:rPr>
              <w:fldChar w:fldCharType="separate"/>
            </w:r>
            <w:r>
              <w:rPr>
                <w:noProof/>
                <w:webHidden/>
              </w:rPr>
              <w:t>133</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10" w:history="1">
            <w:r w:rsidRPr="001927B2">
              <w:rPr>
                <w:rStyle w:val="Hipervnculo"/>
                <w:rFonts w:eastAsia="SimSun"/>
                <w:noProof/>
              </w:rPr>
              <w:t>Participación del Centro de Transfusión y de sus profesionales en estudios de investigación</w:t>
            </w:r>
            <w:r>
              <w:rPr>
                <w:noProof/>
                <w:webHidden/>
              </w:rPr>
              <w:tab/>
            </w:r>
            <w:r>
              <w:rPr>
                <w:noProof/>
                <w:webHidden/>
              </w:rPr>
              <w:fldChar w:fldCharType="begin"/>
            </w:r>
            <w:r>
              <w:rPr>
                <w:noProof/>
                <w:webHidden/>
              </w:rPr>
              <w:instrText xml:space="preserve"> PAGEREF _Toc90584910 \h </w:instrText>
            </w:r>
            <w:r>
              <w:rPr>
                <w:noProof/>
                <w:webHidden/>
              </w:rPr>
            </w:r>
            <w:r>
              <w:rPr>
                <w:noProof/>
                <w:webHidden/>
              </w:rPr>
              <w:fldChar w:fldCharType="separate"/>
            </w:r>
            <w:r>
              <w:rPr>
                <w:noProof/>
                <w:webHidden/>
              </w:rPr>
              <w:t>133</w:t>
            </w:r>
            <w:r>
              <w:rPr>
                <w:noProof/>
                <w:webHidden/>
              </w:rPr>
              <w:fldChar w:fldCharType="end"/>
            </w:r>
          </w:hyperlink>
        </w:p>
        <w:p w:rsidR="00AB3790" w:rsidRDefault="00AB3790">
          <w:pPr>
            <w:pStyle w:val="TDC1"/>
            <w:rPr>
              <w:rFonts w:asciiTheme="minorHAnsi" w:eastAsiaTheme="minorEastAsia" w:hAnsiTheme="minorHAnsi"/>
              <w:color w:val="auto"/>
              <w:lang w:eastAsia="es-ES"/>
            </w:rPr>
          </w:pPr>
          <w:hyperlink w:anchor="_Toc90584911" w:history="1">
            <w:r w:rsidRPr="001927B2">
              <w:rPr>
                <w:rStyle w:val="Hipervnculo"/>
              </w:rPr>
              <w:t>Salud laboral</w:t>
            </w:r>
            <w:r>
              <w:rPr>
                <w:webHidden/>
              </w:rPr>
              <w:tab/>
            </w:r>
            <w:r>
              <w:rPr>
                <w:webHidden/>
              </w:rPr>
              <w:fldChar w:fldCharType="begin"/>
            </w:r>
            <w:r>
              <w:rPr>
                <w:webHidden/>
              </w:rPr>
              <w:instrText xml:space="preserve"> PAGEREF _Toc90584911 \h </w:instrText>
            </w:r>
            <w:r>
              <w:rPr>
                <w:webHidden/>
              </w:rPr>
            </w:r>
            <w:r>
              <w:rPr>
                <w:webHidden/>
              </w:rPr>
              <w:fldChar w:fldCharType="separate"/>
            </w:r>
            <w:r>
              <w:rPr>
                <w:webHidden/>
              </w:rPr>
              <w:t>135</w:t>
            </w:r>
            <w:r>
              <w:rPr>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12" w:history="1">
            <w:r w:rsidRPr="001927B2">
              <w:rPr>
                <w:rStyle w:val="Hipervnculo"/>
                <w:noProof/>
              </w:rPr>
              <w:t>Acciones de seguridad y salud</w:t>
            </w:r>
            <w:r>
              <w:rPr>
                <w:noProof/>
                <w:webHidden/>
              </w:rPr>
              <w:tab/>
            </w:r>
            <w:r>
              <w:rPr>
                <w:noProof/>
                <w:webHidden/>
              </w:rPr>
              <w:fldChar w:fldCharType="begin"/>
            </w:r>
            <w:r>
              <w:rPr>
                <w:noProof/>
                <w:webHidden/>
              </w:rPr>
              <w:instrText xml:space="preserve"> PAGEREF _Toc90584912 \h </w:instrText>
            </w:r>
            <w:r>
              <w:rPr>
                <w:noProof/>
                <w:webHidden/>
              </w:rPr>
            </w:r>
            <w:r>
              <w:rPr>
                <w:noProof/>
                <w:webHidden/>
              </w:rPr>
              <w:fldChar w:fldCharType="separate"/>
            </w:r>
            <w:r>
              <w:rPr>
                <w:noProof/>
                <w:webHidden/>
              </w:rPr>
              <w:t>135</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13" w:history="1">
            <w:r w:rsidRPr="001927B2">
              <w:rPr>
                <w:rStyle w:val="Hipervnculo"/>
                <w:noProof/>
              </w:rPr>
              <w:t>Notificación e investigación de accidentes laborales</w:t>
            </w:r>
            <w:r>
              <w:rPr>
                <w:noProof/>
                <w:webHidden/>
              </w:rPr>
              <w:tab/>
            </w:r>
            <w:r>
              <w:rPr>
                <w:noProof/>
                <w:webHidden/>
              </w:rPr>
              <w:fldChar w:fldCharType="begin"/>
            </w:r>
            <w:r>
              <w:rPr>
                <w:noProof/>
                <w:webHidden/>
              </w:rPr>
              <w:instrText xml:space="preserve"> PAGEREF _Toc90584913 \h </w:instrText>
            </w:r>
            <w:r>
              <w:rPr>
                <w:noProof/>
                <w:webHidden/>
              </w:rPr>
            </w:r>
            <w:r>
              <w:rPr>
                <w:noProof/>
                <w:webHidden/>
              </w:rPr>
              <w:fldChar w:fldCharType="separate"/>
            </w:r>
            <w:r>
              <w:rPr>
                <w:noProof/>
                <w:webHidden/>
              </w:rPr>
              <w:t>136</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14" w:history="1">
            <w:r w:rsidRPr="001927B2">
              <w:rPr>
                <w:rStyle w:val="Hipervnculo"/>
                <w:noProof/>
              </w:rPr>
              <w:t>Vigilancia de la salud</w:t>
            </w:r>
            <w:r>
              <w:rPr>
                <w:noProof/>
                <w:webHidden/>
              </w:rPr>
              <w:tab/>
            </w:r>
            <w:r>
              <w:rPr>
                <w:noProof/>
                <w:webHidden/>
              </w:rPr>
              <w:fldChar w:fldCharType="begin"/>
            </w:r>
            <w:r>
              <w:rPr>
                <w:noProof/>
                <w:webHidden/>
              </w:rPr>
              <w:instrText xml:space="preserve"> PAGEREF _Toc90584914 \h </w:instrText>
            </w:r>
            <w:r>
              <w:rPr>
                <w:noProof/>
                <w:webHidden/>
              </w:rPr>
            </w:r>
            <w:r>
              <w:rPr>
                <w:noProof/>
                <w:webHidden/>
              </w:rPr>
              <w:fldChar w:fldCharType="separate"/>
            </w:r>
            <w:r>
              <w:rPr>
                <w:noProof/>
                <w:webHidden/>
              </w:rPr>
              <w:t>136</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15" w:history="1">
            <w:r w:rsidRPr="001927B2">
              <w:rPr>
                <w:rStyle w:val="Hipervnculo"/>
                <w:noProof/>
              </w:rPr>
              <w:t>Red de hospitales sin humo</w:t>
            </w:r>
            <w:r>
              <w:rPr>
                <w:noProof/>
                <w:webHidden/>
              </w:rPr>
              <w:tab/>
            </w:r>
            <w:r>
              <w:rPr>
                <w:noProof/>
                <w:webHidden/>
              </w:rPr>
              <w:fldChar w:fldCharType="begin"/>
            </w:r>
            <w:r>
              <w:rPr>
                <w:noProof/>
                <w:webHidden/>
              </w:rPr>
              <w:instrText xml:space="preserve"> PAGEREF _Toc90584915 \h </w:instrText>
            </w:r>
            <w:r>
              <w:rPr>
                <w:noProof/>
                <w:webHidden/>
              </w:rPr>
            </w:r>
            <w:r>
              <w:rPr>
                <w:noProof/>
                <w:webHidden/>
              </w:rPr>
              <w:fldChar w:fldCharType="separate"/>
            </w:r>
            <w:r>
              <w:rPr>
                <w:noProof/>
                <w:webHidden/>
              </w:rPr>
              <w:t>136</w:t>
            </w:r>
            <w:r>
              <w:rPr>
                <w:noProof/>
                <w:webHidden/>
              </w:rPr>
              <w:fldChar w:fldCharType="end"/>
            </w:r>
          </w:hyperlink>
        </w:p>
        <w:p w:rsidR="00AB3790" w:rsidRDefault="00AB3790">
          <w:pPr>
            <w:pStyle w:val="TDC2"/>
            <w:tabs>
              <w:tab w:val="right" w:leader="dot" w:pos="7927"/>
            </w:tabs>
            <w:rPr>
              <w:rFonts w:eastAsiaTheme="minorEastAsia"/>
              <w:noProof/>
              <w:color w:val="auto"/>
              <w:sz w:val="22"/>
              <w:lang w:eastAsia="es-ES"/>
            </w:rPr>
          </w:pPr>
          <w:hyperlink w:anchor="_Toc90584916" w:history="1">
            <w:r w:rsidRPr="001927B2">
              <w:rPr>
                <w:rStyle w:val="Hipervnculo"/>
                <w:noProof/>
              </w:rPr>
              <w:t>Coordinación de actividades empresariales</w:t>
            </w:r>
            <w:r>
              <w:rPr>
                <w:noProof/>
                <w:webHidden/>
              </w:rPr>
              <w:tab/>
            </w:r>
            <w:r>
              <w:rPr>
                <w:noProof/>
                <w:webHidden/>
              </w:rPr>
              <w:fldChar w:fldCharType="begin"/>
            </w:r>
            <w:r>
              <w:rPr>
                <w:noProof/>
                <w:webHidden/>
              </w:rPr>
              <w:instrText xml:space="preserve"> PAGEREF _Toc90584916 \h </w:instrText>
            </w:r>
            <w:r>
              <w:rPr>
                <w:noProof/>
                <w:webHidden/>
              </w:rPr>
            </w:r>
            <w:r>
              <w:rPr>
                <w:noProof/>
                <w:webHidden/>
              </w:rPr>
              <w:fldChar w:fldCharType="separate"/>
            </w:r>
            <w:r>
              <w:rPr>
                <w:noProof/>
                <w:webHidden/>
              </w:rPr>
              <w:t>137</w:t>
            </w:r>
            <w:r>
              <w:rPr>
                <w:noProof/>
                <w:webHidden/>
              </w:rPr>
              <w:fldChar w:fldCharType="end"/>
            </w:r>
          </w:hyperlink>
        </w:p>
        <w:p w:rsidR="00001F87" w:rsidRDefault="00001F87" w:rsidP="00001F87">
          <w:pPr>
            <w:rPr>
              <w:b/>
              <w:bCs/>
              <w:szCs w:val="20"/>
            </w:rPr>
          </w:pPr>
          <w:r>
            <w:rPr>
              <w:rFonts w:ascii="Montserrat SemiBold" w:hAnsi="Montserrat SemiBold"/>
              <w:b/>
              <w:bCs/>
              <w:noProof/>
              <w:color w:val="0099CC"/>
              <w:szCs w:val="20"/>
            </w:rPr>
            <w:fldChar w:fldCharType="end"/>
          </w:r>
        </w:p>
      </w:sdtContent>
    </w:sdt>
    <w:p w:rsidR="00001F87" w:rsidRDefault="00001F87">
      <w:pPr>
        <w:rPr>
          <w:rFonts w:ascii="Montserrat SemiBold" w:eastAsia="Times New Roman" w:hAnsi="Montserrat SemiBold" w:cs="Times New Roman"/>
          <w:b/>
          <w:bCs/>
          <w:color w:val="0099CC"/>
          <w:sz w:val="24"/>
          <w:szCs w:val="28"/>
          <w:lang w:val="x-none" w:eastAsia="x-none"/>
        </w:rPr>
      </w:pPr>
      <w:r>
        <w:br w:type="page"/>
      </w:r>
    </w:p>
    <w:p w:rsidR="00D538BD" w:rsidRPr="00AB3AB9" w:rsidRDefault="00D538BD" w:rsidP="00AB3AB9">
      <w:pPr>
        <w:pStyle w:val="Ttulo1"/>
      </w:pPr>
      <w:bookmarkStart w:id="2" w:name="_Toc90584850"/>
      <w:r w:rsidRPr="00AB3AB9">
        <w:lastRenderedPageBreak/>
        <w:t>Presentación</w:t>
      </w:r>
      <w:bookmarkEnd w:id="0"/>
      <w:bookmarkEnd w:id="2"/>
      <w:r w:rsidRPr="00AB3AB9">
        <w:t xml:space="preserve"> </w:t>
      </w:r>
    </w:p>
    <w:p w:rsidR="00F30515" w:rsidRDefault="00F30515" w:rsidP="00F30515"/>
    <w:p w:rsidR="003B6DCB" w:rsidRPr="00F30515" w:rsidRDefault="003B6DCB" w:rsidP="00F30515">
      <w:pPr>
        <w:rPr>
          <w:szCs w:val="20"/>
        </w:rPr>
      </w:pPr>
      <w:r w:rsidRPr="00F30515">
        <w:rPr>
          <w:szCs w:val="20"/>
        </w:rPr>
        <w:t>Estimados lectores,</w:t>
      </w:r>
    </w:p>
    <w:p w:rsidR="003B6DCB" w:rsidRPr="00F30515" w:rsidRDefault="003B6DCB" w:rsidP="00F30515">
      <w:pPr>
        <w:rPr>
          <w:szCs w:val="20"/>
        </w:rPr>
      </w:pPr>
      <w:r w:rsidRPr="00F30515">
        <w:rPr>
          <w:szCs w:val="20"/>
        </w:rPr>
        <w:t xml:space="preserve">En las páginas que conforman esta memoria se resume a actividad desarrollada por el Centro de Transfusión y por las Unidades de Donación de Sangre, Aféresis y Médula Ósea de la Comunidad de Madrid en el año 2020. Un año que difícilmente se va a borrar de nuestra memoria por lo inédito de todo lo vivido durante el mismo, como consecuencia de la pandemia por Coronavirus, que tan cruelmente se ha ido extendiendo por el planeta. </w:t>
      </w:r>
    </w:p>
    <w:p w:rsidR="003B6DCB" w:rsidRPr="00F30515" w:rsidRDefault="003B6DCB" w:rsidP="00F30515">
      <w:pPr>
        <w:rPr>
          <w:szCs w:val="20"/>
        </w:rPr>
      </w:pPr>
      <w:r w:rsidRPr="00F30515">
        <w:rPr>
          <w:szCs w:val="20"/>
        </w:rPr>
        <w:t xml:space="preserve">Desde marzo de 2020 a esta parte a todos nos ha cambiado la vida de alguna manera; en un tiempo récord nos hemos tenido que ir amoldando a nuevas circunstancias, tanto en lo personal, - modificando la frecuencia y la forma de relacionarnos con los demás -, como en lo laboral, - enfrentándonos a cambios importantes en nuestra metodología de trabajo, a nuevas tareas y a nuevos retos-,  para continuar dando el servicio necesario. </w:t>
      </w:r>
    </w:p>
    <w:p w:rsidR="003B6DCB" w:rsidRPr="00F30515" w:rsidRDefault="003B6DCB" w:rsidP="00F30515">
      <w:pPr>
        <w:rPr>
          <w:szCs w:val="20"/>
        </w:rPr>
      </w:pPr>
      <w:r w:rsidRPr="00F30515">
        <w:rPr>
          <w:szCs w:val="20"/>
        </w:rPr>
        <w:t xml:space="preserve">Pero por fortuna, una vez más, nuestros donantes han estado ahí cuando les hemos necesitado y han hecho posible, con su generosidad, que los pacientes de nuestra región que han necesitado una transfusión la hayan podido recibir puntualmente, y que los enfermos que en cualquier parte del mundo han necesitado un trasplante de médula de un donante de nuestra comunidad también lo hayan recibido. </w:t>
      </w:r>
    </w:p>
    <w:p w:rsidR="003B6DCB" w:rsidRPr="00F30515" w:rsidRDefault="003B6DCB" w:rsidP="00F30515">
      <w:pPr>
        <w:rPr>
          <w:szCs w:val="20"/>
        </w:rPr>
      </w:pPr>
      <w:r w:rsidRPr="00F30515">
        <w:rPr>
          <w:szCs w:val="20"/>
        </w:rPr>
        <w:t xml:space="preserve">Cuando descubrió la palanca, el griego Arquímedes pronunció su famosa frase “dadme un punto de apoyo y moveré el mundo”. Pues bien, los donantes han sido la palanca en la que nos hemos apoyado para que “nuestro mundo” siguiera girando, nuestro “corazón de Madrid” siguiera latiendo en favor de los pacientes. Ni las restricciones de movilidad, ni el posible miedo al virus les han paralizado. Su respuesta a nuestros llamamientos ha sido más que ejemplar, llenándonos a todos de emoción y de agradecimiento, en innumerables ocasiones. </w:t>
      </w:r>
    </w:p>
    <w:p w:rsidR="003B6DCB" w:rsidRPr="00F30515" w:rsidRDefault="003B6DCB" w:rsidP="00F30515">
      <w:pPr>
        <w:rPr>
          <w:szCs w:val="20"/>
        </w:rPr>
      </w:pPr>
      <w:r w:rsidRPr="00F30515">
        <w:rPr>
          <w:szCs w:val="20"/>
        </w:rPr>
        <w:t xml:space="preserve">Por eso desde estas líneas quiero aprovechar para dar las gracias a nuestros donantes en nombre de todos los trabajadores del Centro de Transfusión y de las Unidades de Donación: </w:t>
      </w:r>
    </w:p>
    <w:p w:rsidR="003B6DCB" w:rsidRDefault="003B6DCB" w:rsidP="00F30515">
      <w:pPr>
        <w:rPr>
          <w:szCs w:val="20"/>
        </w:rPr>
      </w:pPr>
      <w:r w:rsidRPr="00F30515">
        <w:rPr>
          <w:szCs w:val="20"/>
        </w:rPr>
        <w:t xml:space="preserve">Queridísimos donantes, de corazón, ¡muchas gracias a todos y cada uno de vosotros por estar siempre disponibles! </w:t>
      </w:r>
    </w:p>
    <w:p w:rsidR="00FF52BE" w:rsidRPr="00F30515" w:rsidRDefault="00FF52BE" w:rsidP="00F30515">
      <w:pPr>
        <w:rPr>
          <w:szCs w:val="20"/>
        </w:rPr>
      </w:pPr>
    </w:p>
    <w:p w:rsidR="00F30515" w:rsidRPr="00FF52BE" w:rsidRDefault="00F30515" w:rsidP="00FF52BE">
      <w:pPr>
        <w:spacing w:after="0"/>
        <w:rPr>
          <w:b/>
          <w:szCs w:val="20"/>
        </w:rPr>
      </w:pPr>
      <w:r w:rsidRPr="00FF52BE">
        <w:rPr>
          <w:b/>
          <w:szCs w:val="20"/>
        </w:rPr>
        <w:t>Luisa Mª Barea García</w:t>
      </w:r>
    </w:p>
    <w:p w:rsidR="00D538BD" w:rsidRPr="00A71B61" w:rsidRDefault="00D538BD" w:rsidP="00FF52BE">
      <w:pPr>
        <w:spacing w:after="0"/>
      </w:pPr>
      <w:r w:rsidRPr="00FF52BE">
        <w:rPr>
          <w:b/>
          <w:szCs w:val="20"/>
        </w:rPr>
        <w:t>Directora Gerente</w:t>
      </w:r>
      <w:r w:rsidRPr="00F30515">
        <w:rPr>
          <w:szCs w:val="20"/>
        </w:rPr>
        <w:t xml:space="preserve">  </w:t>
      </w:r>
      <w:r w:rsidRPr="00F30515">
        <w:rPr>
          <w:szCs w:val="20"/>
        </w:rPr>
        <w:br w:type="page"/>
      </w:r>
    </w:p>
    <w:p w:rsidR="00D538BD" w:rsidRPr="00AB3AB9" w:rsidRDefault="00D538BD" w:rsidP="00AB3AB9">
      <w:pPr>
        <w:pStyle w:val="Ttulo1"/>
      </w:pPr>
      <w:bookmarkStart w:id="3" w:name="_Toc56606551"/>
      <w:bookmarkStart w:id="4" w:name="_Toc90584851"/>
      <w:r w:rsidRPr="00AB3AB9">
        <w:lastRenderedPageBreak/>
        <w:t>Recursos humanos</w:t>
      </w:r>
      <w:bookmarkEnd w:id="3"/>
      <w:bookmarkEnd w:id="4"/>
    </w:p>
    <w:p w:rsidR="00A00660" w:rsidRPr="00A71B61" w:rsidRDefault="00A00660" w:rsidP="00D538BD">
      <w:pPr>
        <w:ind w:left="360"/>
        <w:rPr>
          <w:szCs w:val="20"/>
        </w:rPr>
      </w:pPr>
    </w:p>
    <w:tbl>
      <w:tblPr>
        <w:tblStyle w:val="Tabladecuadrcula5oscura-nfasis1"/>
        <w:tblW w:w="5000" w:type="pct"/>
        <w:tblLook w:val="0660" w:firstRow="1" w:lastRow="1" w:firstColumn="0" w:lastColumn="0" w:noHBand="1" w:noVBand="1"/>
      </w:tblPr>
      <w:tblGrid>
        <w:gridCol w:w="2152"/>
        <w:gridCol w:w="4320"/>
        <w:gridCol w:w="1455"/>
      </w:tblGrid>
      <w:tr w:rsidR="00D538BD" w:rsidRPr="00A71B61" w:rsidTr="00A00660">
        <w:trPr>
          <w:cnfStyle w:val="100000000000" w:firstRow="1" w:lastRow="0" w:firstColumn="0" w:lastColumn="0" w:oddVBand="0" w:evenVBand="0" w:oddHBand="0" w:evenHBand="0" w:firstRowFirstColumn="0" w:firstRowLastColumn="0" w:lastRowFirstColumn="0" w:lastRowLastColumn="0"/>
          <w:trHeight w:val="307"/>
        </w:trPr>
        <w:tc>
          <w:tcPr>
            <w:tcW w:w="1357" w:type="pct"/>
          </w:tcPr>
          <w:p w:rsidR="00D538BD" w:rsidRPr="00A71B61" w:rsidRDefault="00D538BD" w:rsidP="004E7EC9">
            <w:pPr>
              <w:rPr>
                <w:rFonts w:asciiTheme="majorHAnsi" w:eastAsia="Times New Roman" w:hAnsiTheme="majorHAnsi"/>
                <w:b w:val="0"/>
                <w:bCs w:val="0"/>
                <w:szCs w:val="20"/>
              </w:rPr>
            </w:pPr>
            <w:r w:rsidRPr="00A71B61">
              <w:rPr>
                <w:rFonts w:asciiTheme="majorHAnsi" w:eastAsia="Times New Roman" w:hAnsiTheme="majorHAnsi"/>
                <w:szCs w:val="20"/>
              </w:rPr>
              <w:t>Grupo (% respecto al total)</w:t>
            </w:r>
          </w:p>
        </w:tc>
        <w:tc>
          <w:tcPr>
            <w:tcW w:w="2725" w:type="pct"/>
          </w:tcPr>
          <w:p w:rsidR="00D538BD" w:rsidRPr="00A71B61" w:rsidRDefault="00D538BD" w:rsidP="004E7EC9">
            <w:pPr>
              <w:rPr>
                <w:rFonts w:asciiTheme="majorHAnsi" w:eastAsia="Times New Roman" w:hAnsiTheme="majorHAnsi"/>
                <w:b w:val="0"/>
                <w:bCs w:val="0"/>
                <w:szCs w:val="20"/>
              </w:rPr>
            </w:pPr>
            <w:r w:rsidRPr="00A71B61">
              <w:rPr>
                <w:rFonts w:asciiTheme="majorHAnsi" w:eastAsia="Times New Roman" w:hAnsiTheme="majorHAnsi"/>
                <w:szCs w:val="20"/>
              </w:rPr>
              <w:t>Categoría</w:t>
            </w:r>
          </w:p>
        </w:tc>
        <w:tc>
          <w:tcPr>
            <w:tcW w:w="918" w:type="pct"/>
          </w:tcPr>
          <w:p w:rsidR="00D538BD" w:rsidRPr="00A71B61" w:rsidRDefault="00D538BD" w:rsidP="004E7EC9">
            <w:pPr>
              <w:jc w:val="center"/>
              <w:rPr>
                <w:rFonts w:asciiTheme="majorHAnsi" w:eastAsia="Times New Roman" w:hAnsiTheme="majorHAnsi"/>
                <w:b w:val="0"/>
                <w:bCs w:val="0"/>
                <w:szCs w:val="20"/>
              </w:rPr>
            </w:pPr>
            <w:r w:rsidRPr="00A71B61">
              <w:rPr>
                <w:rFonts w:asciiTheme="majorHAnsi" w:eastAsia="Times New Roman" w:hAnsiTheme="majorHAnsi"/>
                <w:szCs w:val="20"/>
              </w:rPr>
              <w:t>Número</w:t>
            </w:r>
          </w:p>
        </w:tc>
      </w:tr>
      <w:tr w:rsidR="00D538BD" w:rsidRPr="00A71B61" w:rsidTr="00A00660">
        <w:trPr>
          <w:trHeight w:val="239"/>
        </w:trPr>
        <w:tc>
          <w:tcPr>
            <w:tcW w:w="1357" w:type="pct"/>
            <w:vMerge w:val="restart"/>
          </w:tcPr>
          <w:p w:rsidR="00D538BD" w:rsidRPr="00A71B61" w:rsidRDefault="00D538BD" w:rsidP="004E7EC9">
            <w:pPr>
              <w:rPr>
                <w:rFonts w:asciiTheme="majorHAnsi" w:hAnsiTheme="majorHAnsi"/>
                <w:szCs w:val="20"/>
              </w:rPr>
            </w:pPr>
            <w:r w:rsidRPr="00A71B61">
              <w:rPr>
                <w:rFonts w:asciiTheme="majorHAnsi" w:hAnsiTheme="majorHAnsi"/>
                <w:szCs w:val="20"/>
              </w:rPr>
              <w:t>Personal Directivo (1,6%)</w:t>
            </w: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Gerente</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Director de gestión</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Subdirector de enfermería</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0</w:t>
            </w:r>
          </w:p>
        </w:tc>
      </w:tr>
      <w:tr w:rsidR="00D538BD" w:rsidRPr="00A71B61" w:rsidTr="00A00660">
        <w:trPr>
          <w:trHeight w:val="164"/>
        </w:trPr>
        <w:tc>
          <w:tcPr>
            <w:tcW w:w="1357" w:type="pct"/>
            <w:vMerge w:val="restart"/>
          </w:tcPr>
          <w:p w:rsidR="00D538BD" w:rsidRPr="00A71B61" w:rsidRDefault="00D538BD" w:rsidP="004E7EC9">
            <w:pPr>
              <w:rPr>
                <w:rFonts w:asciiTheme="majorHAnsi" w:hAnsiTheme="majorHAnsi"/>
                <w:szCs w:val="20"/>
              </w:rPr>
            </w:pPr>
            <w:r w:rsidRPr="00A71B61">
              <w:rPr>
                <w:rFonts w:asciiTheme="majorHAnsi" w:hAnsiTheme="majorHAnsi"/>
                <w:szCs w:val="20"/>
              </w:rPr>
              <w:t>Personal Sanitario y de Investigación (64,2%)</w:t>
            </w: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Médicos hematólogos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6</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Coordinador docencia e investigación</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0</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 xml:space="preserve">Médicos </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8</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Biólogos inmunólogos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4</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Facultativo Especialista Análisis Clínicos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Supervisor Unidad</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3</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Enfermeros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26</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Auxiliar de Enfermería</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19</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T.E.L. I</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52</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Técnico auxiliar de laboratorio</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239"/>
        </w:trPr>
        <w:tc>
          <w:tcPr>
            <w:tcW w:w="1357" w:type="pct"/>
            <w:vMerge w:val="restart"/>
          </w:tcPr>
          <w:p w:rsidR="00D538BD" w:rsidRPr="00A71B61" w:rsidRDefault="00D538BD" w:rsidP="004E7EC9">
            <w:pPr>
              <w:rPr>
                <w:rFonts w:asciiTheme="majorHAnsi" w:hAnsiTheme="majorHAnsi"/>
                <w:szCs w:val="20"/>
              </w:rPr>
            </w:pPr>
            <w:r w:rsidRPr="00A71B61">
              <w:rPr>
                <w:rFonts w:asciiTheme="majorHAnsi" w:hAnsiTheme="majorHAnsi"/>
                <w:szCs w:val="20"/>
              </w:rPr>
              <w:t>Personal de administración y servicios (34,2%)</w:t>
            </w: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Responsable de promoción</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Personal Técnico Titulado Superior</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Titulado medio</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Jefe de Sección No Sanitario</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2</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Jefe de negociado</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2</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Oficiales administrativos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16</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Auxiliares administrativos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17</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Auxiliares de control e información</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3</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Personal Auxiliar de Servicios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6</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Celadores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6</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Técnico especialista III</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Técnicos de Mantenimiento</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2</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Conductores</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1</w:t>
            </w:r>
          </w:p>
        </w:tc>
      </w:tr>
      <w:tr w:rsidR="00D538BD" w:rsidRPr="00A71B61" w:rsidTr="00A00660">
        <w:trPr>
          <w:trHeight w:val="164"/>
        </w:trPr>
        <w:tc>
          <w:tcPr>
            <w:tcW w:w="1357" w:type="pct"/>
            <w:vMerge/>
          </w:tcPr>
          <w:p w:rsidR="00D538BD" w:rsidRPr="00A71B61" w:rsidRDefault="00D538BD" w:rsidP="004E7EC9">
            <w:pPr>
              <w:rPr>
                <w:rFonts w:asciiTheme="majorHAnsi" w:hAnsiTheme="majorHAnsi"/>
                <w:szCs w:val="20"/>
              </w:rPr>
            </w:pPr>
          </w:p>
        </w:tc>
        <w:tc>
          <w:tcPr>
            <w:tcW w:w="2725" w:type="pct"/>
          </w:tcPr>
          <w:p w:rsidR="00D538BD" w:rsidRPr="00A71B61" w:rsidRDefault="00D538BD" w:rsidP="004E7EC9">
            <w:pPr>
              <w:rPr>
                <w:rFonts w:asciiTheme="majorHAnsi" w:hAnsiTheme="majorHAnsi"/>
                <w:szCs w:val="20"/>
              </w:rPr>
            </w:pPr>
            <w:r w:rsidRPr="00A71B61">
              <w:rPr>
                <w:rFonts w:asciiTheme="majorHAnsi" w:hAnsiTheme="majorHAnsi"/>
                <w:szCs w:val="20"/>
              </w:rPr>
              <w:t>Grupo técnico función administrativa</w:t>
            </w:r>
          </w:p>
        </w:tc>
        <w:tc>
          <w:tcPr>
            <w:tcW w:w="918" w:type="pct"/>
          </w:tcPr>
          <w:p w:rsidR="00D538BD" w:rsidRPr="00A71B61" w:rsidRDefault="00D538BD" w:rsidP="004E7EC9">
            <w:pPr>
              <w:jc w:val="center"/>
              <w:rPr>
                <w:rFonts w:asciiTheme="majorHAnsi" w:hAnsiTheme="majorHAnsi"/>
                <w:szCs w:val="20"/>
              </w:rPr>
            </w:pPr>
            <w:r w:rsidRPr="00A71B61">
              <w:rPr>
                <w:rFonts w:asciiTheme="majorHAnsi" w:hAnsiTheme="majorHAnsi"/>
                <w:szCs w:val="20"/>
              </w:rPr>
              <w:t>3</w:t>
            </w:r>
          </w:p>
        </w:tc>
      </w:tr>
      <w:tr w:rsidR="00D538BD" w:rsidRPr="00A71B61" w:rsidTr="00A00660">
        <w:trPr>
          <w:cnfStyle w:val="010000000000" w:firstRow="0" w:lastRow="1" w:firstColumn="0" w:lastColumn="0" w:oddVBand="0" w:evenVBand="0" w:oddHBand="0" w:evenHBand="0" w:firstRowFirstColumn="0" w:firstRowLastColumn="0" w:lastRowFirstColumn="0" w:lastRowLastColumn="0"/>
          <w:trHeight w:val="307"/>
        </w:trPr>
        <w:tc>
          <w:tcPr>
            <w:tcW w:w="1357" w:type="pct"/>
          </w:tcPr>
          <w:p w:rsidR="00D538BD" w:rsidRPr="00A71B61" w:rsidRDefault="00D538BD" w:rsidP="004E7EC9">
            <w:pPr>
              <w:rPr>
                <w:rFonts w:asciiTheme="majorHAnsi" w:eastAsia="Times New Roman" w:hAnsiTheme="majorHAnsi"/>
                <w:b w:val="0"/>
                <w:bCs w:val="0"/>
                <w:szCs w:val="20"/>
              </w:rPr>
            </w:pPr>
            <w:r w:rsidRPr="00A71B61">
              <w:rPr>
                <w:rFonts w:asciiTheme="majorHAnsi" w:eastAsia="Times New Roman" w:hAnsiTheme="majorHAnsi"/>
                <w:szCs w:val="20"/>
              </w:rPr>
              <w:t>Total</w:t>
            </w:r>
          </w:p>
        </w:tc>
        <w:tc>
          <w:tcPr>
            <w:tcW w:w="2725" w:type="pct"/>
          </w:tcPr>
          <w:p w:rsidR="00D538BD" w:rsidRPr="00A71B61" w:rsidRDefault="00D538BD" w:rsidP="004E7EC9">
            <w:pPr>
              <w:rPr>
                <w:rFonts w:asciiTheme="majorHAnsi" w:eastAsia="Times New Roman" w:hAnsiTheme="majorHAnsi"/>
                <w:b w:val="0"/>
                <w:bCs w:val="0"/>
                <w:szCs w:val="20"/>
              </w:rPr>
            </w:pPr>
          </w:p>
        </w:tc>
        <w:tc>
          <w:tcPr>
            <w:tcW w:w="918" w:type="pct"/>
          </w:tcPr>
          <w:p w:rsidR="00D538BD" w:rsidRPr="00A71B61" w:rsidRDefault="00D538BD" w:rsidP="004E7EC9">
            <w:pPr>
              <w:jc w:val="center"/>
              <w:rPr>
                <w:rFonts w:asciiTheme="majorHAnsi" w:eastAsia="Times New Roman" w:hAnsiTheme="majorHAnsi"/>
                <w:b w:val="0"/>
                <w:bCs w:val="0"/>
                <w:szCs w:val="20"/>
              </w:rPr>
            </w:pPr>
            <w:r w:rsidRPr="00A71B61">
              <w:rPr>
                <w:rFonts w:asciiTheme="majorHAnsi" w:eastAsia="Times New Roman" w:hAnsiTheme="majorHAnsi"/>
                <w:szCs w:val="20"/>
              </w:rPr>
              <w:t>184</w:t>
            </w:r>
          </w:p>
        </w:tc>
      </w:tr>
    </w:tbl>
    <w:p w:rsidR="00D538BD" w:rsidRPr="00A71B61" w:rsidRDefault="00D538BD" w:rsidP="00D538BD">
      <w:pPr>
        <w:ind w:left="360"/>
        <w:rPr>
          <w:szCs w:val="20"/>
        </w:rPr>
      </w:pPr>
    </w:p>
    <w:p w:rsidR="00D538BD" w:rsidRPr="00A71B61" w:rsidRDefault="00D538BD" w:rsidP="0011164E">
      <w:pPr>
        <w:rPr>
          <w:szCs w:val="20"/>
        </w:rPr>
      </w:pPr>
      <w:r w:rsidRPr="00A71B61">
        <w:rPr>
          <w:szCs w:val="20"/>
        </w:rPr>
        <w:t>A lo largo del año 2020 se han realizado un total de 104 contrataciones más para la cobertura de incapacidades temporales, excedencias, cambios de vinculación como consecuencia de los procesos de estatutarización, etc.</w:t>
      </w:r>
    </w:p>
    <w:p w:rsidR="00D538BD" w:rsidRPr="00A71B61" w:rsidRDefault="00D538BD" w:rsidP="0011164E">
      <w:pPr>
        <w:rPr>
          <w:szCs w:val="20"/>
        </w:rPr>
      </w:pPr>
      <w:r w:rsidRPr="00A71B61">
        <w:rPr>
          <w:szCs w:val="20"/>
        </w:rPr>
        <w:t>Además, el Centro de Transfusión es una Unidad Administrativa que funciona como registro, siendo el volumen de actividad durante el año 2020 de 2.371 registros, 1.774 entradas y 597 salidas.</w:t>
      </w:r>
    </w:p>
    <w:p w:rsidR="00D538BD" w:rsidRPr="00A71B61" w:rsidRDefault="00D538BD" w:rsidP="0011164E">
      <w:pPr>
        <w:rPr>
          <w:szCs w:val="20"/>
        </w:rPr>
      </w:pPr>
      <w:r w:rsidRPr="00A71B61">
        <w:rPr>
          <w:szCs w:val="20"/>
        </w:rPr>
        <w:t>La distribución de la plantilla según se trate de personal fijo, interino o eventual es la que se muestra en la siguiente tabla:</w:t>
      </w:r>
    </w:p>
    <w:p w:rsidR="0011164E" w:rsidRPr="00A71B61" w:rsidRDefault="0011164E" w:rsidP="0011164E">
      <w:pPr>
        <w:rPr>
          <w:szCs w:val="20"/>
        </w:rPr>
      </w:pPr>
    </w:p>
    <w:p w:rsidR="00AD6D6B" w:rsidRPr="00A71B61" w:rsidRDefault="00AD6D6B">
      <w:pPr>
        <w:rPr>
          <w:szCs w:val="20"/>
        </w:rPr>
      </w:pPr>
    </w:p>
    <w:p w:rsidR="0011164E" w:rsidRPr="00A71B61" w:rsidRDefault="0011164E" w:rsidP="0011164E">
      <w:pPr>
        <w:rPr>
          <w:szCs w:val="20"/>
        </w:rPr>
      </w:pPr>
    </w:p>
    <w:p w:rsidR="0011164E" w:rsidRPr="00A71B61" w:rsidRDefault="0011164E" w:rsidP="0011164E">
      <w:pPr>
        <w:rPr>
          <w:szCs w:val="20"/>
        </w:rPr>
      </w:pPr>
    </w:p>
    <w:tbl>
      <w:tblPr>
        <w:tblStyle w:val="Tabladecuadrcula5oscura-nfasis1"/>
        <w:tblW w:w="8331" w:type="dxa"/>
        <w:tblLayout w:type="fixed"/>
        <w:tblLook w:val="0660" w:firstRow="1" w:lastRow="1" w:firstColumn="0" w:lastColumn="0" w:noHBand="1" w:noVBand="1"/>
      </w:tblPr>
      <w:tblGrid>
        <w:gridCol w:w="4077"/>
        <w:gridCol w:w="1158"/>
        <w:gridCol w:w="1418"/>
        <w:gridCol w:w="1678"/>
      </w:tblGrid>
      <w:tr w:rsidR="00D538BD" w:rsidRPr="00A71B61" w:rsidTr="00A00660">
        <w:trPr>
          <w:cnfStyle w:val="100000000000" w:firstRow="1" w:lastRow="0" w:firstColumn="0" w:lastColumn="0" w:oddVBand="0" w:evenVBand="0" w:oddHBand="0" w:evenHBand="0" w:firstRowFirstColumn="0" w:firstRowLastColumn="0" w:lastRowFirstColumn="0" w:lastRowLastColumn="0"/>
          <w:trHeight w:val="283"/>
        </w:trPr>
        <w:tc>
          <w:tcPr>
            <w:tcW w:w="4077" w:type="dxa"/>
            <w:noWrap/>
          </w:tcPr>
          <w:p w:rsidR="00D538BD" w:rsidRPr="00A71B61" w:rsidRDefault="00D538BD" w:rsidP="004E7EC9">
            <w:pP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 CATEGORÍA PROFESIONAL</w:t>
            </w:r>
          </w:p>
        </w:tc>
        <w:tc>
          <w:tcPr>
            <w:tcW w:w="1158" w:type="dxa"/>
            <w:noWrap/>
          </w:tcPr>
          <w:p w:rsidR="00D538BD" w:rsidRPr="00A71B61" w:rsidRDefault="00D538BD" w:rsidP="004E7EC9">
            <w:pP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FIJOS</w:t>
            </w:r>
          </w:p>
          <w:p w:rsidR="00D538BD" w:rsidRPr="00A71B61" w:rsidRDefault="00D538BD" w:rsidP="004E7EC9">
            <w:pPr>
              <w:rPr>
                <w:rFonts w:asciiTheme="majorHAnsi" w:eastAsia="Times New Roman" w:hAnsiTheme="majorHAnsi"/>
                <w:b w:val="0"/>
                <w:bCs w:val="0"/>
                <w:szCs w:val="20"/>
                <w:lang w:eastAsia="es-ES"/>
              </w:rPr>
            </w:pPr>
          </w:p>
        </w:tc>
        <w:tc>
          <w:tcPr>
            <w:tcW w:w="1418" w:type="dxa"/>
            <w:noWrap/>
          </w:tcPr>
          <w:p w:rsidR="00D538BD" w:rsidRPr="00A71B61" w:rsidRDefault="00D538BD" w:rsidP="004E7EC9">
            <w:pP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INTERINOS</w:t>
            </w:r>
          </w:p>
        </w:tc>
        <w:tc>
          <w:tcPr>
            <w:tcW w:w="1678" w:type="dxa"/>
          </w:tcPr>
          <w:p w:rsidR="00D538BD" w:rsidRPr="00A71B61" w:rsidRDefault="00D538BD" w:rsidP="00A00660">
            <w:pPr>
              <w:jc w:val="cente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EVENTUALES (contratados durante el año)</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Auxiliares administrativos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14</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10</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Auxiliares de control e información</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Auxiliares de enfermería</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11</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8</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11</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Personal Auxiliar de Servicios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4</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2</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4</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Celadores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6</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Conductores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Coordinador docencia e investigación</w:t>
            </w:r>
          </w:p>
        </w:tc>
        <w:tc>
          <w:tcPr>
            <w:tcW w:w="1158" w:type="dxa"/>
            <w:noWrap/>
          </w:tcPr>
          <w:p w:rsidR="00D538BD" w:rsidRPr="00A71B61" w:rsidRDefault="00D538BD" w:rsidP="004E7EC9">
            <w:pPr>
              <w:jc w:val="center"/>
              <w:rPr>
                <w:rFonts w:asciiTheme="majorHAnsi" w:eastAsia="Times New Roman" w:hAnsiTheme="majorHAnsi"/>
                <w:szCs w:val="20"/>
                <w:lang w:eastAsia="es-ES"/>
              </w:rPr>
            </w:pP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Enfermeros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20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7</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12</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Director Gerente</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418" w:type="dxa"/>
            <w:noWrap/>
          </w:tcPr>
          <w:p w:rsidR="00D538BD" w:rsidRPr="00A71B61" w:rsidRDefault="00D538BD" w:rsidP="004E7EC9">
            <w:pPr>
              <w:tabs>
                <w:tab w:val="left" w:pos="468"/>
                <w:tab w:val="center" w:pos="530"/>
              </w:tabs>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Director de Gestión</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Director Médico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Subdirector de Enfermería</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Jefe de negociado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2</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4</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Jefe de Sección No Sanitario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2</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Supervisor Unidad</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Oficiales administrativos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13</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4</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Técnicos de Mantenimiento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Téc. Sup. Esp. En Laboratorio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6</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46</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49</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Técnico auxiliar de laboratorio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418" w:type="dxa"/>
            <w:noWrap/>
          </w:tcPr>
          <w:p w:rsidR="00D538BD" w:rsidRPr="00A71B61" w:rsidRDefault="00D538BD" w:rsidP="004E7EC9">
            <w:pPr>
              <w:jc w:val="center"/>
              <w:rPr>
                <w:rFonts w:asciiTheme="majorHAnsi" w:eastAsia="Times New Roman" w:hAnsiTheme="majorHAnsi"/>
                <w:szCs w:val="20"/>
                <w:lang w:eastAsia="es-ES"/>
              </w:rPr>
            </w:pP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Técnico especialista III</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294"/>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Facultativo Especialista Hematología</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6</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Facultativo Especialista Análisis Clínicos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Facultativo Especialista Inmunología</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Médicos</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5</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2</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Personal Técnico Titulado Superior</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Titulado Medio</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Grupo técnico función administrativa</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0</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3</w:t>
            </w:r>
          </w:p>
        </w:tc>
        <w:tc>
          <w:tcPr>
            <w:tcW w:w="1678" w:type="dxa"/>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2</w:t>
            </w:r>
          </w:p>
        </w:tc>
      </w:tr>
      <w:tr w:rsidR="00D538BD" w:rsidRPr="00A71B61" w:rsidTr="00A00660">
        <w:trPr>
          <w:trHeight w:val="316"/>
        </w:trPr>
        <w:tc>
          <w:tcPr>
            <w:tcW w:w="4077" w:type="dxa"/>
            <w:noWrap/>
          </w:tcPr>
          <w:p w:rsidR="00D538BD" w:rsidRPr="00A71B61" w:rsidRDefault="00D538BD" w:rsidP="004E7EC9">
            <w:pPr>
              <w:rPr>
                <w:rFonts w:asciiTheme="majorHAnsi" w:eastAsia="Times New Roman" w:hAnsiTheme="majorHAnsi"/>
                <w:szCs w:val="20"/>
                <w:lang w:eastAsia="es-ES"/>
              </w:rPr>
            </w:pPr>
            <w:r w:rsidRPr="00A71B61">
              <w:rPr>
                <w:rFonts w:asciiTheme="majorHAnsi" w:eastAsia="Times New Roman" w:hAnsiTheme="majorHAnsi"/>
                <w:szCs w:val="20"/>
                <w:lang w:eastAsia="es-ES"/>
              </w:rPr>
              <w:t> Subtotal</w:t>
            </w:r>
          </w:p>
        </w:tc>
        <w:tc>
          <w:tcPr>
            <w:tcW w:w="115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78</w:t>
            </w:r>
          </w:p>
        </w:tc>
        <w:tc>
          <w:tcPr>
            <w:tcW w:w="1418" w:type="dxa"/>
            <w:noWrap/>
          </w:tcPr>
          <w:p w:rsidR="00D538BD" w:rsidRPr="00A71B61" w:rsidRDefault="00D538BD" w:rsidP="004E7EC9">
            <w:pPr>
              <w:jc w:val="center"/>
              <w:rPr>
                <w:rFonts w:asciiTheme="majorHAnsi" w:eastAsia="Times New Roman" w:hAnsiTheme="majorHAnsi"/>
                <w:szCs w:val="20"/>
                <w:lang w:eastAsia="es-ES"/>
              </w:rPr>
            </w:pPr>
            <w:r w:rsidRPr="00A71B61">
              <w:rPr>
                <w:rFonts w:asciiTheme="majorHAnsi" w:eastAsia="Times New Roman" w:hAnsiTheme="majorHAnsi"/>
                <w:szCs w:val="20"/>
                <w:lang w:eastAsia="es-ES"/>
              </w:rPr>
              <w:t>106</w:t>
            </w:r>
          </w:p>
        </w:tc>
        <w:tc>
          <w:tcPr>
            <w:tcW w:w="1678" w:type="dxa"/>
          </w:tcPr>
          <w:p w:rsidR="00D538BD" w:rsidRPr="00A71B61" w:rsidRDefault="00D538BD" w:rsidP="004E7EC9">
            <w:pPr>
              <w:jc w:val="center"/>
              <w:rPr>
                <w:rFonts w:asciiTheme="majorHAnsi" w:eastAsia="Times New Roman" w:hAnsiTheme="majorHAnsi"/>
                <w:szCs w:val="20"/>
                <w:lang w:eastAsia="es-ES"/>
              </w:rPr>
            </w:pPr>
          </w:p>
        </w:tc>
      </w:tr>
      <w:tr w:rsidR="00D538BD" w:rsidRPr="00A71B61" w:rsidTr="00A00660">
        <w:trPr>
          <w:cnfStyle w:val="010000000000" w:firstRow="0" w:lastRow="1" w:firstColumn="0" w:lastColumn="0" w:oddVBand="0" w:evenVBand="0" w:oddHBand="0" w:evenHBand="0" w:firstRowFirstColumn="0" w:firstRowLastColumn="0" w:lastRowFirstColumn="0" w:lastRowLastColumn="0"/>
          <w:trHeight w:val="333"/>
        </w:trPr>
        <w:tc>
          <w:tcPr>
            <w:tcW w:w="4077" w:type="dxa"/>
            <w:noWrap/>
          </w:tcPr>
          <w:p w:rsidR="00D538BD" w:rsidRPr="00A71B61" w:rsidRDefault="00D538BD" w:rsidP="004E7EC9">
            <w:pP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Total</w:t>
            </w:r>
          </w:p>
        </w:tc>
        <w:tc>
          <w:tcPr>
            <w:tcW w:w="2576" w:type="dxa"/>
            <w:gridSpan w:val="2"/>
            <w:noWrap/>
          </w:tcPr>
          <w:p w:rsidR="00D538BD" w:rsidRPr="00A71B61" w:rsidRDefault="00D538BD" w:rsidP="004E7EC9">
            <w:pPr>
              <w:jc w:val="cente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184</w:t>
            </w:r>
          </w:p>
        </w:tc>
        <w:tc>
          <w:tcPr>
            <w:tcW w:w="1678" w:type="dxa"/>
          </w:tcPr>
          <w:p w:rsidR="00D538BD" w:rsidRPr="00A71B61" w:rsidRDefault="00D538BD" w:rsidP="004E7EC9">
            <w:pPr>
              <w:jc w:val="center"/>
              <w:rPr>
                <w:rFonts w:asciiTheme="majorHAnsi" w:eastAsia="Times New Roman" w:hAnsiTheme="majorHAnsi"/>
                <w:b w:val="0"/>
                <w:bCs w:val="0"/>
                <w:szCs w:val="20"/>
                <w:lang w:eastAsia="es-ES"/>
              </w:rPr>
            </w:pPr>
            <w:r w:rsidRPr="00A71B61">
              <w:rPr>
                <w:rFonts w:asciiTheme="majorHAnsi" w:eastAsia="Times New Roman" w:hAnsiTheme="majorHAnsi"/>
                <w:szCs w:val="20"/>
                <w:lang w:eastAsia="es-ES"/>
              </w:rPr>
              <w:t>104</w:t>
            </w:r>
          </w:p>
        </w:tc>
      </w:tr>
    </w:tbl>
    <w:p w:rsidR="00D538BD" w:rsidRPr="00A71B61" w:rsidRDefault="00D538BD" w:rsidP="00D538BD">
      <w:pPr>
        <w:rPr>
          <w:szCs w:val="20"/>
        </w:rPr>
      </w:pPr>
    </w:p>
    <w:p w:rsidR="00D538BD" w:rsidRPr="00A71B61" w:rsidRDefault="00D538BD" w:rsidP="00D538BD">
      <w:pPr>
        <w:rPr>
          <w:rFonts w:cs="Calibri"/>
          <w:color w:val="FF0000"/>
          <w:szCs w:val="20"/>
        </w:rPr>
      </w:pPr>
    </w:p>
    <w:p w:rsidR="00D538BD" w:rsidRPr="00A71B61" w:rsidRDefault="00D538BD" w:rsidP="00D538BD">
      <w:pPr>
        <w:rPr>
          <w:rFonts w:cs="Calibri"/>
          <w:color w:val="FF0000"/>
          <w:szCs w:val="20"/>
        </w:rPr>
      </w:pPr>
    </w:p>
    <w:p w:rsidR="00D538BD" w:rsidRPr="00AB3AB9" w:rsidRDefault="00D538BD" w:rsidP="00AB3AB9">
      <w:pPr>
        <w:pStyle w:val="Ttulo1"/>
      </w:pPr>
      <w:bookmarkStart w:id="5" w:name="_Toc56606554"/>
      <w:bookmarkStart w:id="6" w:name="_Toc90584852"/>
      <w:r w:rsidRPr="00AB3AB9">
        <w:lastRenderedPageBreak/>
        <w:t>Datos económicos (resumen)</w:t>
      </w:r>
      <w:bookmarkEnd w:id="6"/>
    </w:p>
    <w:p w:rsidR="00D538BD" w:rsidRPr="00AB3AB9" w:rsidRDefault="00D538BD" w:rsidP="00AB3AB9">
      <w:pPr>
        <w:pStyle w:val="Ttulo2"/>
      </w:pPr>
      <w:bookmarkStart w:id="7" w:name="_Toc90584853"/>
      <w:r w:rsidRPr="00AB3AB9">
        <w:t>Gastos</w:t>
      </w:r>
      <w:bookmarkEnd w:id="7"/>
    </w:p>
    <w:p w:rsidR="00D538BD" w:rsidRPr="00A71B61" w:rsidRDefault="00D538BD" w:rsidP="0011164E">
      <w:pPr>
        <w:spacing w:before="120" w:after="240"/>
        <w:rPr>
          <w:rFonts w:ascii="Cambria" w:eastAsia="Times New Roman" w:hAnsi="Cambria"/>
          <w:color w:val="4F81BD"/>
          <w:szCs w:val="20"/>
        </w:rPr>
      </w:pPr>
      <w:r w:rsidRPr="00A71B61">
        <w:rPr>
          <w:szCs w:val="20"/>
        </w:rPr>
        <w:t>En las tablas siguientes se resumen los gastos correspondientes a los capítulos I, II y VI así como los ingresos correspondientes a 2020</w:t>
      </w:r>
    </w:p>
    <w:p w:rsidR="00D538BD" w:rsidRPr="00AB3AB9" w:rsidRDefault="00D538BD" w:rsidP="00AB3AB9">
      <w:pPr>
        <w:pStyle w:val="Ttulo2"/>
      </w:pPr>
      <w:bookmarkStart w:id="8" w:name="_Toc90584854"/>
      <w:r w:rsidRPr="00AB3AB9">
        <w:t>Resumen</w:t>
      </w:r>
      <w:bookmarkEnd w:id="8"/>
    </w:p>
    <w:p w:rsidR="00D538BD" w:rsidRPr="00A71B61" w:rsidRDefault="00D538BD" w:rsidP="00D538BD">
      <w:pPr>
        <w:rPr>
          <w:szCs w:val="20"/>
          <w:lang w:eastAsia="x-none"/>
        </w:rPr>
      </w:pPr>
    </w:p>
    <w:tbl>
      <w:tblPr>
        <w:tblStyle w:val="Tabladecuadrcula5oscura-nfasis1"/>
        <w:tblW w:w="0" w:type="auto"/>
        <w:tblLook w:val="0620" w:firstRow="1" w:lastRow="0" w:firstColumn="0" w:lastColumn="0" w:noHBand="1" w:noVBand="1"/>
      </w:tblPr>
      <w:tblGrid>
        <w:gridCol w:w="1806"/>
        <w:gridCol w:w="1626"/>
        <w:gridCol w:w="1545"/>
        <w:gridCol w:w="1599"/>
        <w:gridCol w:w="1351"/>
      </w:tblGrid>
      <w:tr w:rsidR="00A00660" w:rsidRPr="00A71B61" w:rsidTr="00A00660">
        <w:trPr>
          <w:cnfStyle w:val="100000000000" w:firstRow="1" w:lastRow="0" w:firstColumn="0" w:lastColumn="0" w:oddVBand="0" w:evenVBand="0" w:oddHBand="0" w:evenHBand="0" w:firstRowFirstColumn="0" w:firstRowLastColumn="0" w:lastRowFirstColumn="0" w:lastRowLastColumn="0"/>
          <w:trHeight w:val="664"/>
        </w:trPr>
        <w:tc>
          <w:tcPr>
            <w:tcW w:w="2285" w:type="dxa"/>
          </w:tcPr>
          <w:p w:rsidR="00D538BD" w:rsidRPr="00A71B61" w:rsidRDefault="00D538BD" w:rsidP="004E7EC9">
            <w:pPr>
              <w:rPr>
                <w:rFonts w:eastAsia="Times New Roman" w:cs="Calibri"/>
                <w:b w:val="0"/>
                <w:bCs w:val="0"/>
                <w:szCs w:val="20"/>
                <w:lang w:eastAsia="es-ES"/>
              </w:rPr>
            </w:pPr>
            <w:r w:rsidRPr="00A71B61">
              <w:rPr>
                <w:rFonts w:eastAsia="Times New Roman" w:cs="Calibri"/>
                <w:szCs w:val="20"/>
                <w:lang w:eastAsia="es-ES"/>
              </w:rPr>
              <w:t>Concepto</w:t>
            </w:r>
          </w:p>
        </w:tc>
        <w:tc>
          <w:tcPr>
            <w:tcW w:w="1787" w:type="dxa"/>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Presupuesto Inicial</w:t>
            </w:r>
          </w:p>
        </w:tc>
        <w:tc>
          <w:tcPr>
            <w:tcW w:w="1358" w:type="dxa"/>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Presupuesto Final</w:t>
            </w:r>
          </w:p>
        </w:tc>
        <w:tc>
          <w:tcPr>
            <w:tcW w:w="1707" w:type="dxa"/>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Presupuesto ejecutado</w:t>
            </w:r>
          </w:p>
        </w:tc>
        <w:tc>
          <w:tcPr>
            <w:tcW w:w="1583" w:type="dxa"/>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 de ejecución</w:t>
            </w:r>
          </w:p>
        </w:tc>
      </w:tr>
      <w:tr w:rsidR="00D538BD" w:rsidRPr="00A71B61" w:rsidTr="00A00660">
        <w:tc>
          <w:tcPr>
            <w:tcW w:w="2285" w:type="dxa"/>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Capítulo I</w:t>
            </w:r>
          </w:p>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(Personal)</w:t>
            </w:r>
          </w:p>
        </w:tc>
        <w:tc>
          <w:tcPr>
            <w:tcW w:w="178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9.128.801</w:t>
            </w:r>
          </w:p>
        </w:tc>
        <w:tc>
          <w:tcPr>
            <w:tcW w:w="1358"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8.709.571</w:t>
            </w:r>
          </w:p>
        </w:tc>
        <w:tc>
          <w:tcPr>
            <w:tcW w:w="170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8.709.571</w:t>
            </w:r>
          </w:p>
        </w:tc>
        <w:tc>
          <w:tcPr>
            <w:tcW w:w="1583"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100%</w:t>
            </w:r>
          </w:p>
        </w:tc>
      </w:tr>
      <w:tr w:rsidR="00D538BD" w:rsidRPr="00A71B61" w:rsidTr="00A00660">
        <w:tc>
          <w:tcPr>
            <w:tcW w:w="2285" w:type="dxa"/>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Capítulo II</w:t>
            </w:r>
          </w:p>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(Gasto corrientes)</w:t>
            </w:r>
          </w:p>
        </w:tc>
        <w:tc>
          <w:tcPr>
            <w:tcW w:w="178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20.099.321</w:t>
            </w:r>
          </w:p>
        </w:tc>
        <w:tc>
          <w:tcPr>
            <w:tcW w:w="1358"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19.094.526</w:t>
            </w:r>
          </w:p>
        </w:tc>
        <w:tc>
          <w:tcPr>
            <w:tcW w:w="170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18.570.904</w:t>
            </w:r>
          </w:p>
        </w:tc>
        <w:tc>
          <w:tcPr>
            <w:tcW w:w="1583"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97,26%</w:t>
            </w:r>
          </w:p>
        </w:tc>
      </w:tr>
      <w:tr w:rsidR="00D538BD" w:rsidRPr="00A71B61" w:rsidTr="00A00660">
        <w:tc>
          <w:tcPr>
            <w:tcW w:w="2285" w:type="dxa"/>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Capítulo IV</w:t>
            </w:r>
          </w:p>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(Inversiones)</w:t>
            </w:r>
          </w:p>
        </w:tc>
        <w:tc>
          <w:tcPr>
            <w:tcW w:w="178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0</w:t>
            </w:r>
          </w:p>
        </w:tc>
        <w:tc>
          <w:tcPr>
            <w:tcW w:w="1358"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261.669</w:t>
            </w:r>
          </w:p>
        </w:tc>
        <w:tc>
          <w:tcPr>
            <w:tcW w:w="170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261.499</w:t>
            </w:r>
          </w:p>
        </w:tc>
        <w:tc>
          <w:tcPr>
            <w:tcW w:w="1583"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99,94%</w:t>
            </w:r>
          </w:p>
        </w:tc>
      </w:tr>
    </w:tbl>
    <w:p w:rsidR="00D538BD" w:rsidRPr="00A71B61" w:rsidRDefault="00D538BD" w:rsidP="00D538BD">
      <w:pPr>
        <w:rPr>
          <w:rFonts w:cs="Calibri"/>
          <w:color w:val="000000"/>
          <w:szCs w:val="20"/>
        </w:rPr>
      </w:pPr>
    </w:p>
    <w:p w:rsidR="00D538BD" w:rsidRPr="00AB3AB9" w:rsidRDefault="00D538BD" w:rsidP="00AB3AB9">
      <w:pPr>
        <w:pStyle w:val="Ttulo2"/>
      </w:pPr>
      <w:bookmarkStart w:id="9" w:name="_Toc90584855"/>
      <w:r w:rsidRPr="00AB3AB9">
        <w:t>Gastos corrientes</w:t>
      </w:r>
      <w:bookmarkEnd w:id="9"/>
      <w:r w:rsidRPr="00AB3AB9">
        <w:t xml:space="preserve"> </w:t>
      </w:r>
    </w:p>
    <w:p w:rsidR="00D538BD" w:rsidRPr="00A71B61" w:rsidRDefault="00D538BD" w:rsidP="00D538BD">
      <w:pPr>
        <w:rPr>
          <w:szCs w:val="20"/>
          <w:lang w:eastAsia="x-none"/>
        </w:rPr>
      </w:pPr>
    </w:p>
    <w:tbl>
      <w:tblPr>
        <w:tblStyle w:val="Tabladecuadrcula5oscura-nfasis1"/>
        <w:tblW w:w="0" w:type="auto"/>
        <w:tblLook w:val="0660" w:firstRow="1" w:lastRow="1" w:firstColumn="0" w:lastColumn="0" w:noHBand="1" w:noVBand="1"/>
      </w:tblPr>
      <w:tblGrid>
        <w:gridCol w:w="2001"/>
        <w:gridCol w:w="1545"/>
        <w:gridCol w:w="1559"/>
        <w:gridCol w:w="1574"/>
        <w:gridCol w:w="1248"/>
      </w:tblGrid>
      <w:tr w:rsidR="00A00660" w:rsidRPr="00A71B61" w:rsidTr="00A00660">
        <w:trPr>
          <w:cnfStyle w:val="100000000000" w:firstRow="1" w:lastRow="0" w:firstColumn="0" w:lastColumn="0" w:oddVBand="0" w:evenVBand="0" w:oddHBand="0" w:evenHBand="0" w:firstRowFirstColumn="0" w:firstRowLastColumn="0" w:lastRowFirstColumn="0" w:lastRowLastColumn="0"/>
          <w:trHeight w:val="618"/>
        </w:trPr>
        <w:tc>
          <w:tcPr>
            <w:tcW w:w="0" w:type="auto"/>
          </w:tcPr>
          <w:p w:rsidR="00D538BD" w:rsidRPr="00A71B61" w:rsidRDefault="00D538BD" w:rsidP="004E7EC9">
            <w:pPr>
              <w:rPr>
                <w:rFonts w:eastAsia="Times New Roman" w:cs="Calibri"/>
                <w:b w:val="0"/>
                <w:bCs w:val="0"/>
                <w:szCs w:val="20"/>
                <w:lang w:eastAsia="es-ES"/>
              </w:rPr>
            </w:pPr>
            <w:r w:rsidRPr="00A71B61">
              <w:rPr>
                <w:rFonts w:eastAsia="Times New Roman" w:cs="Calibri"/>
                <w:szCs w:val="20"/>
                <w:lang w:eastAsia="es-ES"/>
              </w:rPr>
              <w:t>Concepto</w:t>
            </w:r>
          </w:p>
        </w:tc>
        <w:tc>
          <w:tcPr>
            <w:tcW w:w="0" w:type="auto"/>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Presupuesto</w:t>
            </w:r>
          </w:p>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inicial</w:t>
            </w:r>
          </w:p>
        </w:tc>
        <w:tc>
          <w:tcPr>
            <w:tcW w:w="0" w:type="auto"/>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Presupuesto final</w:t>
            </w:r>
          </w:p>
        </w:tc>
        <w:tc>
          <w:tcPr>
            <w:tcW w:w="0" w:type="auto"/>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Presupuesto ejecutado</w:t>
            </w:r>
          </w:p>
        </w:tc>
        <w:tc>
          <w:tcPr>
            <w:tcW w:w="0" w:type="auto"/>
          </w:tcPr>
          <w:p w:rsidR="00D538BD" w:rsidRPr="00A71B61" w:rsidRDefault="00D538BD" w:rsidP="004E7EC9">
            <w:pPr>
              <w:jc w:val="center"/>
              <w:rPr>
                <w:rFonts w:eastAsia="Times New Roman" w:cs="Calibri"/>
                <w:b w:val="0"/>
                <w:bCs w:val="0"/>
                <w:szCs w:val="20"/>
                <w:lang w:eastAsia="es-ES"/>
              </w:rPr>
            </w:pPr>
            <w:r w:rsidRPr="00A71B61">
              <w:rPr>
                <w:rFonts w:eastAsia="Times New Roman" w:cs="Calibri"/>
                <w:szCs w:val="20"/>
                <w:lang w:eastAsia="es-ES"/>
              </w:rPr>
              <w:t>% de ejecución</w:t>
            </w:r>
          </w:p>
        </w:tc>
      </w:tr>
      <w:tr w:rsidR="00D538BD" w:rsidRPr="00A71B61" w:rsidTr="00A00660">
        <w:trPr>
          <w:trHeight w:val="618"/>
        </w:trPr>
        <w:tc>
          <w:tcPr>
            <w:tcW w:w="0" w:type="auto"/>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Arrendamientos y cánones</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5.027</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2.193</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2.193</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100%</w:t>
            </w:r>
          </w:p>
        </w:tc>
      </w:tr>
      <w:tr w:rsidR="00D538BD" w:rsidRPr="00A71B61" w:rsidTr="00A00660">
        <w:trPr>
          <w:trHeight w:val="618"/>
        </w:trPr>
        <w:tc>
          <w:tcPr>
            <w:tcW w:w="0" w:type="auto"/>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Reparación, Mantenimiento y conservación</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240.025</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245.525</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245.525</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100%</w:t>
            </w:r>
          </w:p>
        </w:tc>
      </w:tr>
      <w:tr w:rsidR="00D538BD" w:rsidRPr="00A71B61" w:rsidTr="00A00660">
        <w:trPr>
          <w:trHeight w:val="618"/>
        </w:trPr>
        <w:tc>
          <w:tcPr>
            <w:tcW w:w="0" w:type="auto"/>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Suministros y otros gastos</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1.174.201</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1.398.775</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1.331.473</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95,19%</w:t>
            </w:r>
          </w:p>
        </w:tc>
      </w:tr>
      <w:tr w:rsidR="00D538BD" w:rsidRPr="00A71B61" w:rsidTr="00A00660">
        <w:trPr>
          <w:trHeight w:val="618"/>
        </w:trPr>
        <w:tc>
          <w:tcPr>
            <w:tcW w:w="0" w:type="auto"/>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Indemnización por razón del servicio</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2.000</w:t>
            </w:r>
          </w:p>
        </w:tc>
        <w:tc>
          <w:tcPr>
            <w:tcW w:w="0" w:type="auto"/>
          </w:tcPr>
          <w:p w:rsidR="00D538BD" w:rsidRPr="00A71B61" w:rsidRDefault="0011164E" w:rsidP="0011164E">
            <w:pPr>
              <w:jc w:val="right"/>
              <w:rPr>
                <w:rFonts w:eastAsia="Times New Roman" w:cs="Calibri"/>
                <w:color w:val="000000"/>
                <w:szCs w:val="20"/>
                <w:lang w:eastAsia="es-ES"/>
              </w:rPr>
            </w:pPr>
            <w:r w:rsidRPr="00A71B61">
              <w:rPr>
                <w:rFonts w:eastAsia="Times New Roman" w:cs="Calibri"/>
                <w:color w:val="000000"/>
                <w:szCs w:val="20"/>
                <w:lang w:eastAsia="es-ES"/>
              </w:rPr>
              <w:t xml:space="preserve">        </w:t>
            </w:r>
            <w:r w:rsidR="00D538BD" w:rsidRPr="00A71B61">
              <w:rPr>
                <w:rFonts w:eastAsia="Times New Roman" w:cs="Calibri"/>
                <w:color w:val="000000"/>
                <w:szCs w:val="20"/>
                <w:lang w:eastAsia="es-ES"/>
              </w:rPr>
              <w:t>64</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64</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100%</w:t>
            </w:r>
          </w:p>
        </w:tc>
      </w:tr>
      <w:tr w:rsidR="00D538BD" w:rsidRPr="00A71B61" w:rsidTr="00A00660">
        <w:trPr>
          <w:trHeight w:val="618"/>
        </w:trPr>
        <w:tc>
          <w:tcPr>
            <w:tcW w:w="0" w:type="auto"/>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Material sanitario</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18.655.900</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17.425.826</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16.969.506</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97,38%</w:t>
            </w:r>
          </w:p>
        </w:tc>
      </w:tr>
      <w:tr w:rsidR="00D538BD" w:rsidRPr="00A71B61" w:rsidTr="00A00660">
        <w:trPr>
          <w:trHeight w:val="618"/>
        </w:trPr>
        <w:tc>
          <w:tcPr>
            <w:tcW w:w="0" w:type="auto"/>
          </w:tcPr>
          <w:p w:rsidR="00D538BD" w:rsidRPr="00A71B61" w:rsidRDefault="00D538BD" w:rsidP="004E7EC9">
            <w:pPr>
              <w:rPr>
                <w:rFonts w:eastAsia="Times New Roman" w:cs="Calibri"/>
                <w:b/>
                <w:color w:val="000000"/>
                <w:szCs w:val="20"/>
                <w:lang w:eastAsia="es-ES"/>
              </w:rPr>
            </w:pPr>
            <w:r w:rsidRPr="00A71B61">
              <w:rPr>
                <w:rFonts w:eastAsia="Times New Roman" w:cs="Calibri"/>
                <w:b/>
                <w:color w:val="000000"/>
                <w:szCs w:val="20"/>
                <w:lang w:eastAsia="es-ES"/>
              </w:rPr>
              <w:t>Promoción social y cultural</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22.168</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22.143</w:t>
            </w:r>
          </w:p>
        </w:tc>
        <w:tc>
          <w:tcPr>
            <w:tcW w:w="0" w:type="auto"/>
          </w:tcPr>
          <w:p w:rsidR="00D538BD" w:rsidRPr="00A71B61" w:rsidRDefault="0011164E" w:rsidP="004E7EC9">
            <w:pPr>
              <w:jc w:val="center"/>
              <w:rPr>
                <w:rFonts w:eastAsia="Times New Roman" w:cs="Calibri"/>
                <w:color w:val="000000"/>
                <w:szCs w:val="20"/>
                <w:lang w:eastAsia="es-ES"/>
              </w:rPr>
            </w:pPr>
            <w:r w:rsidRPr="00A71B61">
              <w:rPr>
                <w:rFonts w:eastAsia="Times New Roman" w:cs="Calibri"/>
                <w:color w:val="000000"/>
                <w:szCs w:val="20"/>
                <w:lang w:eastAsia="es-ES"/>
              </w:rPr>
              <w:t xml:space="preserve"> </w:t>
            </w:r>
            <w:r w:rsidR="00D538BD" w:rsidRPr="00A71B61">
              <w:rPr>
                <w:rFonts w:eastAsia="Times New Roman" w:cs="Calibri"/>
                <w:color w:val="000000"/>
                <w:szCs w:val="20"/>
                <w:lang w:eastAsia="es-ES"/>
              </w:rPr>
              <w:t xml:space="preserve">    22.143</w:t>
            </w:r>
          </w:p>
        </w:tc>
        <w:tc>
          <w:tcPr>
            <w:tcW w:w="0" w:type="auto"/>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100%</w:t>
            </w:r>
          </w:p>
        </w:tc>
      </w:tr>
      <w:tr w:rsidR="00A00660" w:rsidRPr="00A71B61" w:rsidTr="00A00660">
        <w:trPr>
          <w:cnfStyle w:val="010000000000" w:firstRow="0" w:lastRow="1" w:firstColumn="0" w:lastColumn="0" w:oddVBand="0" w:evenVBand="0" w:oddHBand="0" w:evenHBand="0" w:firstRowFirstColumn="0" w:firstRowLastColumn="0" w:lastRowFirstColumn="0" w:lastRowLastColumn="0"/>
          <w:trHeight w:val="618"/>
        </w:trPr>
        <w:tc>
          <w:tcPr>
            <w:tcW w:w="0" w:type="auto"/>
          </w:tcPr>
          <w:p w:rsidR="00D538BD" w:rsidRPr="00A71B61" w:rsidRDefault="00D538BD" w:rsidP="004E7EC9">
            <w:pPr>
              <w:rPr>
                <w:rFonts w:eastAsia="Times New Roman" w:cs="Calibri"/>
                <w:b w:val="0"/>
                <w:bCs w:val="0"/>
                <w:szCs w:val="20"/>
                <w:lang w:eastAsia="es-ES"/>
              </w:rPr>
            </w:pPr>
            <w:r w:rsidRPr="00A71B61">
              <w:rPr>
                <w:rFonts w:eastAsia="Times New Roman" w:cs="Calibri"/>
                <w:szCs w:val="20"/>
                <w:lang w:eastAsia="es-ES"/>
              </w:rPr>
              <w:t>TOTAL</w:t>
            </w:r>
          </w:p>
        </w:tc>
        <w:tc>
          <w:tcPr>
            <w:tcW w:w="0" w:type="auto"/>
          </w:tcPr>
          <w:p w:rsidR="00D538BD" w:rsidRPr="00A71B61" w:rsidRDefault="00D538BD" w:rsidP="004E7EC9">
            <w:pPr>
              <w:jc w:val="right"/>
              <w:rPr>
                <w:rFonts w:eastAsia="Times New Roman" w:cs="Calibri"/>
                <w:b w:val="0"/>
                <w:bCs w:val="0"/>
                <w:szCs w:val="20"/>
                <w:lang w:eastAsia="es-ES"/>
              </w:rPr>
            </w:pPr>
            <w:r w:rsidRPr="00A71B61">
              <w:rPr>
                <w:rFonts w:eastAsia="Times New Roman" w:cs="Calibri"/>
                <w:szCs w:val="20"/>
                <w:lang w:eastAsia="es-ES"/>
              </w:rPr>
              <w:t>20.099.321</w:t>
            </w:r>
          </w:p>
        </w:tc>
        <w:tc>
          <w:tcPr>
            <w:tcW w:w="0" w:type="auto"/>
          </w:tcPr>
          <w:p w:rsidR="00D538BD" w:rsidRPr="00A71B61" w:rsidRDefault="00D538BD" w:rsidP="004E7EC9">
            <w:pPr>
              <w:jc w:val="right"/>
              <w:rPr>
                <w:rFonts w:eastAsia="Times New Roman" w:cs="Calibri"/>
                <w:b w:val="0"/>
                <w:bCs w:val="0"/>
                <w:szCs w:val="20"/>
                <w:lang w:eastAsia="es-ES"/>
              </w:rPr>
            </w:pPr>
            <w:r w:rsidRPr="00A71B61">
              <w:rPr>
                <w:rFonts w:eastAsia="Times New Roman" w:cs="Calibri"/>
                <w:szCs w:val="20"/>
                <w:lang w:eastAsia="es-ES"/>
              </w:rPr>
              <w:t>19.094.526</w:t>
            </w:r>
          </w:p>
        </w:tc>
        <w:tc>
          <w:tcPr>
            <w:tcW w:w="0" w:type="auto"/>
          </w:tcPr>
          <w:p w:rsidR="00D538BD" w:rsidRPr="00A71B61" w:rsidRDefault="00D538BD" w:rsidP="004E7EC9">
            <w:pPr>
              <w:jc w:val="right"/>
              <w:rPr>
                <w:rFonts w:eastAsia="Times New Roman" w:cs="Calibri"/>
                <w:b w:val="0"/>
                <w:bCs w:val="0"/>
                <w:szCs w:val="20"/>
                <w:lang w:eastAsia="es-ES"/>
              </w:rPr>
            </w:pPr>
            <w:r w:rsidRPr="00A71B61">
              <w:rPr>
                <w:rFonts w:eastAsia="Times New Roman" w:cs="Calibri"/>
                <w:szCs w:val="20"/>
                <w:lang w:eastAsia="es-ES"/>
              </w:rPr>
              <w:t>18.570.904</w:t>
            </w:r>
          </w:p>
        </w:tc>
        <w:tc>
          <w:tcPr>
            <w:tcW w:w="0" w:type="auto"/>
          </w:tcPr>
          <w:p w:rsidR="00D538BD" w:rsidRPr="00A71B61" w:rsidRDefault="00D538BD" w:rsidP="004E7EC9">
            <w:pPr>
              <w:jc w:val="right"/>
              <w:rPr>
                <w:rFonts w:eastAsia="Times New Roman" w:cs="Calibri"/>
                <w:b w:val="0"/>
                <w:bCs w:val="0"/>
                <w:szCs w:val="20"/>
                <w:lang w:eastAsia="es-ES"/>
              </w:rPr>
            </w:pPr>
            <w:r w:rsidRPr="00A71B61">
              <w:rPr>
                <w:rFonts w:eastAsia="Times New Roman" w:cs="Calibri"/>
                <w:szCs w:val="20"/>
                <w:lang w:eastAsia="es-ES"/>
              </w:rPr>
              <w:t>97,26%</w:t>
            </w:r>
          </w:p>
        </w:tc>
      </w:tr>
    </w:tbl>
    <w:p w:rsidR="00D538BD" w:rsidRPr="00A71B61" w:rsidRDefault="00D538BD" w:rsidP="00D538BD">
      <w:pPr>
        <w:rPr>
          <w:rFonts w:cs="Calibri"/>
          <w:color w:val="000000"/>
          <w:szCs w:val="20"/>
        </w:rPr>
      </w:pPr>
    </w:p>
    <w:p w:rsidR="00D538BD" w:rsidRPr="00A71B61" w:rsidRDefault="00D538BD" w:rsidP="00D538BD">
      <w:pPr>
        <w:rPr>
          <w:rFonts w:cs="Calibri"/>
          <w:color w:val="000000"/>
          <w:szCs w:val="20"/>
        </w:rPr>
      </w:pPr>
    </w:p>
    <w:p w:rsidR="00D538BD" w:rsidRPr="00A71B61" w:rsidRDefault="00D538BD" w:rsidP="00D538BD">
      <w:pPr>
        <w:rPr>
          <w:rFonts w:cs="Calibri"/>
          <w:color w:val="000000"/>
          <w:szCs w:val="20"/>
        </w:rPr>
      </w:pPr>
    </w:p>
    <w:p w:rsidR="00D538BD" w:rsidRPr="00AB3AB9" w:rsidRDefault="00D538BD" w:rsidP="00AB3AB9">
      <w:pPr>
        <w:pStyle w:val="Ttulo2"/>
      </w:pPr>
      <w:bookmarkStart w:id="10" w:name="_Toc90584856"/>
      <w:r w:rsidRPr="00AB3AB9">
        <w:lastRenderedPageBreak/>
        <w:t>Inversiones</w:t>
      </w:r>
      <w:bookmarkEnd w:id="10"/>
    </w:p>
    <w:tbl>
      <w:tblPr>
        <w:tblStyle w:val="Tabladecuadrcula5oscura-nfasis1"/>
        <w:tblW w:w="0" w:type="auto"/>
        <w:tblLook w:val="0660" w:firstRow="1" w:lastRow="1" w:firstColumn="0" w:lastColumn="0" w:noHBand="1" w:noVBand="1"/>
      </w:tblPr>
      <w:tblGrid>
        <w:gridCol w:w="1686"/>
        <w:gridCol w:w="1665"/>
        <w:gridCol w:w="1545"/>
        <w:gridCol w:w="1629"/>
        <w:gridCol w:w="1402"/>
      </w:tblGrid>
      <w:tr w:rsidR="00A00660" w:rsidRPr="00A71B61" w:rsidTr="00A00660">
        <w:trPr>
          <w:cnfStyle w:val="100000000000" w:firstRow="1" w:lastRow="0" w:firstColumn="0" w:lastColumn="0" w:oddVBand="0" w:evenVBand="0" w:oddHBand="0" w:evenHBand="0" w:firstRowFirstColumn="0" w:firstRowLastColumn="0" w:lastRowFirstColumn="0" w:lastRowLastColumn="0"/>
          <w:trHeight w:val="624"/>
        </w:trPr>
        <w:tc>
          <w:tcPr>
            <w:tcW w:w="2386" w:type="dxa"/>
          </w:tcPr>
          <w:p w:rsidR="00D538BD" w:rsidRPr="00A71B61" w:rsidRDefault="00D538BD" w:rsidP="004E7EC9">
            <w:pPr>
              <w:rPr>
                <w:rFonts w:eastAsia="Times New Roman" w:cs="Calibri"/>
                <w:bCs w:val="0"/>
                <w:szCs w:val="20"/>
                <w:lang w:eastAsia="es-ES"/>
              </w:rPr>
            </w:pPr>
            <w:r w:rsidRPr="00A71B61">
              <w:rPr>
                <w:rFonts w:eastAsia="Times New Roman" w:cs="Calibri"/>
                <w:szCs w:val="20"/>
                <w:lang w:eastAsia="es-ES"/>
              </w:rPr>
              <w:t>Concepto</w:t>
            </w:r>
          </w:p>
        </w:tc>
        <w:tc>
          <w:tcPr>
            <w:tcW w:w="1861" w:type="dxa"/>
          </w:tcPr>
          <w:p w:rsidR="00D538BD" w:rsidRPr="00A71B61" w:rsidRDefault="00D538BD" w:rsidP="004E7EC9">
            <w:pPr>
              <w:jc w:val="center"/>
              <w:rPr>
                <w:rFonts w:eastAsia="Times New Roman" w:cs="Calibri"/>
                <w:bCs w:val="0"/>
                <w:szCs w:val="20"/>
                <w:lang w:eastAsia="es-ES"/>
              </w:rPr>
            </w:pPr>
            <w:r w:rsidRPr="00A71B61">
              <w:rPr>
                <w:rFonts w:eastAsia="Times New Roman" w:cs="Calibri"/>
                <w:szCs w:val="20"/>
                <w:lang w:eastAsia="es-ES"/>
              </w:rPr>
              <w:t>Presupuesto</w:t>
            </w:r>
          </w:p>
          <w:p w:rsidR="00D538BD" w:rsidRPr="00A71B61" w:rsidRDefault="00D538BD" w:rsidP="004E7EC9">
            <w:pPr>
              <w:jc w:val="center"/>
              <w:rPr>
                <w:rFonts w:eastAsia="Times New Roman" w:cs="Calibri"/>
                <w:bCs w:val="0"/>
                <w:szCs w:val="20"/>
                <w:lang w:eastAsia="es-ES"/>
              </w:rPr>
            </w:pPr>
            <w:r w:rsidRPr="00A71B61">
              <w:rPr>
                <w:rFonts w:eastAsia="Times New Roman" w:cs="Calibri"/>
                <w:szCs w:val="20"/>
                <w:lang w:eastAsia="es-ES"/>
              </w:rPr>
              <w:t>inicial</w:t>
            </w:r>
          </w:p>
        </w:tc>
        <w:tc>
          <w:tcPr>
            <w:tcW w:w="1316" w:type="dxa"/>
          </w:tcPr>
          <w:p w:rsidR="00D538BD" w:rsidRPr="00A71B61" w:rsidRDefault="00D538BD" w:rsidP="004E7EC9">
            <w:pPr>
              <w:jc w:val="center"/>
              <w:rPr>
                <w:rFonts w:eastAsia="Times New Roman" w:cs="Calibri"/>
                <w:bCs w:val="0"/>
                <w:szCs w:val="20"/>
                <w:lang w:eastAsia="es-ES"/>
              </w:rPr>
            </w:pPr>
            <w:r w:rsidRPr="00A71B61">
              <w:rPr>
                <w:rFonts w:eastAsia="Times New Roman" w:cs="Calibri"/>
                <w:szCs w:val="20"/>
                <w:lang w:eastAsia="es-ES"/>
              </w:rPr>
              <w:t>Presupuesto Final</w:t>
            </w:r>
          </w:p>
        </w:tc>
        <w:tc>
          <w:tcPr>
            <w:tcW w:w="1765" w:type="dxa"/>
          </w:tcPr>
          <w:p w:rsidR="00D538BD" w:rsidRPr="00A71B61" w:rsidRDefault="00D538BD" w:rsidP="004E7EC9">
            <w:pPr>
              <w:jc w:val="center"/>
              <w:rPr>
                <w:rFonts w:eastAsia="Times New Roman" w:cs="Calibri"/>
                <w:bCs w:val="0"/>
                <w:szCs w:val="20"/>
                <w:lang w:eastAsia="es-ES"/>
              </w:rPr>
            </w:pPr>
            <w:r w:rsidRPr="00A71B61">
              <w:rPr>
                <w:rFonts w:eastAsia="Times New Roman" w:cs="Calibri"/>
                <w:szCs w:val="20"/>
                <w:lang w:eastAsia="es-ES"/>
              </w:rPr>
              <w:t>Presupuesto ejecutado</w:t>
            </w:r>
          </w:p>
        </w:tc>
        <w:tc>
          <w:tcPr>
            <w:tcW w:w="1677" w:type="dxa"/>
          </w:tcPr>
          <w:p w:rsidR="00D538BD" w:rsidRPr="00A71B61" w:rsidRDefault="00D538BD" w:rsidP="004E7EC9">
            <w:pPr>
              <w:jc w:val="center"/>
              <w:rPr>
                <w:rFonts w:eastAsia="Times New Roman" w:cs="Calibri"/>
                <w:bCs w:val="0"/>
                <w:szCs w:val="20"/>
                <w:lang w:eastAsia="es-ES"/>
              </w:rPr>
            </w:pPr>
            <w:r w:rsidRPr="00A71B61">
              <w:rPr>
                <w:rFonts w:eastAsia="Times New Roman" w:cs="Calibri"/>
                <w:szCs w:val="20"/>
                <w:lang w:eastAsia="es-ES"/>
              </w:rPr>
              <w:t>% de ejecución</w:t>
            </w:r>
          </w:p>
        </w:tc>
      </w:tr>
      <w:tr w:rsidR="00D538BD" w:rsidRPr="00A71B61" w:rsidTr="00A00660">
        <w:trPr>
          <w:trHeight w:val="624"/>
        </w:trPr>
        <w:tc>
          <w:tcPr>
            <w:tcW w:w="2386" w:type="dxa"/>
          </w:tcPr>
          <w:p w:rsidR="00D538BD" w:rsidRPr="00A71B61" w:rsidRDefault="00D538BD" w:rsidP="004E7EC9">
            <w:pPr>
              <w:rPr>
                <w:rFonts w:eastAsia="Times New Roman" w:cs="Calibri"/>
                <w:b/>
                <w:color w:val="000000"/>
                <w:szCs w:val="20"/>
                <w:lang w:eastAsia="es-ES"/>
              </w:rPr>
            </w:pPr>
            <w:r w:rsidRPr="00A71B61">
              <w:rPr>
                <w:rFonts w:eastAsia="Times New Roman" w:cs="Calibri"/>
                <w:color w:val="000000"/>
                <w:szCs w:val="20"/>
                <w:lang w:eastAsia="es-ES"/>
              </w:rPr>
              <w:t xml:space="preserve">Inversión nueva </w:t>
            </w:r>
          </w:p>
        </w:tc>
        <w:tc>
          <w:tcPr>
            <w:tcW w:w="1861"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0</w:t>
            </w:r>
          </w:p>
        </w:tc>
        <w:tc>
          <w:tcPr>
            <w:tcW w:w="1316"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240.251</w:t>
            </w:r>
          </w:p>
        </w:tc>
        <w:tc>
          <w:tcPr>
            <w:tcW w:w="1765"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240.081</w:t>
            </w:r>
          </w:p>
        </w:tc>
        <w:tc>
          <w:tcPr>
            <w:tcW w:w="167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99,93%</w:t>
            </w:r>
          </w:p>
        </w:tc>
      </w:tr>
      <w:tr w:rsidR="00D538BD" w:rsidRPr="00A71B61" w:rsidTr="00A00660">
        <w:trPr>
          <w:trHeight w:val="624"/>
        </w:trPr>
        <w:tc>
          <w:tcPr>
            <w:tcW w:w="2386" w:type="dxa"/>
          </w:tcPr>
          <w:p w:rsidR="00D538BD" w:rsidRPr="00A71B61" w:rsidRDefault="00D538BD" w:rsidP="004E7EC9">
            <w:pPr>
              <w:rPr>
                <w:rFonts w:eastAsia="Times New Roman" w:cs="Calibri"/>
                <w:b/>
                <w:color w:val="000000"/>
                <w:szCs w:val="20"/>
                <w:lang w:eastAsia="es-ES"/>
              </w:rPr>
            </w:pPr>
            <w:r w:rsidRPr="00A71B61">
              <w:rPr>
                <w:rFonts w:eastAsia="Times New Roman" w:cs="Calibri"/>
                <w:color w:val="000000"/>
                <w:szCs w:val="20"/>
                <w:lang w:eastAsia="es-ES"/>
              </w:rPr>
              <w:t>Inversión de reposición</w:t>
            </w:r>
          </w:p>
        </w:tc>
        <w:tc>
          <w:tcPr>
            <w:tcW w:w="1861"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0</w:t>
            </w:r>
          </w:p>
        </w:tc>
        <w:tc>
          <w:tcPr>
            <w:tcW w:w="1316"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21.418</w:t>
            </w:r>
          </w:p>
        </w:tc>
        <w:tc>
          <w:tcPr>
            <w:tcW w:w="1765"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21.418</w:t>
            </w:r>
          </w:p>
        </w:tc>
        <w:tc>
          <w:tcPr>
            <w:tcW w:w="1677" w:type="dxa"/>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100%</w:t>
            </w:r>
          </w:p>
        </w:tc>
      </w:tr>
      <w:tr w:rsidR="00A00660" w:rsidRPr="00A71B61" w:rsidTr="00A00660">
        <w:trPr>
          <w:cnfStyle w:val="010000000000" w:firstRow="0" w:lastRow="1" w:firstColumn="0" w:lastColumn="0" w:oddVBand="0" w:evenVBand="0" w:oddHBand="0" w:evenHBand="0" w:firstRowFirstColumn="0" w:firstRowLastColumn="0" w:lastRowFirstColumn="0" w:lastRowLastColumn="0"/>
          <w:trHeight w:val="624"/>
        </w:trPr>
        <w:tc>
          <w:tcPr>
            <w:tcW w:w="2386" w:type="dxa"/>
          </w:tcPr>
          <w:p w:rsidR="00D538BD" w:rsidRPr="00A71B61" w:rsidRDefault="00D538BD" w:rsidP="004E7EC9">
            <w:pPr>
              <w:rPr>
                <w:rFonts w:eastAsia="Times New Roman" w:cs="Calibri"/>
                <w:szCs w:val="20"/>
                <w:lang w:eastAsia="es-ES"/>
              </w:rPr>
            </w:pPr>
            <w:r w:rsidRPr="00A71B61">
              <w:rPr>
                <w:rFonts w:eastAsia="Times New Roman" w:cs="Calibri"/>
                <w:szCs w:val="20"/>
                <w:lang w:eastAsia="es-ES"/>
              </w:rPr>
              <w:t>TOTAL</w:t>
            </w:r>
          </w:p>
        </w:tc>
        <w:tc>
          <w:tcPr>
            <w:tcW w:w="1861" w:type="dxa"/>
          </w:tcPr>
          <w:p w:rsidR="00D538BD" w:rsidRPr="00A71B61" w:rsidRDefault="00D538BD" w:rsidP="004E7EC9">
            <w:pPr>
              <w:jc w:val="right"/>
              <w:rPr>
                <w:rFonts w:eastAsia="Times New Roman" w:cs="Calibri"/>
                <w:szCs w:val="20"/>
                <w:lang w:eastAsia="es-ES"/>
              </w:rPr>
            </w:pPr>
            <w:r w:rsidRPr="00A71B61">
              <w:rPr>
                <w:rFonts w:eastAsia="Times New Roman" w:cs="Calibri"/>
                <w:szCs w:val="20"/>
                <w:lang w:eastAsia="es-ES"/>
              </w:rPr>
              <w:t>0</w:t>
            </w:r>
          </w:p>
        </w:tc>
        <w:tc>
          <w:tcPr>
            <w:tcW w:w="1316" w:type="dxa"/>
          </w:tcPr>
          <w:p w:rsidR="00D538BD" w:rsidRPr="00A71B61" w:rsidRDefault="00D538BD" w:rsidP="004E7EC9">
            <w:pPr>
              <w:jc w:val="right"/>
              <w:rPr>
                <w:rFonts w:eastAsia="Times New Roman" w:cs="Calibri"/>
                <w:szCs w:val="20"/>
                <w:lang w:eastAsia="es-ES"/>
              </w:rPr>
            </w:pPr>
            <w:r w:rsidRPr="00A71B61">
              <w:rPr>
                <w:rFonts w:eastAsia="Times New Roman" w:cs="Calibri"/>
                <w:szCs w:val="20"/>
                <w:lang w:eastAsia="es-ES"/>
              </w:rPr>
              <w:t>261.669</w:t>
            </w:r>
          </w:p>
        </w:tc>
        <w:tc>
          <w:tcPr>
            <w:tcW w:w="1765" w:type="dxa"/>
          </w:tcPr>
          <w:p w:rsidR="00D538BD" w:rsidRPr="00A71B61" w:rsidRDefault="00D538BD" w:rsidP="004E7EC9">
            <w:pPr>
              <w:jc w:val="right"/>
              <w:rPr>
                <w:rFonts w:eastAsia="Times New Roman" w:cs="Calibri"/>
                <w:szCs w:val="20"/>
                <w:lang w:eastAsia="es-ES"/>
              </w:rPr>
            </w:pPr>
            <w:r w:rsidRPr="00A71B61">
              <w:rPr>
                <w:rFonts w:eastAsia="Times New Roman" w:cs="Calibri"/>
                <w:szCs w:val="20"/>
                <w:lang w:eastAsia="es-ES"/>
              </w:rPr>
              <w:t>261.499</w:t>
            </w:r>
          </w:p>
        </w:tc>
        <w:tc>
          <w:tcPr>
            <w:tcW w:w="1677" w:type="dxa"/>
          </w:tcPr>
          <w:p w:rsidR="00D538BD" w:rsidRPr="00A71B61" w:rsidRDefault="00D538BD" w:rsidP="004E7EC9">
            <w:pPr>
              <w:jc w:val="right"/>
              <w:rPr>
                <w:rFonts w:eastAsia="Times New Roman" w:cs="Calibri"/>
                <w:szCs w:val="20"/>
                <w:lang w:eastAsia="es-ES"/>
              </w:rPr>
            </w:pPr>
            <w:r w:rsidRPr="00A71B61">
              <w:rPr>
                <w:rFonts w:eastAsia="Times New Roman" w:cs="Calibri"/>
                <w:szCs w:val="20"/>
                <w:lang w:eastAsia="es-ES"/>
              </w:rPr>
              <w:t>99,94%</w:t>
            </w:r>
          </w:p>
        </w:tc>
      </w:tr>
    </w:tbl>
    <w:p w:rsidR="00D538BD" w:rsidRPr="00A71B61" w:rsidRDefault="00D538BD" w:rsidP="00D538BD">
      <w:pPr>
        <w:rPr>
          <w:rFonts w:cs="Calibri"/>
          <w:color w:val="000000"/>
          <w:szCs w:val="20"/>
        </w:rPr>
      </w:pPr>
    </w:p>
    <w:p w:rsidR="00D538BD" w:rsidRPr="00AB3AB9" w:rsidRDefault="00D538BD" w:rsidP="00AB3AB9">
      <w:pPr>
        <w:pStyle w:val="Ttulo2"/>
      </w:pPr>
      <w:bookmarkStart w:id="11" w:name="_Toc90584857"/>
      <w:r w:rsidRPr="00AB3AB9">
        <w:t>Ingresos</w:t>
      </w:r>
      <w:bookmarkEnd w:id="11"/>
    </w:p>
    <w:p w:rsidR="00D538BD" w:rsidRPr="00A71B61" w:rsidRDefault="00D538BD" w:rsidP="00D538BD">
      <w:pPr>
        <w:spacing w:after="0"/>
        <w:rPr>
          <w:rFonts w:cs="Calibri"/>
          <w:color w:val="000000"/>
          <w:szCs w:val="20"/>
        </w:rPr>
      </w:pPr>
    </w:p>
    <w:tbl>
      <w:tblPr>
        <w:tblStyle w:val="Tabladecuadrcula5oscura-nfasis1"/>
        <w:tblW w:w="5000" w:type="pct"/>
        <w:tblLook w:val="0620" w:firstRow="1" w:lastRow="0" w:firstColumn="0" w:lastColumn="0" w:noHBand="1" w:noVBand="1"/>
      </w:tblPr>
      <w:tblGrid>
        <w:gridCol w:w="2641"/>
        <w:gridCol w:w="2643"/>
        <w:gridCol w:w="2643"/>
      </w:tblGrid>
      <w:tr w:rsidR="00A00660" w:rsidRPr="00A71B61" w:rsidTr="00A00660">
        <w:trPr>
          <w:cnfStyle w:val="100000000000" w:firstRow="1" w:lastRow="0" w:firstColumn="0" w:lastColumn="0" w:oddVBand="0" w:evenVBand="0" w:oddHBand="0" w:evenHBand="0" w:firstRowFirstColumn="0" w:firstRowLastColumn="0" w:lastRowFirstColumn="0" w:lastRowLastColumn="0"/>
          <w:trHeight w:val="547"/>
        </w:trPr>
        <w:tc>
          <w:tcPr>
            <w:tcW w:w="1666" w:type="pct"/>
          </w:tcPr>
          <w:p w:rsidR="00D538BD" w:rsidRPr="00A71B61" w:rsidRDefault="00D538BD" w:rsidP="004E7EC9">
            <w:pPr>
              <w:rPr>
                <w:rFonts w:eastAsia="Times New Roman" w:cs="Calibri"/>
                <w:b w:val="0"/>
                <w:bCs w:val="0"/>
                <w:szCs w:val="20"/>
                <w:lang w:eastAsia="es-ES"/>
              </w:rPr>
            </w:pPr>
            <w:r w:rsidRPr="00A71B61">
              <w:rPr>
                <w:rFonts w:eastAsia="Times New Roman" w:cs="Calibri"/>
                <w:szCs w:val="20"/>
                <w:lang w:eastAsia="es-ES"/>
              </w:rPr>
              <w:t>Volumen Facturado</w:t>
            </w:r>
          </w:p>
        </w:tc>
        <w:tc>
          <w:tcPr>
            <w:tcW w:w="1667" w:type="pct"/>
          </w:tcPr>
          <w:p w:rsidR="00D538BD" w:rsidRPr="00A71B61" w:rsidRDefault="00D538BD" w:rsidP="004E7EC9">
            <w:pPr>
              <w:rPr>
                <w:rFonts w:eastAsia="Times New Roman" w:cs="Calibri"/>
                <w:b w:val="0"/>
                <w:bCs w:val="0"/>
                <w:szCs w:val="20"/>
                <w:lang w:eastAsia="es-ES"/>
              </w:rPr>
            </w:pPr>
            <w:r w:rsidRPr="00A71B61">
              <w:rPr>
                <w:rFonts w:eastAsia="Times New Roman" w:cs="Calibri"/>
                <w:szCs w:val="20"/>
                <w:lang w:eastAsia="es-ES"/>
              </w:rPr>
              <w:t>Volumen valorado</w:t>
            </w:r>
          </w:p>
        </w:tc>
        <w:tc>
          <w:tcPr>
            <w:tcW w:w="1667" w:type="pct"/>
          </w:tcPr>
          <w:p w:rsidR="00D538BD" w:rsidRPr="00A71B61" w:rsidRDefault="00D538BD" w:rsidP="004E7EC9">
            <w:pPr>
              <w:rPr>
                <w:rFonts w:eastAsia="Times New Roman" w:cs="Calibri"/>
                <w:b w:val="0"/>
                <w:bCs w:val="0"/>
                <w:szCs w:val="20"/>
                <w:lang w:eastAsia="es-ES"/>
              </w:rPr>
            </w:pPr>
            <w:r w:rsidRPr="00A71B61">
              <w:rPr>
                <w:rFonts w:eastAsia="Times New Roman" w:cs="Calibri"/>
                <w:szCs w:val="20"/>
                <w:lang w:eastAsia="es-ES"/>
              </w:rPr>
              <w:t>Ingresado en el periodo</w:t>
            </w:r>
          </w:p>
        </w:tc>
      </w:tr>
      <w:tr w:rsidR="00D538BD" w:rsidRPr="00A71B61" w:rsidTr="00A00660">
        <w:trPr>
          <w:trHeight w:val="547"/>
        </w:trPr>
        <w:tc>
          <w:tcPr>
            <w:tcW w:w="1666" w:type="pct"/>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10.707.956</w:t>
            </w:r>
          </w:p>
        </w:tc>
        <w:tc>
          <w:tcPr>
            <w:tcW w:w="1667" w:type="pct"/>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34.737.424</w:t>
            </w:r>
          </w:p>
        </w:tc>
        <w:tc>
          <w:tcPr>
            <w:tcW w:w="1667" w:type="pct"/>
          </w:tcPr>
          <w:p w:rsidR="00D538BD" w:rsidRPr="00A71B61" w:rsidRDefault="00D538BD" w:rsidP="004E7EC9">
            <w:pPr>
              <w:jc w:val="right"/>
              <w:rPr>
                <w:rFonts w:eastAsia="Times New Roman" w:cs="Calibri"/>
                <w:color w:val="000000"/>
                <w:szCs w:val="20"/>
                <w:lang w:eastAsia="es-ES"/>
              </w:rPr>
            </w:pPr>
            <w:r w:rsidRPr="00A71B61">
              <w:rPr>
                <w:rFonts w:eastAsia="Times New Roman" w:cs="Calibri"/>
                <w:color w:val="000000"/>
                <w:szCs w:val="20"/>
                <w:lang w:eastAsia="es-ES"/>
              </w:rPr>
              <w:t>10.399.103</w:t>
            </w:r>
          </w:p>
        </w:tc>
      </w:tr>
    </w:tbl>
    <w:p w:rsidR="00D538BD" w:rsidRPr="00A71B61" w:rsidRDefault="00D538BD" w:rsidP="00D538BD">
      <w:pPr>
        <w:rPr>
          <w:rFonts w:cs="Calibri"/>
          <w:color w:val="000000"/>
          <w:szCs w:val="20"/>
        </w:rPr>
      </w:pPr>
    </w:p>
    <w:p w:rsidR="00D538BD" w:rsidRPr="00A71B61" w:rsidRDefault="00D538BD" w:rsidP="00D538BD">
      <w:pPr>
        <w:rPr>
          <w:szCs w:val="20"/>
        </w:rPr>
      </w:pPr>
    </w:p>
    <w:bookmarkEnd w:id="5"/>
    <w:p w:rsidR="00D538BD" w:rsidRPr="00A71B61" w:rsidRDefault="00D538BD" w:rsidP="00D538BD">
      <w:pPr>
        <w:rPr>
          <w:color w:val="FF0000"/>
          <w:szCs w:val="20"/>
        </w:rPr>
      </w:pPr>
      <w:r w:rsidRPr="00A71B61">
        <w:rPr>
          <w:color w:val="FF0000"/>
          <w:szCs w:val="20"/>
        </w:rPr>
        <w:br w:type="page"/>
      </w:r>
    </w:p>
    <w:p w:rsidR="00D538BD" w:rsidRPr="00AB3AB9" w:rsidRDefault="00D538BD" w:rsidP="00AB3AB9">
      <w:pPr>
        <w:pStyle w:val="Ttulo1"/>
      </w:pPr>
      <w:bookmarkStart w:id="12" w:name="_Toc56606558"/>
      <w:bookmarkStart w:id="13" w:name="_Toc90584858"/>
      <w:r w:rsidRPr="00AB3AB9">
        <w:lastRenderedPageBreak/>
        <w:t>Oficina de Atención al Donante</w:t>
      </w:r>
      <w:bookmarkEnd w:id="12"/>
      <w:bookmarkEnd w:id="13"/>
    </w:p>
    <w:p w:rsidR="00D538BD" w:rsidRPr="00AB3AB9" w:rsidRDefault="00D538BD" w:rsidP="00AB3AB9">
      <w:pPr>
        <w:pStyle w:val="Ttulo2"/>
      </w:pPr>
      <w:bookmarkStart w:id="14" w:name="_Toc56606559"/>
      <w:bookmarkStart w:id="15" w:name="_Toc90584859"/>
      <w:r w:rsidRPr="00AB3AB9">
        <w:t>Consultas, Sugerencias, reclamaciones y agradecimientos</w:t>
      </w:r>
      <w:bookmarkEnd w:id="14"/>
      <w:bookmarkEnd w:id="15"/>
    </w:p>
    <w:p w:rsidR="00D538BD" w:rsidRPr="00A71B61" w:rsidRDefault="00D538BD" w:rsidP="0011164E">
      <w:pPr>
        <w:spacing w:before="120" w:after="240"/>
        <w:rPr>
          <w:b/>
          <w:szCs w:val="20"/>
        </w:rPr>
      </w:pPr>
      <w:r w:rsidRPr="00A71B61">
        <w:rPr>
          <w:szCs w:val="20"/>
        </w:rPr>
        <w:t xml:space="preserve">Durante el </w:t>
      </w:r>
      <w:r w:rsidRPr="00A71B61">
        <w:rPr>
          <w:b/>
          <w:szCs w:val="20"/>
        </w:rPr>
        <w:t>año 2020</w:t>
      </w:r>
      <w:r w:rsidRPr="00A71B61">
        <w:rPr>
          <w:szCs w:val="20"/>
        </w:rPr>
        <w:t xml:space="preserve">, se han gestionado desde la Oficina de Atencion al Donante </w:t>
      </w:r>
      <w:r w:rsidRPr="00A71B61">
        <w:rPr>
          <w:b/>
          <w:szCs w:val="20"/>
        </w:rPr>
        <w:t xml:space="preserve">1828 correos electrónicos, </w:t>
      </w:r>
      <w:r w:rsidRPr="00A71B61">
        <w:rPr>
          <w:szCs w:val="20"/>
        </w:rPr>
        <w:t>la clasificación de los mismos atendiendo a su temática es la siguiente:</w:t>
      </w:r>
    </w:p>
    <w:p w:rsidR="00D538BD" w:rsidRPr="00A71B61" w:rsidRDefault="00D538BD" w:rsidP="00846064">
      <w:pPr>
        <w:numPr>
          <w:ilvl w:val="0"/>
          <w:numId w:val="1"/>
        </w:numPr>
        <w:spacing w:before="120" w:after="240" w:line="276" w:lineRule="auto"/>
        <w:ind w:left="284" w:hanging="284"/>
        <w:rPr>
          <w:szCs w:val="20"/>
        </w:rPr>
      </w:pPr>
      <w:r w:rsidRPr="00A71B61">
        <w:rPr>
          <w:b/>
          <w:szCs w:val="20"/>
        </w:rPr>
        <w:t>Solicitud de información sobre donación de sangre:</w:t>
      </w:r>
      <w:r w:rsidRPr="00A71B61">
        <w:rPr>
          <w:szCs w:val="20"/>
        </w:rPr>
        <w:t xml:space="preserve"> puntos de colecta, requisitos para donar, centros de donación y horarios: </w:t>
      </w:r>
      <w:r w:rsidRPr="00A71B61">
        <w:rPr>
          <w:b/>
          <w:szCs w:val="20"/>
        </w:rPr>
        <w:t>536</w:t>
      </w:r>
    </w:p>
    <w:p w:rsidR="00D538BD" w:rsidRPr="00A71B61" w:rsidRDefault="00D538BD" w:rsidP="00846064">
      <w:pPr>
        <w:numPr>
          <w:ilvl w:val="0"/>
          <w:numId w:val="1"/>
        </w:numPr>
        <w:spacing w:before="120" w:after="240" w:line="276" w:lineRule="auto"/>
        <w:ind w:left="284" w:hanging="284"/>
        <w:rPr>
          <w:b/>
          <w:szCs w:val="20"/>
        </w:rPr>
      </w:pPr>
      <w:r w:rsidRPr="00A71B61">
        <w:rPr>
          <w:b/>
          <w:szCs w:val="20"/>
        </w:rPr>
        <w:t>Solicitud de información sobre documentación</w:t>
      </w:r>
      <w:r w:rsidRPr="00A71B61">
        <w:rPr>
          <w:szCs w:val="20"/>
        </w:rPr>
        <w:t xml:space="preserve">: solicitud de carnés, analíticas y actualización de datos: </w:t>
      </w:r>
      <w:r w:rsidRPr="00A71B61">
        <w:rPr>
          <w:b/>
          <w:szCs w:val="20"/>
        </w:rPr>
        <w:t>851</w:t>
      </w:r>
    </w:p>
    <w:p w:rsidR="00D538BD" w:rsidRPr="00A71B61" w:rsidRDefault="00D538BD" w:rsidP="00846064">
      <w:pPr>
        <w:numPr>
          <w:ilvl w:val="0"/>
          <w:numId w:val="1"/>
        </w:numPr>
        <w:spacing w:before="120" w:after="240" w:line="276" w:lineRule="auto"/>
        <w:ind w:left="284" w:hanging="284"/>
        <w:rPr>
          <w:szCs w:val="20"/>
        </w:rPr>
      </w:pPr>
      <w:r w:rsidRPr="00A71B61">
        <w:rPr>
          <w:b/>
          <w:szCs w:val="20"/>
        </w:rPr>
        <w:t>Solicitud de información sobre donación de sangre de cordón umbilical (SCU) y Medula Ósea:</w:t>
      </w:r>
      <w:r w:rsidRPr="00A71B61">
        <w:rPr>
          <w:szCs w:val="20"/>
        </w:rPr>
        <w:t xml:space="preserve"> procedimientos, centros autorizados e información general: 17</w:t>
      </w:r>
    </w:p>
    <w:p w:rsidR="00D538BD" w:rsidRPr="00A71B61" w:rsidRDefault="00D538BD" w:rsidP="00846064">
      <w:pPr>
        <w:numPr>
          <w:ilvl w:val="0"/>
          <w:numId w:val="1"/>
        </w:numPr>
        <w:spacing w:before="120" w:after="240" w:line="276" w:lineRule="auto"/>
        <w:ind w:left="284" w:hanging="284"/>
        <w:rPr>
          <w:szCs w:val="20"/>
        </w:rPr>
      </w:pPr>
      <w:r w:rsidRPr="00A71B61">
        <w:rPr>
          <w:b/>
          <w:szCs w:val="20"/>
        </w:rPr>
        <w:t xml:space="preserve">Sugerencias, reclamaciones y agradecimientos, </w:t>
      </w:r>
      <w:r w:rsidRPr="00A71B61">
        <w:rPr>
          <w:szCs w:val="20"/>
        </w:rPr>
        <w:t>recibidas a través de correo electrónico</w:t>
      </w:r>
      <w:r w:rsidRPr="00A71B61">
        <w:rPr>
          <w:b/>
          <w:szCs w:val="20"/>
        </w:rPr>
        <w:t>:</w:t>
      </w:r>
      <w:r w:rsidRPr="00A71B61">
        <w:rPr>
          <w:szCs w:val="20"/>
        </w:rPr>
        <w:t xml:space="preserve"> 33</w:t>
      </w:r>
    </w:p>
    <w:p w:rsidR="00D538BD" w:rsidRPr="00A71B61" w:rsidRDefault="00D538BD" w:rsidP="00846064">
      <w:pPr>
        <w:numPr>
          <w:ilvl w:val="0"/>
          <w:numId w:val="1"/>
        </w:numPr>
        <w:spacing w:before="120" w:after="240" w:line="276" w:lineRule="auto"/>
        <w:ind w:left="284" w:hanging="284"/>
        <w:rPr>
          <w:b/>
          <w:szCs w:val="20"/>
        </w:rPr>
      </w:pPr>
      <w:r w:rsidRPr="00A71B61">
        <w:rPr>
          <w:b/>
          <w:szCs w:val="20"/>
        </w:rPr>
        <w:t>Solicitud de baja de convocatorias por correo postal y SMS</w:t>
      </w:r>
      <w:r w:rsidRPr="00A71B61">
        <w:rPr>
          <w:szCs w:val="20"/>
        </w:rPr>
        <w:t>: 301, de las cuales 138 han sido derivadas por parte de Cruz Roja.</w:t>
      </w:r>
    </w:p>
    <w:p w:rsidR="00D538BD" w:rsidRPr="00A71B61" w:rsidRDefault="00D538BD" w:rsidP="00846064">
      <w:pPr>
        <w:numPr>
          <w:ilvl w:val="0"/>
          <w:numId w:val="1"/>
        </w:numPr>
        <w:spacing w:before="120" w:after="240" w:line="276" w:lineRule="auto"/>
        <w:ind w:left="284" w:hanging="284"/>
        <w:rPr>
          <w:szCs w:val="20"/>
        </w:rPr>
      </w:pPr>
      <w:r w:rsidRPr="00A71B61">
        <w:rPr>
          <w:b/>
          <w:szCs w:val="20"/>
        </w:rPr>
        <w:t>Solicitud de tramitación de los derechos de supresión, oposición, acceso, rectificación:</w:t>
      </w:r>
      <w:r w:rsidRPr="00A71B61">
        <w:rPr>
          <w:szCs w:val="20"/>
        </w:rPr>
        <w:t xml:space="preserve"> </w:t>
      </w:r>
    </w:p>
    <w:p w:rsidR="00D538BD" w:rsidRPr="00A71B61" w:rsidRDefault="00D538BD" w:rsidP="00846064">
      <w:pPr>
        <w:numPr>
          <w:ilvl w:val="1"/>
          <w:numId w:val="1"/>
        </w:numPr>
        <w:spacing w:before="120" w:after="240" w:line="276" w:lineRule="auto"/>
        <w:rPr>
          <w:szCs w:val="20"/>
        </w:rPr>
      </w:pPr>
      <w:r w:rsidRPr="00A71B61">
        <w:rPr>
          <w:b/>
          <w:szCs w:val="20"/>
        </w:rPr>
        <w:t>Derecho de supresión de datos: 21</w:t>
      </w:r>
      <w:r w:rsidRPr="00A71B61">
        <w:rPr>
          <w:szCs w:val="20"/>
        </w:rPr>
        <w:t xml:space="preserve">.  De las cuales 16 fueron derivadas por Cruz Roja. </w:t>
      </w:r>
      <w:r w:rsidRPr="00A71B61">
        <w:rPr>
          <w:b/>
          <w:szCs w:val="20"/>
        </w:rPr>
        <w:t>Cuatro</w:t>
      </w:r>
      <w:r w:rsidRPr="00A71B61">
        <w:rPr>
          <w:szCs w:val="20"/>
        </w:rPr>
        <w:t xml:space="preserve"> de ellas fueron tramitadas como tales. El resto se han tramitado como oposición, al no haber contestado al requerimiento o bien porque solo solicitaban la supresión de datos de Cruz Roja, al desconocer que el Centro de Transfusión es el Responsable del Tratamiento.</w:t>
      </w:r>
    </w:p>
    <w:p w:rsidR="00D538BD" w:rsidRPr="00A71B61" w:rsidRDefault="00D538BD" w:rsidP="00846064">
      <w:pPr>
        <w:numPr>
          <w:ilvl w:val="1"/>
          <w:numId w:val="1"/>
        </w:numPr>
        <w:spacing w:before="120" w:after="240" w:line="276" w:lineRule="auto"/>
        <w:rPr>
          <w:szCs w:val="20"/>
        </w:rPr>
      </w:pPr>
      <w:r w:rsidRPr="00A71B61">
        <w:rPr>
          <w:b/>
          <w:szCs w:val="20"/>
        </w:rPr>
        <w:t>Derecho de acceso:</w:t>
      </w:r>
      <w:r w:rsidRPr="00A71B61">
        <w:rPr>
          <w:szCs w:val="20"/>
        </w:rPr>
        <w:t xml:space="preserve"> 38 solicitudes</w:t>
      </w:r>
    </w:p>
    <w:p w:rsidR="00D538BD" w:rsidRPr="00A71B61" w:rsidRDefault="00D538BD" w:rsidP="00846064">
      <w:pPr>
        <w:numPr>
          <w:ilvl w:val="1"/>
          <w:numId w:val="1"/>
        </w:numPr>
        <w:spacing w:before="120" w:after="240" w:line="276" w:lineRule="auto"/>
        <w:rPr>
          <w:szCs w:val="20"/>
        </w:rPr>
      </w:pPr>
      <w:r w:rsidRPr="00A71B61">
        <w:rPr>
          <w:szCs w:val="20"/>
        </w:rPr>
        <w:t>Derecho de rectificación: 34 solicitudes.</w:t>
      </w:r>
    </w:p>
    <w:p w:rsidR="00D538BD" w:rsidRPr="00A71B61" w:rsidRDefault="00D538BD" w:rsidP="00846064">
      <w:pPr>
        <w:numPr>
          <w:ilvl w:val="0"/>
          <w:numId w:val="1"/>
        </w:numPr>
        <w:spacing w:before="120" w:after="240" w:line="276" w:lineRule="auto"/>
        <w:ind w:left="284" w:hanging="284"/>
        <w:rPr>
          <w:szCs w:val="20"/>
        </w:rPr>
      </w:pPr>
      <w:r w:rsidRPr="00A71B61">
        <w:rPr>
          <w:szCs w:val="20"/>
        </w:rPr>
        <w:t xml:space="preserve">En relación a las </w:t>
      </w:r>
      <w:r w:rsidRPr="00A71B61">
        <w:rPr>
          <w:b/>
          <w:szCs w:val="20"/>
        </w:rPr>
        <w:t>Sugerencias,</w:t>
      </w:r>
      <w:r w:rsidRPr="00A71B61">
        <w:rPr>
          <w:szCs w:val="20"/>
        </w:rPr>
        <w:t xml:space="preserve"> </w:t>
      </w:r>
      <w:r w:rsidRPr="00A71B61">
        <w:rPr>
          <w:b/>
          <w:szCs w:val="20"/>
        </w:rPr>
        <w:t>Reclamaciones</w:t>
      </w:r>
      <w:r w:rsidRPr="00A71B61">
        <w:rPr>
          <w:szCs w:val="20"/>
        </w:rPr>
        <w:t xml:space="preserve"> y </w:t>
      </w:r>
      <w:r w:rsidRPr="00A71B61">
        <w:rPr>
          <w:b/>
          <w:szCs w:val="20"/>
        </w:rPr>
        <w:t>Agradecimientos</w:t>
      </w:r>
      <w:r w:rsidRPr="00A71B61">
        <w:rPr>
          <w:szCs w:val="20"/>
        </w:rPr>
        <w:t xml:space="preserve">, tramitadas de acuerdo con la clasificación establecida en Cestrak, aplicación de la Viceconsejería de Humanización de la Asistencia Sanitaria para la gestión y control de las </w:t>
      </w:r>
      <w:r w:rsidRPr="00A71B61">
        <w:rPr>
          <w:b/>
          <w:szCs w:val="20"/>
        </w:rPr>
        <w:t xml:space="preserve">S </w:t>
      </w:r>
      <w:r w:rsidRPr="00A71B61">
        <w:rPr>
          <w:szCs w:val="20"/>
        </w:rPr>
        <w:t>y</w:t>
      </w:r>
      <w:r w:rsidRPr="00A71B61">
        <w:rPr>
          <w:b/>
          <w:szCs w:val="20"/>
        </w:rPr>
        <w:t xml:space="preserve"> R </w:t>
      </w:r>
      <w:r w:rsidRPr="00A71B61">
        <w:rPr>
          <w:szCs w:val="20"/>
        </w:rPr>
        <w:t>y</w:t>
      </w:r>
      <w:r w:rsidRPr="00A71B61">
        <w:rPr>
          <w:b/>
          <w:szCs w:val="20"/>
        </w:rPr>
        <w:t xml:space="preserve"> A </w:t>
      </w:r>
      <w:r w:rsidRPr="00A71B61">
        <w:rPr>
          <w:szCs w:val="20"/>
        </w:rPr>
        <w:t>de los ciudadanos en su relación con los Centros de la Consejeria de Sanidad de la Comunidad de Madrid fueron: 44 con la siguiente distribución:</w:t>
      </w:r>
    </w:p>
    <w:p w:rsidR="00D538BD" w:rsidRPr="00A71B61" w:rsidRDefault="00D538BD" w:rsidP="00846064">
      <w:pPr>
        <w:numPr>
          <w:ilvl w:val="0"/>
          <w:numId w:val="2"/>
        </w:numPr>
        <w:spacing w:before="120" w:after="240" w:line="276" w:lineRule="auto"/>
        <w:rPr>
          <w:szCs w:val="20"/>
        </w:rPr>
      </w:pPr>
      <w:r w:rsidRPr="00A71B61">
        <w:rPr>
          <w:b/>
          <w:szCs w:val="20"/>
        </w:rPr>
        <w:t xml:space="preserve">Reclamaciones: </w:t>
      </w:r>
      <w:r w:rsidRPr="00A71B61">
        <w:rPr>
          <w:szCs w:val="20"/>
        </w:rPr>
        <w:t>29</w:t>
      </w:r>
    </w:p>
    <w:p w:rsidR="00D538BD" w:rsidRPr="00A71B61" w:rsidRDefault="00D538BD" w:rsidP="00846064">
      <w:pPr>
        <w:numPr>
          <w:ilvl w:val="0"/>
          <w:numId w:val="2"/>
        </w:numPr>
        <w:spacing w:before="120" w:after="240" w:line="276" w:lineRule="auto"/>
        <w:rPr>
          <w:szCs w:val="20"/>
        </w:rPr>
      </w:pPr>
      <w:r w:rsidRPr="00A71B61">
        <w:rPr>
          <w:b/>
          <w:szCs w:val="20"/>
        </w:rPr>
        <w:lastRenderedPageBreak/>
        <w:t xml:space="preserve">Sugerencias: </w:t>
      </w:r>
      <w:r w:rsidRPr="00A71B61">
        <w:rPr>
          <w:szCs w:val="20"/>
        </w:rPr>
        <w:t>12</w:t>
      </w:r>
    </w:p>
    <w:p w:rsidR="00D538BD" w:rsidRPr="00A71B61" w:rsidRDefault="00D538BD" w:rsidP="00846064">
      <w:pPr>
        <w:numPr>
          <w:ilvl w:val="0"/>
          <w:numId w:val="2"/>
        </w:numPr>
        <w:spacing w:before="120" w:after="240" w:line="276" w:lineRule="auto"/>
        <w:rPr>
          <w:szCs w:val="20"/>
        </w:rPr>
      </w:pPr>
      <w:r w:rsidRPr="00A71B61">
        <w:rPr>
          <w:b/>
          <w:szCs w:val="20"/>
        </w:rPr>
        <w:t>Agradecimientos</w:t>
      </w:r>
      <w:r w:rsidRPr="00A71B61">
        <w:rPr>
          <w:szCs w:val="20"/>
        </w:rPr>
        <w:t>: 3</w:t>
      </w:r>
    </w:p>
    <w:p w:rsidR="00D538BD" w:rsidRPr="00A71B61" w:rsidRDefault="00D538BD" w:rsidP="0011164E">
      <w:pPr>
        <w:rPr>
          <w:color w:val="000000"/>
          <w:szCs w:val="20"/>
        </w:rPr>
      </w:pPr>
      <w:r w:rsidRPr="00A71B61">
        <w:rPr>
          <w:color w:val="000000"/>
          <w:szCs w:val="20"/>
        </w:rPr>
        <w:t>En la siguiente figura se muestra la distribución de las reclamaciones y sugerencias según los motivos:</w:t>
      </w:r>
    </w:p>
    <w:p w:rsidR="00D538BD" w:rsidRPr="00A71B61" w:rsidRDefault="00D538BD" w:rsidP="00D538BD">
      <w:pPr>
        <w:rPr>
          <w:szCs w:val="20"/>
          <w:lang w:val="x-none" w:eastAsia="x-none"/>
        </w:rPr>
      </w:pPr>
      <w:r w:rsidRPr="00A71B61">
        <w:rPr>
          <w:noProof/>
          <w:szCs w:val="20"/>
          <w:lang w:eastAsia="es-ES"/>
        </w:rPr>
        <w:drawing>
          <wp:inline distT="0" distB="0" distL="0" distR="0">
            <wp:extent cx="5415915" cy="3793490"/>
            <wp:effectExtent l="0" t="0" r="0" b="0"/>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538BD" w:rsidRPr="00AB3AB9" w:rsidRDefault="00D538BD" w:rsidP="00AB3AB9">
      <w:pPr>
        <w:pStyle w:val="Ttulo2"/>
      </w:pPr>
      <w:bookmarkStart w:id="16" w:name="_Toc528579466"/>
      <w:bookmarkStart w:id="17" w:name="_Toc56606560"/>
      <w:bookmarkStart w:id="18" w:name="_Toc90584860"/>
      <w:r w:rsidRPr="00AB3AB9">
        <w:t>Teléfono gratuito de atención al ciudadano 900 30 35 30</w:t>
      </w:r>
      <w:bookmarkEnd w:id="16"/>
      <w:bookmarkEnd w:id="17"/>
      <w:bookmarkEnd w:id="18"/>
      <w:r w:rsidRPr="00AB3AB9">
        <w:t xml:space="preserve"> </w:t>
      </w:r>
    </w:p>
    <w:p w:rsidR="00AB3AB9" w:rsidRDefault="00AB3AB9" w:rsidP="00D538BD">
      <w:pPr>
        <w:rPr>
          <w:szCs w:val="20"/>
        </w:rPr>
      </w:pPr>
    </w:p>
    <w:p w:rsidR="00D538BD" w:rsidRPr="00A71B61" w:rsidRDefault="00D538BD" w:rsidP="00D538BD">
      <w:pPr>
        <w:rPr>
          <w:szCs w:val="20"/>
        </w:rPr>
      </w:pPr>
      <w:r w:rsidRPr="00A71B61">
        <w:rPr>
          <w:szCs w:val="20"/>
        </w:rPr>
        <w:t xml:space="preserve">En cuanto a  la </w:t>
      </w:r>
      <w:r w:rsidRPr="00A71B61">
        <w:rPr>
          <w:b/>
          <w:szCs w:val="20"/>
        </w:rPr>
        <w:t>gestión estadística</w:t>
      </w:r>
      <w:r w:rsidRPr="00A71B61">
        <w:rPr>
          <w:szCs w:val="20"/>
        </w:rPr>
        <w:t xml:space="preserve"> del </w:t>
      </w:r>
      <w:r w:rsidRPr="00A71B61">
        <w:rPr>
          <w:b/>
          <w:szCs w:val="20"/>
        </w:rPr>
        <w:t>teléfono</w:t>
      </w:r>
      <w:r w:rsidRPr="00A71B61">
        <w:rPr>
          <w:szCs w:val="20"/>
        </w:rPr>
        <w:t xml:space="preserve"> </w:t>
      </w:r>
      <w:r w:rsidRPr="00A71B61">
        <w:rPr>
          <w:b/>
          <w:szCs w:val="20"/>
        </w:rPr>
        <w:t>900 30 35 30</w:t>
      </w:r>
      <w:r w:rsidRPr="00A71B61">
        <w:rPr>
          <w:szCs w:val="20"/>
        </w:rPr>
        <w:t xml:space="preserve"> puesto en marcha desde el 11 de agosto de 2015 y habilitado para la recepción de consultas relacionadas con la donación de sangre y médula ósea, </w:t>
      </w:r>
      <w:r w:rsidRPr="00A71B61">
        <w:rPr>
          <w:b/>
          <w:szCs w:val="20"/>
        </w:rPr>
        <w:t xml:space="preserve">hasta el 09 de marzo de 2020 </w:t>
      </w:r>
      <w:r w:rsidRPr="00A71B61">
        <w:rPr>
          <w:szCs w:val="20"/>
        </w:rPr>
        <w:t xml:space="preserve">se han atendido </w:t>
      </w:r>
      <w:r w:rsidRPr="00A71B61">
        <w:rPr>
          <w:b/>
          <w:szCs w:val="20"/>
        </w:rPr>
        <w:t>16</w:t>
      </w:r>
      <w:r w:rsidR="0011164E" w:rsidRPr="00A71B61">
        <w:rPr>
          <w:b/>
          <w:szCs w:val="20"/>
        </w:rPr>
        <w:t>.</w:t>
      </w:r>
      <w:r w:rsidRPr="00A71B61">
        <w:rPr>
          <w:b/>
          <w:szCs w:val="20"/>
        </w:rPr>
        <w:t>078</w:t>
      </w:r>
      <w:r w:rsidRPr="00A71B61">
        <w:rPr>
          <w:szCs w:val="20"/>
        </w:rPr>
        <w:t xml:space="preserve"> llamadas, de las cuales </w:t>
      </w:r>
      <w:r w:rsidRPr="00A71B61">
        <w:rPr>
          <w:b/>
          <w:szCs w:val="20"/>
        </w:rPr>
        <w:t>9372</w:t>
      </w:r>
      <w:r w:rsidRPr="00A71B61">
        <w:rPr>
          <w:szCs w:val="20"/>
        </w:rPr>
        <w:t xml:space="preserve"> son de donación de sangre, </w:t>
      </w:r>
      <w:r w:rsidRPr="00A71B61">
        <w:rPr>
          <w:b/>
          <w:szCs w:val="20"/>
        </w:rPr>
        <w:t>6</w:t>
      </w:r>
      <w:r w:rsidR="0011164E" w:rsidRPr="00A71B61">
        <w:rPr>
          <w:b/>
          <w:szCs w:val="20"/>
        </w:rPr>
        <w:t>.</w:t>
      </w:r>
      <w:r w:rsidRPr="00A71B61">
        <w:rPr>
          <w:b/>
          <w:szCs w:val="20"/>
        </w:rPr>
        <w:t>706</w:t>
      </w:r>
      <w:r w:rsidRPr="00A71B61">
        <w:rPr>
          <w:szCs w:val="20"/>
        </w:rPr>
        <w:t xml:space="preserve"> de médula ósea.</w:t>
      </w:r>
    </w:p>
    <w:p w:rsidR="00D538BD" w:rsidRPr="00A71B61" w:rsidRDefault="00D538BD" w:rsidP="00D538BD">
      <w:pPr>
        <w:rPr>
          <w:szCs w:val="20"/>
        </w:rPr>
      </w:pPr>
    </w:p>
    <w:p w:rsidR="00A72871" w:rsidRPr="00A71B61" w:rsidRDefault="00A72871" w:rsidP="0011164E">
      <w:pPr>
        <w:rPr>
          <w:szCs w:val="20"/>
        </w:rPr>
      </w:pPr>
    </w:p>
    <w:p w:rsidR="002278D2" w:rsidRPr="00A71B61" w:rsidRDefault="002278D2">
      <w:pPr>
        <w:rPr>
          <w:rFonts w:ascii="Cambria" w:eastAsia="Times New Roman" w:hAnsi="Cambria" w:cs="Times New Roman"/>
          <w:b/>
          <w:bCs/>
          <w:color w:val="365F91"/>
          <w:szCs w:val="20"/>
          <w:lang w:val="x-none" w:eastAsia="x-none"/>
        </w:rPr>
      </w:pPr>
      <w:r w:rsidRPr="00A71B61">
        <w:rPr>
          <w:szCs w:val="20"/>
        </w:rPr>
        <w:br w:type="page"/>
      </w:r>
    </w:p>
    <w:p w:rsidR="004918DB" w:rsidRPr="00AB3AB9" w:rsidRDefault="004918DB" w:rsidP="00AB3AB9">
      <w:pPr>
        <w:pStyle w:val="Ttulo1"/>
      </w:pPr>
      <w:bookmarkStart w:id="19" w:name="_Toc90584861"/>
      <w:r w:rsidRPr="00AB3AB9">
        <w:lastRenderedPageBreak/>
        <w:t>Promoción</w:t>
      </w:r>
      <w:bookmarkEnd w:id="19"/>
    </w:p>
    <w:p w:rsidR="00AD6D6B" w:rsidRPr="00AB3AB9" w:rsidRDefault="00AD6D6B" w:rsidP="00AB3AB9">
      <w:pPr>
        <w:pStyle w:val="Ttulo2"/>
      </w:pPr>
      <w:bookmarkStart w:id="20" w:name="_Toc90584862"/>
      <w:r w:rsidRPr="00AB3AB9">
        <w:t>Promoción de la Donación de Sangre</w:t>
      </w:r>
      <w:bookmarkEnd w:id="20"/>
    </w:p>
    <w:p w:rsidR="00AB3AB9" w:rsidRDefault="00AB3AB9" w:rsidP="007504C4">
      <w:pPr>
        <w:rPr>
          <w:rFonts w:cs="Arial"/>
          <w:szCs w:val="20"/>
        </w:rPr>
      </w:pPr>
    </w:p>
    <w:p w:rsidR="007504C4" w:rsidRPr="00A71B61" w:rsidRDefault="007504C4" w:rsidP="007504C4">
      <w:pPr>
        <w:rPr>
          <w:rFonts w:cs="Arial"/>
          <w:szCs w:val="20"/>
        </w:rPr>
      </w:pPr>
      <w:r w:rsidRPr="00A71B61">
        <w:rPr>
          <w:rFonts w:cs="Arial"/>
          <w:szCs w:val="20"/>
        </w:rPr>
        <w:t>En el año 2020 el Centro de Transfusión de la Comunidad de la Comunidad de Madrid ha procesado 228.467 donaciones</w:t>
      </w:r>
      <w:r w:rsidRPr="00A71B61">
        <w:rPr>
          <w:rFonts w:cs="Arial"/>
          <w:color w:val="FF0000"/>
          <w:szCs w:val="20"/>
        </w:rPr>
        <w:t xml:space="preserve">, </w:t>
      </w:r>
      <w:r w:rsidRPr="00A71B61">
        <w:rPr>
          <w:rFonts w:cs="Arial"/>
          <w:szCs w:val="20"/>
        </w:rPr>
        <w:t>todas ellas procedentes de donantes madrileños (</w:t>
      </w:r>
      <w:r w:rsidRPr="00A71B61">
        <w:rPr>
          <w:szCs w:val="20"/>
        </w:rPr>
        <w:t xml:space="preserve">162.325 </w:t>
      </w:r>
      <w:r w:rsidRPr="00A71B61">
        <w:rPr>
          <w:rFonts w:cs="Arial"/>
          <w:szCs w:val="20"/>
        </w:rPr>
        <w:t>donantes). De estas donaciones: 111.638 unidades</w:t>
      </w:r>
      <w:r w:rsidRPr="00A71B61">
        <w:rPr>
          <w:rFonts w:cs="Arial"/>
          <w:color w:val="FF0000"/>
          <w:szCs w:val="20"/>
        </w:rPr>
        <w:t xml:space="preserve"> </w:t>
      </w:r>
      <w:r w:rsidRPr="00A71B61">
        <w:rPr>
          <w:rFonts w:cs="Arial"/>
          <w:szCs w:val="20"/>
        </w:rPr>
        <w:t>(48.40%) corresponden a las obtenidas en colectas externas por la Unidad de extracción de sangre para la donación de Cruz Roja Española, 101.320 unidades (44.32%) a los puntos de donación hospitalarios y 16.509(7.22%) a la donación interna del propio Centro.</w:t>
      </w:r>
    </w:p>
    <w:p w:rsidR="007504C4" w:rsidRPr="00A71B61" w:rsidRDefault="007504C4" w:rsidP="007504C4">
      <w:pPr>
        <w:rPr>
          <w:rFonts w:cs="Arial"/>
          <w:szCs w:val="20"/>
        </w:rPr>
      </w:pPr>
      <w:r w:rsidRPr="00A71B61">
        <w:rPr>
          <w:rFonts w:cs="Arial"/>
          <w:szCs w:val="20"/>
        </w:rPr>
        <w:t>Es necesario decir que la irrupción del Sars-Covid19 en el mes de febrero y la posterior evolución de la pandemia y declaraciones del Estado de Alerta han influido de manera importante en los donantes y las donaciones:</w:t>
      </w:r>
    </w:p>
    <w:p w:rsidR="007504C4" w:rsidRPr="00A71B61" w:rsidRDefault="007504C4" w:rsidP="00846064">
      <w:pPr>
        <w:pStyle w:val="Prrafodelista"/>
        <w:numPr>
          <w:ilvl w:val="0"/>
          <w:numId w:val="19"/>
        </w:numPr>
        <w:spacing w:after="0" w:line="240" w:lineRule="auto"/>
        <w:rPr>
          <w:rFonts w:cs="Arial"/>
          <w:szCs w:val="20"/>
        </w:rPr>
      </w:pPr>
      <w:r w:rsidRPr="00A71B61">
        <w:rPr>
          <w:rFonts w:cs="Arial"/>
          <w:szCs w:val="20"/>
        </w:rPr>
        <w:t>Desde finales de febrero, el miedo de los donantes a acudir a hospitales, que empiezan a tener enfermos Covid ingresados, hace que las donaciones se resientan. Por otra parte, aumenta también el temor a la donación en unidades móviles por ser pequeños espacios cerrados.</w:t>
      </w:r>
    </w:p>
    <w:p w:rsidR="007504C4" w:rsidRPr="00A71B61" w:rsidRDefault="007504C4" w:rsidP="00846064">
      <w:pPr>
        <w:pStyle w:val="Prrafodelista"/>
        <w:numPr>
          <w:ilvl w:val="0"/>
          <w:numId w:val="19"/>
        </w:numPr>
        <w:spacing w:after="0" w:line="240" w:lineRule="auto"/>
        <w:rPr>
          <w:rFonts w:cs="Arial"/>
          <w:szCs w:val="20"/>
        </w:rPr>
      </w:pPr>
      <w:r w:rsidRPr="00A71B61">
        <w:rPr>
          <w:rFonts w:cs="Arial"/>
          <w:szCs w:val="20"/>
        </w:rPr>
        <w:t>A partir de mediados del mes de marzo se comienzan a cerrar salas de donación hospitalarias por la presión Covid y no retoman la actividad hasta el mes de junio. A cierre de año se refleja en una disminución de donaciones en los hospitales con respecto a 2019 del -14,81%</w:t>
      </w:r>
    </w:p>
    <w:p w:rsidR="007504C4" w:rsidRPr="00A71B61" w:rsidRDefault="007504C4" w:rsidP="00846064">
      <w:pPr>
        <w:pStyle w:val="Prrafodelista"/>
        <w:numPr>
          <w:ilvl w:val="0"/>
          <w:numId w:val="19"/>
        </w:numPr>
        <w:spacing w:after="0" w:line="240" w:lineRule="auto"/>
        <w:rPr>
          <w:rFonts w:cs="Arial"/>
          <w:szCs w:val="20"/>
        </w:rPr>
      </w:pPr>
      <w:r w:rsidRPr="00A71B61">
        <w:rPr>
          <w:rFonts w:cs="Arial"/>
          <w:szCs w:val="20"/>
        </w:rPr>
        <w:t xml:space="preserve">El cierre de centros de estudios y universidades, además del aumento del teletrabajo hace que haya que replanificar las colectas externas. Esta situación ha continuado así en mayor o menor medida hasta final del 2020. El balance final con respecto al 2019 es de una caída del -3,20% </w:t>
      </w:r>
    </w:p>
    <w:p w:rsidR="007504C4" w:rsidRPr="00A71B61" w:rsidRDefault="007504C4" w:rsidP="00846064">
      <w:pPr>
        <w:pStyle w:val="Prrafodelista"/>
        <w:numPr>
          <w:ilvl w:val="0"/>
          <w:numId w:val="19"/>
        </w:numPr>
        <w:spacing w:after="0" w:line="240" w:lineRule="auto"/>
        <w:rPr>
          <w:rFonts w:cs="Arial"/>
          <w:szCs w:val="20"/>
        </w:rPr>
      </w:pPr>
      <w:r w:rsidRPr="00A71B61">
        <w:rPr>
          <w:rFonts w:cs="Arial"/>
          <w:szCs w:val="20"/>
        </w:rPr>
        <w:t>Por el contrario, la potenciación del Centro de Transfusión como un espacio seguro de donación hace que se convierta en referente y que termine el año con un incremento del 153,09% en donaciones de sangre total.</w:t>
      </w:r>
    </w:p>
    <w:p w:rsidR="007504C4" w:rsidRPr="00A71B61" w:rsidRDefault="007504C4" w:rsidP="007504C4">
      <w:pPr>
        <w:pStyle w:val="Prrafodelista"/>
        <w:spacing w:after="0" w:line="240" w:lineRule="auto"/>
        <w:rPr>
          <w:rFonts w:cs="Arial"/>
          <w:szCs w:val="20"/>
        </w:rPr>
      </w:pPr>
    </w:p>
    <w:p w:rsidR="007504C4" w:rsidRPr="00A71B61" w:rsidRDefault="007504C4" w:rsidP="007504C4">
      <w:pPr>
        <w:spacing w:after="0" w:line="240" w:lineRule="auto"/>
        <w:rPr>
          <w:rFonts w:cs="Arial"/>
          <w:szCs w:val="20"/>
        </w:rPr>
      </w:pPr>
      <w:r w:rsidRPr="00A71B61">
        <w:rPr>
          <w:rFonts w:ascii="Montserrat" w:hAnsi="Montserrat"/>
          <w:noProof/>
          <w:szCs w:val="20"/>
          <w:lang w:eastAsia="es-ES"/>
        </w:rPr>
        <w:drawing>
          <wp:inline distT="0" distB="0" distL="0" distR="0" wp14:anchorId="3D064DCF" wp14:editId="35E3DF88">
            <wp:extent cx="5039995" cy="2763672"/>
            <wp:effectExtent l="0" t="0" r="8255" b="1778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504C4" w:rsidRPr="00A71B61" w:rsidRDefault="007504C4" w:rsidP="007504C4">
      <w:pPr>
        <w:spacing w:after="0" w:line="240" w:lineRule="auto"/>
        <w:rPr>
          <w:rFonts w:cs="Arial"/>
          <w:szCs w:val="20"/>
        </w:rPr>
      </w:pPr>
    </w:p>
    <w:p w:rsidR="007504C4" w:rsidRPr="00A71B61" w:rsidRDefault="007504C4" w:rsidP="007504C4">
      <w:pPr>
        <w:spacing w:after="0" w:line="240" w:lineRule="auto"/>
        <w:rPr>
          <w:rFonts w:cs="Arial"/>
          <w:szCs w:val="20"/>
        </w:rPr>
      </w:pPr>
      <w:r w:rsidRPr="00A71B61">
        <w:rPr>
          <w:rFonts w:ascii="Montserrat" w:hAnsi="Montserrat"/>
          <w:noProof/>
          <w:szCs w:val="20"/>
          <w:lang w:eastAsia="es-ES"/>
        </w:rPr>
        <w:drawing>
          <wp:inline distT="0" distB="0" distL="0" distR="0" wp14:anchorId="4C870306" wp14:editId="728BD5BE">
            <wp:extent cx="5039995" cy="2504364"/>
            <wp:effectExtent l="0" t="0" r="8255" b="1079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504C4" w:rsidRPr="00A71B61" w:rsidRDefault="007504C4" w:rsidP="007504C4">
      <w:pPr>
        <w:spacing w:after="0" w:line="240" w:lineRule="auto"/>
        <w:rPr>
          <w:rFonts w:cs="Arial"/>
          <w:szCs w:val="20"/>
        </w:rPr>
      </w:pPr>
    </w:p>
    <w:p w:rsidR="007504C4" w:rsidRPr="00A71B61" w:rsidRDefault="007504C4" w:rsidP="007504C4">
      <w:pPr>
        <w:spacing w:after="0" w:line="240" w:lineRule="auto"/>
        <w:rPr>
          <w:rFonts w:cs="Arial"/>
          <w:szCs w:val="20"/>
        </w:rPr>
      </w:pPr>
      <w:r w:rsidRPr="00A71B61">
        <w:rPr>
          <w:rFonts w:ascii="Montserrat" w:hAnsi="Montserrat"/>
          <w:noProof/>
          <w:szCs w:val="20"/>
          <w:lang w:eastAsia="es-ES"/>
        </w:rPr>
        <w:drawing>
          <wp:inline distT="0" distB="0" distL="0" distR="0" wp14:anchorId="093FFA67" wp14:editId="7675F710">
            <wp:extent cx="5039995" cy="2572603"/>
            <wp:effectExtent l="0" t="0" r="8255" b="1841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504C4" w:rsidRPr="00A71B61" w:rsidRDefault="007504C4" w:rsidP="007504C4">
      <w:pPr>
        <w:spacing w:after="0" w:line="240" w:lineRule="auto"/>
        <w:rPr>
          <w:rFonts w:cs="Arial"/>
          <w:szCs w:val="20"/>
        </w:rPr>
      </w:pPr>
    </w:p>
    <w:p w:rsidR="007504C4" w:rsidRPr="00A71B61" w:rsidRDefault="007504C4" w:rsidP="007504C4">
      <w:pPr>
        <w:spacing w:after="0" w:line="240" w:lineRule="auto"/>
        <w:rPr>
          <w:rFonts w:cs="Arial"/>
          <w:szCs w:val="20"/>
        </w:rPr>
      </w:pPr>
      <w:r w:rsidRPr="00A71B61">
        <w:rPr>
          <w:rFonts w:ascii="Montserrat" w:hAnsi="Montserrat"/>
          <w:noProof/>
          <w:szCs w:val="20"/>
          <w:lang w:eastAsia="es-ES"/>
        </w:rPr>
        <w:drawing>
          <wp:inline distT="0" distB="0" distL="0" distR="0" wp14:anchorId="60DCDFDE" wp14:editId="14854109">
            <wp:extent cx="5039995" cy="3125338"/>
            <wp:effectExtent l="0" t="0" r="8255" b="18415"/>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504C4" w:rsidRPr="00A71B61" w:rsidRDefault="007504C4">
      <w:pPr>
        <w:rPr>
          <w:rFonts w:cs="Arial"/>
          <w:szCs w:val="20"/>
        </w:rPr>
      </w:pPr>
    </w:p>
    <w:p w:rsidR="00AD6D6B" w:rsidRPr="00AB3AB9" w:rsidRDefault="00AD6D6B" w:rsidP="00AB3AB9">
      <w:pPr>
        <w:pStyle w:val="Ttulo3"/>
      </w:pPr>
      <w:r w:rsidRPr="00AB3AB9">
        <w:t>Perfil del donante madrileño</w:t>
      </w:r>
    </w:p>
    <w:p w:rsidR="007504C4" w:rsidRPr="00A71B61" w:rsidRDefault="007504C4" w:rsidP="007504C4">
      <w:pPr>
        <w:rPr>
          <w:szCs w:val="20"/>
        </w:rPr>
      </w:pPr>
    </w:p>
    <w:p w:rsidR="007504C4" w:rsidRPr="00A71B61" w:rsidRDefault="00C00E33" w:rsidP="007504C4">
      <w:pPr>
        <w:rPr>
          <w:szCs w:val="20"/>
        </w:rPr>
      </w:pPr>
      <w:r w:rsidRPr="00C00E33">
        <w:rPr>
          <w:szCs w:val="20"/>
        </w:rPr>
        <w:drawing>
          <wp:anchor distT="0" distB="0" distL="114300" distR="114300" simplePos="0" relativeHeight="251743232" behindDoc="0" locked="0" layoutInCell="1" allowOverlap="1" wp14:anchorId="59342508" wp14:editId="407D81DE">
            <wp:simplePos x="0" y="0"/>
            <wp:positionH relativeFrom="margin">
              <wp:posOffset>521</wp:posOffset>
            </wp:positionH>
            <wp:positionV relativeFrom="paragraph">
              <wp:posOffset>295786</wp:posOffset>
            </wp:positionV>
            <wp:extent cx="2357090" cy="1897042"/>
            <wp:effectExtent l="0" t="0" r="0" b="0"/>
            <wp:wrapSquare wrapText="bothSides"/>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Pr="00C00E33">
        <w:rPr>
          <w:szCs w:val="20"/>
        </w:rPr>
        <w:drawing>
          <wp:anchor distT="0" distB="0" distL="114300" distR="114300" simplePos="0" relativeHeight="251744256" behindDoc="0" locked="0" layoutInCell="1" allowOverlap="1" wp14:anchorId="5BD40AD3" wp14:editId="70B0237B">
            <wp:simplePos x="0" y="0"/>
            <wp:positionH relativeFrom="column">
              <wp:posOffset>2874348</wp:posOffset>
            </wp:positionH>
            <wp:positionV relativeFrom="paragraph">
              <wp:posOffset>390789</wp:posOffset>
            </wp:positionV>
            <wp:extent cx="2446317" cy="1888177"/>
            <wp:effectExtent l="0" t="0" r="0" b="0"/>
            <wp:wrapSquare wrapText="bothSides"/>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rsidR="00AD6D6B" w:rsidRPr="00A71B61" w:rsidRDefault="00AD6D6B" w:rsidP="00AD6D6B">
      <w:pPr>
        <w:rPr>
          <w:szCs w:val="20"/>
        </w:rPr>
      </w:pPr>
    </w:p>
    <w:p w:rsidR="00C00E33" w:rsidRDefault="00C00E33" w:rsidP="00AD6D6B">
      <w:pPr>
        <w:rPr>
          <w:szCs w:val="20"/>
        </w:rPr>
      </w:pPr>
    </w:p>
    <w:p w:rsidR="00C00E33" w:rsidRDefault="00C00E33" w:rsidP="00AD6D6B">
      <w:pPr>
        <w:rPr>
          <w:szCs w:val="20"/>
        </w:rPr>
      </w:pPr>
    </w:p>
    <w:p w:rsidR="00C00E33" w:rsidRDefault="00C00E33" w:rsidP="00AD6D6B">
      <w:pPr>
        <w:rPr>
          <w:szCs w:val="20"/>
        </w:rPr>
      </w:pPr>
    </w:p>
    <w:p w:rsidR="00C00E33" w:rsidRDefault="00C00E33" w:rsidP="00AD6D6B">
      <w:pPr>
        <w:rPr>
          <w:szCs w:val="20"/>
        </w:rPr>
      </w:pPr>
    </w:p>
    <w:p w:rsidR="00C00E33" w:rsidRDefault="00C00E33" w:rsidP="00AD6D6B">
      <w:pPr>
        <w:rPr>
          <w:szCs w:val="20"/>
        </w:rPr>
      </w:pPr>
    </w:p>
    <w:p w:rsidR="00243353" w:rsidRPr="00A71B61" w:rsidRDefault="00243353" w:rsidP="00AD6D6B">
      <w:pPr>
        <w:rPr>
          <w:szCs w:val="20"/>
        </w:rPr>
      </w:pPr>
    </w:p>
    <w:p w:rsidR="00243353" w:rsidRDefault="00243353" w:rsidP="00243353">
      <w:pPr>
        <w:rPr>
          <w:rFonts w:cs="Arial"/>
          <w:szCs w:val="20"/>
        </w:rPr>
      </w:pPr>
    </w:p>
    <w:p w:rsidR="00C00E33" w:rsidRDefault="00C00E33" w:rsidP="00243353">
      <w:pPr>
        <w:rPr>
          <w:rFonts w:cs="Arial"/>
          <w:szCs w:val="20"/>
        </w:rPr>
      </w:pPr>
      <w:r w:rsidRPr="00B52CF8">
        <w:rPr>
          <w:rFonts w:ascii="Montserrat" w:hAnsi="Montserrat"/>
          <w:noProof/>
          <w:sz w:val="22"/>
        </w:rPr>
        <w:drawing>
          <wp:inline distT="0" distB="0" distL="0" distR="0" wp14:anchorId="1F3D6FB0" wp14:editId="12F26AC3">
            <wp:extent cx="5039995" cy="2341159"/>
            <wp:effectExtent l="0" t="0" r="8255" b="254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00E33" w:rsidRDefault="00C00E33" w:rsidP="00243353">
      <w:pPr>
        <w:rPr>
          <w:rFonts w:cs="Arial"/>
          <w:szCs w:val="20"/>
        </w:rPr>
      </w:pPr>
    </w:p>
    <w:p w:rsidR="00C00E33" w:rsidRDefault="00C00E33" w:rsidP="00243353">
      <w:pPr>
        <w:rPr>
          <w:rFonts w:cs="Arial"/>
          <w:szCs w:val="20"/>
        </w:rPr>
      </w:pPr>
      <w:r w:rsidRPr="00B52CF8">
        <w:rPr>
          <w:rFonts w:ascii="Montserrat" w:hAnsi="Montserrat"/>
          <w:noProof/>
          <w:sz w:val="22"/>
        </w:rPr>
        <w:drawing>
          <wp:inline distT="0" distB="0" distL="0" distR="0" wp14:anchorId="46782F9A" wp14:editId="0BC701C3">
            <wp:extent cx="5039995" cy="2519998"/>
            <wp:effectExtent l="0" t="0" r="8255" b="13970"/>
            <wp:docPr id="360" name="Gráfico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00E33" w:rsidRPr="00A71B61" w:rsidRDefault="00C00E33" w:rsidP="00243353">
      <w:pPr>
        <w:rPr>
          <w:rFonts w:cs="Arial"/>
          <w:szCs w:val="20"/>
        </w:rPr>
      </w:pPr>
      <w:r>
        <w:rPr>
          <w:noProof/>
          <w:szCs w:val="20"/>
          <w:lang w:eastAsia="es-ES"/>
        </w:rPr>
        <w:lastRenderedPageBreak/>
        <w:drawing>
          <wp:inline distT="0" distB="0" distL="0" distR="0" wp14:anchorId="7E7D9D9B" wp14:editId="3414417D">
            <wp:extent cx="5039995" cy="1903675"/>
            <wp:effectExtent l="0" t="0" r="0" b="1905"/>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5039995" cy="1903675"/>
                    </a:xfrm>
                    <a:prstGeom prst="rect">
                      <a:avLst/>
                    </a:prstGeom>
                    <a:noFill/>
                  </pic:spPr>
                </pic:pic>
              </a:graphicData>
            </a:graphic>
          </wp:inline>
        </w:drawing>
      </w:r>
    </w:p>
    <w:p w:rsidR="00243353" w:rsidRPr="00A71B61" w:rsidRDefault="00243353" w:rsidP="00243353">
      <w:pPr>
        <w:rPr>
          <w:rFonts w:cs="Arial"/>
          <w:szCs w:val="20"/>
        </w:rPr>
      </w:pPr>
      <w:r w:rsidRPr="00A71B61">
        <w:rPr>
          <w:rFonts w:cs="Arial"/>
          <w:szCs w:val="20"/>
        </w:rPr>
        <w:t>La tasa de repetición de donaciones por donante y año se incrementa de 1.32 en 2019 a 1.41. En los últimos 4 años se produce un incremento de 7.2 puntos porcentuales el número de donantes que donan más de una vez al año.</w:t>
      </w:r>
    </w:p>
    <w:p w:rsidR="00AD6D6B" w:rsidRPr="00AB3AB9" w:rsidRDefault="00AD6D6B" w:rsidP="00AB3AB9">
      <w:pPr>
        <w:pStyle w:val="Ttulo3"/>
      </w:pPr>
      <w:r w:rsidRPr="00AB3AB9">
        <w:t>Donación de colectas externas</w:t>
      </w:r>
    </w:p>
    <w:p w:rsidR="00243353" w:rsidRPr="00A71B61" w:rsidRDefault="00243353" w:rsidP="00243353">
      <w:pPr>
        <w:rPr>
          <w:szCs w:val="20"/>
        </w:rPr>
      </w:pPr>
    </w:p>
    <w:tbl>
      <w:tblPr>
        <w:tblStyle w:val="Tabladecuadrcula5oscura-nfasis1"/>
        <w:tblW w:w="8033" w:type="dxa"/>
        <w:tblLook w:val="04A0" w:firstRow="1" w:lastRow="0" w:firstColumn="1" w:lastColumn="0" w:noHBand="0" w:noVBand="1"/>
      </w:tblPr>
      <w:tblGrid>
        <w:gridCol w:w="2186"/>
        <w:gridCol w:w="2163"/>
        <w:gridCol w:w="1830"/>
        <w:gridCol w:w="1854"/>
      </w:tblGrid>
      <w:tr w:rsidR="00C00E33" w:rsidRPr="00B52CF8" w:rsidTr="00C00E33">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86" w:type="dxa"/>
            <w:vMerge w:val="restart"/>
            <w:noWrap/>
            <w:hideMark/>
          </w:tcPr>
          <w:p w:rsidR="00C00E33" w:rsidRPr="00B52CF8" w:rsidRDefault="00C00E33" w:rsidP="00E87599">
            <w:pPr>
              <w:jc w:val="center"/>
              <w:rPr>
                <w:rFonts w:ascii="Montserrat" w:hAnsi="Montserrat"/>
                <w:b w:val="0"/>
                <w:sz w:val="22"/>
              </w:rPr>
            </w:pPr>
            <w:r w:rsidRPr="00B52CF8">
              <w:rPr>
                <w:rFonts w:ascii="Montserrat" w:hAnsi="Montserrat"/>
                <w:sz w:val="22"/>
              </w:rPr>
              <w:t>Donaciones</w:t>
            </w:r>
          </w:p>
        </w:tc>
        <w:tc>
          <w:tcPr>
            <w:tcW w:w="2163" w:type="dxa"/>
            <w:noWrap/>
            <w:hideMark/>
          </w:tcPr>
          <w:p w:rsidR="00C00E33" w:rsidRPr="00B52CF8" w:rsidRDefault="00C00E33" w:rsidP="00E87599">
            <w:pPr>
              <w:jc w:val="center"/>
              <w:cnfStyle w:val="100000000000" w:firstRow="1" w:lastRow="0" w:firstColumn="0" w:lastColumn="0" w:oddVBand="0" w:evenVBand="0" w:oddHBand="0" w:evenHBand="0" w:firstRowFirstColumn="0" w:firstRowLastColumn="0" w:lastRowFirstColumn="0" w:lastRowLastColumn="0"/>
              <w:rPr>
                <w:rFonts w:ascii="Montserrat" w:hAnsi="Montserrat"/>
                <w:sz w:val="22"/>
              </w:rPr>
            </w:pPr>
            <w:r w:rsidRPr="00B52CF8">
              <w:rPr>
                <w:rFonts w:ascii="Montserrat" w:hAnsi="Montserrat"/>
                <w:sz w:val="22"/>
              </w:rPr>
              <w:t>2019</w:t>
            </w:r>
          </w:p>
        </w:tc>
        <w:tc>
          <w:tcPr>
            <w:tcW w:w="1830" w:type="dxa"/>
            <w:noWrap/>
            <w:hideMark/>
          </w:tcPr>
          <w:p w:rsidR="00C00E33" w:rsidRPr="00B52CF8"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sz w:val="22"/>
              </w:rPr>
            </w:pPr>
            <w:r w:rsidRPr="00B52CF8">
              <w:rPr>
                <w:rFonts w:ascii="Montserrat" w:hAnsi="Montserrat"/>
                <w:sz w:val="22"/>
              </w:rPr>
              <w:t>114.292</w:t>
            </w:r>
          </w:p>
        </w:tc>
        <w:tc>
          <w:tcPr>
            <w:tcW w:w="1854" w:type="dxa"/>
            <w:vMerge w:val="restart"/>
            <w:noWrap/>
            <w:hideMark/>
          </w:tcPr>
          <w:p w:rsidR="00C00E33" w:rsidRPr="00B52CF8" w:rsidRDefault="00C00E33" w:rsidP="00E87599">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sz w:val="22"/>
              </w:rPr>
            </w:pPr>
            <w:r w:rsidRPr="00B52CF8">
              <w:rPr>
                <w:rFonts w:ascii="Montserrat" w:hAnsi="Montserrat"/>
                <w:sz w:val="22"/>
              </w:rPr>
              <w:t>-3.20%</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86" w:type="dxa"/>
            <w:vMerge/>
            <w:hideMark/>
          </w:tcPr>
          <w:p w:rsidR="00C00E33" w:rsidRPr="00B52CF8" w:rsidRDefault="00C00E33" w:rsidP="00E87599">
            <w:pPr>
              <w:jc w:val="center"/>
              <w:rPr>
                <w:rFonts w:ascii="Montserrat" w:hAnsi="Montserrat"/>
                <w:b w:val="0"/>
                <w:sz w:val="22"/>
              </w:rPr>
            </w:pPr>
          </w:p>
        </w:tc>
        <w:tc>
          <w:tcPr>
            <w:tcW w:w="2163" w:type="dxa"/>
            <w:noWrap/>
            <w:hideMark/>
          </w:tcPr>
          <w:p w:rsidR="00C00E33" w:rsidRPr="00B52CF8" w:rsidRDefault="00C00E33"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sz w:val="22"/>
              </w:rPr>
            </w:pPr>
            <w:r w:rsidRPr="00B52CF8">
              <w:rPr>
                <w:rFonts w:ascii="Montserrat" w:hAnsi="Montserrat"/>
                <w:sz w:val="22"/>
              </w:rPr>
              <w:t>2020</w:t>
            </w:r>
          </w:p>
        </w:tc>
        <w:tc>
          <w:tcPr>
            <w:tcW w:w="1830" w:type="dxa"/>
            <w:noWrap/>
            <w:hideMark/>
          </w:tcPr>
          <w:p w:rsidR="00C00E33" w:rsidRPr="00B52CF8"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b/>
                <w:sz w:val="22"/>
              </w:rPr>
            </w:pPr>
            <w:r w:rsidRPr="00B52CF8">
              <w:rPr>
                <w:rFonts w:ascii="Montserrat" w:hAnsi="Montserrat"/>
                <w:b/>
                <w:sz w:val="22"/>
              </w:rPr>
              <w:t>110.638</w:t>
            </w:r>
          </w:p>
        </w:tc>
        <w:tc>
          <w:tcPr>
            <w:tcW w:w="1854" w:type="dxa"/>
            <w:vMerge/>
            <w:hideMark/>
          </w:tcPr>
          <w:p w:rsidR="00C00E33" w:rsidRPr="00B52CF8" w:rsidRDefault="00C00E33" w:rsidP="00E87599">
            <w:pPr>
              <w:cnfStyle w:val="000000100000" w:firstRow="0" w:lastRow="0" w:firstColumn="0" w:lastColumn="0" w:oddVBand="0" w:evenVBand="0" w:oddHBand="1" w:evenHBand="0" w:firstRowFirstColumn="0" w:firstRowLastColumn="0" w:lastRowFirstColumn="0" w:lastRowLastColumn="0"/>
              <w:rPr>
                <w:rFonts w:ascii="Montserrat" w:hAnsi="Montserrat"/>
                <w:b/>
                <w:sz w:val="22"/>
              </w:rPr>
            </w:pPr>
          </w:p>
        </w:tc>
      </w:tr>
      <w:tr w:rsidR="00C00E33" w:rsidRPr="00B52CF8" w:rsidTr="00C00E33">
        <w:trPr>
          <w:trHeight w:val="387"/>
        </w:trPr>
        <w:tc>
          <w:tcPr>
            <w:cnfStyle w:val="001000000000" w:firstRow="0" w:lastRow="0" w:firstColumn="1" w:lastColumn="0" w:oddVBand="0" w:evenVBand="0" w:oddHBand="0" w:evenHBand="0" w:firstRowFirstColumn="0" w:firstRowLastColumn="0" w:lastRowFirstColumn="0" w:lastRowLastColumn="0"/>
            <w:tcW w:w="2186" w:type="dxa"/>
            <w:vMerge w:val="restart"/>
            <w:noWrap/>
            <w:hideMark/>
          </w:tcPr>
          <w:p w:rsidR="00C00E33" w:rsidRPr="00B52CF8" w:rsidRDefault="00C00E33" w:rsidP="00E87599">
            <w:pPr>
              <w:jc w:val="center"/>
              <w:rPr>
                <w:rFonts w:ascii="Montserrat" w:hAnsi="Montserrat"/>
                <w:b w:val="0"/>
                <w:sz w:val="22"/>
              </w:rPr>
            </w:pPr>
            <w:r w:rsidRPr="00B52CF8">
              <w:rPr>
                <w:rFonts w:ascii="Montserrat" w:hAnsi="Montserrat"/>
                <w:sz w:val="22"/>
              </w:rPr>
              <w:t>Colectas</w:t>
            </w:r>
          </w:p>
        </w:tc>
        <w:tc>
          <w:tcPr>
            <w:tcW w:w="2163" w:type="dxa"/>
            <w:noWrap/>
            <w:hideMark/>
          </w:tcPr>
          <w:p w:rsidR="00C00E33" w:rsidRPr="00B52CF8"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rPr>
            </w:pPr>
            <w:r w:rsidRPr="00B52CF8">
              <w:rPr>
                <w:rFonts w:ascii="Montserrat" w:hAnsi="Montserrat"/>
                <w:sz w:val="22"/>
              </w:rPr>
              <w:t>2019</w:t>
            </w:r>
          </w:p>
        </w:tc>
        <w:tc>
          <w:tcPr>
            <w:tcW w:w="1830" w:type="dxa"/>
            <w:noWrap/>
            <w:hideMark/>
          </w:tcPr>
          <w:p w:rsidR="00C00E33" w:rsidRPr="00B52CF8" w:rsidRDefault="00C00E33" w:rsidP="00E87599">
            <w:pPr>
              <w:jc w:val="right"/>
              <w:cnfStyle w:val="000000000000" w:firstRow="0" w:lastRow="0" w:firstColumn="0" w:lastColumn="0" w:oddVBand="0" w:evenVBand="0" w:oddHBand="0" w:evenHBand="0" w:firstRowFirstColumn="0" w:firstRowLastColumn="0" w:lastRowFirstColumn="0" w:lastRowLastColumn="0"/>
              <w:rPr>
                <w:rFonts w:ascii="Montserrat" w:hAnsi="Montserrat"/>
                <w:b/>
                <w:sz w:val="22"/>
              </w:rPr>
            </w:pPr>
            <w:r w:rsidRPr="00B52CF8">
              <w:rPr>
                <w:rFonts w:ascii="Montserrat" w:hAnsi="Montserrat"/>
                <w:b/>
                <w:sz w:val="22"/>
              </w:rPr>
              <w:t>5.389</w:t>
            </w:r>
          </w:p>
        </w:tc>
        <w:tc>
          <w:tcPr>
            <w:tcW w:w="1854" w:type="dxa"/>
            <w:vMerge w:val="restart"/>
            <w:noWrap/>
            <w:hideMark/>
          </w:tcPr>
          <w:p w:rsidR="00C00E33" w:rsidRPr="00B52CF8"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sz w:val="22"/>
              </w:rPr>
            </w:pPr>
            <w:r w:rsidRPr="00B52CF8">
              <w:rPr>
                <w:rFonts w:ascii="Montserrat" w:hAnsi="Montserrat"/>
                <w:b/>
                <w:sz w:val="22"/>
              </w:rPr>
              <w:t>-9.04%</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86" w:type="dxa"/>
            <w:vMerge/>
            <w:hideMark/>
          </w:tcPr>
          <w:p w:rsidR="00C00E33" w:rsidRPr="00B52CF8" w:rsidRDefault="00C00E33" w:rsidP="00E87599">
            <w:pPr>
              <w:jc w:val="center"/>
              <w:rPr>
                <w:rFonts w:ascii="Montserrat" w:hAnsi="Montserrat"/>
                <w:b w:val="0"/>
                <w:sz w:val="22"/>
              </w:rPr>
            </w:pPr>
          </w:p>
        </w:tc>
        <w:tc>
          <w:tcPr>
            <w:tcW w:w="2163" w:type="dxa"/>
            <w:noWrap/>
          </w:tcPr>
          <w:p w:rsidR="00C00E33" w:rsidRPr="00B52CF8" w:rsidRDefault="00C00E33"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sz w:val="22"/>
              </w:rPr>
            </w:pPr>
            <w:r w:rsidRPr="00B52CF8">
              <w:rPr>
                <w:rFonts w:ascii="Montserrat" w:hAnsi="Montserrat"/>
                <w:sz w:val="22"/>
              </w:rPr>
              <w:t>2020</w:t>
            </w:r>
          </w:p>
        </w:tc>
        <w:tc>
          <w:tcPr>
            <w:tcW w:w="1830" w:type="dxa"/>
            <w:noWrap/>
          </w:tcPr>
          <w:p w:rsidR="00C00E33" w:rsidRPr="00B52CF8"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b/>
                <w:sz w:val="22"/>
              </w:rPr>
            </w:pPr>
            <w:r w:rsidRPr="00B52CF8">
              <w:rPr>
                <w:rFonts w:ascii="Montserrat" w:hAnsi="Montserrat"/>
                <w:b/>
                <w:sz w:val="22"/>
              </w:rPr>
              <w:t>4.902</w:t>
            </w:r>
          </w:p>
        </w:tc>
        <w:tc>
          <w:tcPr>
            <w:tcW w:w="1854" w:type="dxa"/>
            <w:vMerge/>
            <w:hideMark/>
          </w:tcPr>
          <w:p w:rsidR="00C00E33" w:rsidRPr="00B52CF8" w:rsidRDefault="00C00E33" w:rsidP="00E87599">
            <w:pPr>
              <w:cnfStyle w:val="000000100000" w:firstRow="0" w:lastRow="0" w:firstColumn="0" w:lastColumn="0" w:oddVBand="0" w:evenVBand="0" w:oddHBand="1" w:evenHBand="0" w:firstRowFirstColumn="0" w:firstRowLastColumn="0" w:lastRowFirstColumn="0" w:lastRowLastColumn="0"/>
              <w:rPr>
                <w:rFonts w:ascii="Montserrat" w:hAnsi="Montserrat"/>
                <w:b/>
                <w:sz w:val="22"/>
              </w:rPr>
            </w:pPr>
          </w:p>
        </w:tc>
      </w:tr>
      <w:tr w:rsidR="00C00E33" w:rsidRPr="00B52CF8" w:rsidTr="00C00E33">
        <w:trPr>
          <w:trHeight w:val="387"/>
        </w:trPr>
        <w:tc>
          <w:tcPr>
            <w:cnfStyle w:val="001000000000" w:firstRow="0" w:lastRow="0" w:firstColumn="1" w:lastColumn="0" w:oddVBand="0" w:evenVBand="0" w:oddHBand="0" w:evenHBand="0" w:firstRowFirstColumn="0" w:firstRowLastColumn="0" w:lastRowFirstColumn="0" w:lastRowLastColumn="0"/>
            <w:tcW w:w="2186" w:type="dxa"/>
            <w:vMerge w:val="restart"/>
            <w:noWrap/>
            <w:hideMark/>
          </w:tcPr>
          <w:p w:rsidR="00C00E33" w:rsidRPr="00B52CF8" w:rsidRDefault="00C00E33" w:rsidP="00E87599">
            <w:pPr>
              <w:jc w:val="center"/>
              <w:rPr>
                <w:rFonts w:ascii="Montserrat" w:hAnsi="Montserrat"/>
                <w:b w:val="0"/>
                <w:sz w:val="22"/>
              </w:rPr>
            </w:pPr>
            <w:r w:rsidRPr="00B52CF8">
              <w:rPr>
                <w:rFonts w:ascii="Montserrat" w:hAnsi="Montserrat"/>
                <w:sz w:val="22"/>
              </w:rPr>
              <w:t>Tasa dtes/col</w:t>
            </w:r>
          </w:p>
        </w:tc>
        <w:tc>
          <w:tcPr>
            <w:tcW w:w="2163" w:type="dxa"/>
            <w:noWrap/>
            <w:hideMark/>
          </w:tcPr>
          <w:p w:rsidR="00C00E33" w:rsidRPr="00B52CF8"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rPr>
            </w:pPr>
            <w:r w:rsidRPr="00B52CF8">
              <w:rPr>
                <w:rFonts w:ascii="Montserrat" w:hAnsi="Montserrat"/>
                <w:sz w:val="22"/>
              </w:rPr>
              <w:t>2019</w:t>
            </w:r>
          </w:p>
        </w:tc>
        <w:tc>
          <w:tcPr>
            <w:tcW w:w="1830" w:type="dxa"/>
            <w:noWrap/>
            <w:hideMark/>
          </w:tcPr>
          <w:p w:rsidR="00C00E33" w:rsidRPr="00B52CF8" w:rsidRDefault="00C00E33" w:rsidP="00E87599">
            <w:pPr>
              <w:jc w:val="right"/>
              <w:cnfStyle w:val="000000000000" w:firstRow="0" w:lastRow="0" w:firstColumn="0" w:lastColumn="0" w:oddVBand="0" w:evenVBand="0" w:oddHBand="0" w:evenHBand="0" w:firstRowFirstColumn="0" w:firstRowLastColumn="0" w:lastRowFirstColumn="0" w:lastRowLastColumn="0"/>
              <w:rPr>
                <w:rFonts w:ascii="Montserrat" w:hAnsi="Montserrat"/>
                <w:b/>
                <w:sz w:val="22"/>
              </w:rPr>
            </w:pPr>
            <w:r w:rsidRPr="00B52CF8">
              <w:rPr>
                <w:rFonts w:ascii="Montserrat" w:hAnsi="Montserrat"/>
                <w:b/>
                <w:sz w:val="22"/>
              </w:rPr>
              <w:t>21,21</w:t>
            </w:r>
          </w:p>
        </w:tc>
        <w:tc>
          <w:tcPr>
            <w:tcW w:w="1854" w:type="dxa"/>
            <w:vMerge w:val="restart"/>
            <w:noWrap/>
            <w:hideMark/>
          </w:tcPr>
          <w:p w:rsidR="00C00E33" w:rsidRPr="00B52CF8"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sz w:val="22"/>
              </w:rPr>
            </w:pPr>
            <w:r w:rsidRPr="00B52CF8">
              <w:rPr>
                <w:rFonts w:ascii="Montserrat" w:hAnsi="Montserrat"/>
                <w:b/>
                <w:sz w:val="22"/>
              </w:rPr>
              <w:t>6.41%</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186" w:type="dxa"/>
            <w:vMerge/>
            <w:hideMark/>
          </w:tcPr>
          <w:p w:rsidR="00C00E33" w:rsidRPr="00B52CF8" w:rsidRDefault="00C00E33" w:rsidP="00E87599">
            <w:pPr>
              <w:rPr>
                <w:rFonts w:ascii="Montserrat" w:hAnsi="Montserrat"/>
                <w:sz w:val="22"/>
              </w:rPr>
            </w:pPr>
          </w:p>
        </w:tc>
        <w:tc>
          <w:tcPr>
            <w:tcW w:w="2163" w:type="dxa"/>
            <w:noWrap/>
          </w:tcPr>
          <w:p w:rsidR="00C00E33" w:rsidRPr="00B52CF8" w:rsidRDefault="00C00E33"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sz w:val="22"/>
              </w:rPr>
            </w:pPr>
            <w:r w:rsidRPr="00B52CF8">
              <w:rPr>
                <w:rFonts w:ascii="Montserrat" w:hAnsi="Montserrat"/>
                <w:sz w:val="22"/>
              </w:rPr>
              <w:t>2020</w:t>
            </w:r>
          </w:p>
        </w:tc>
        <w:tc>
          <w:tcPr>
            <w:tcW w:w="1830" w:type="dxa"/>
            <w:noWrap/>
          </w:tcPr>
          <w:p w:rsidR="00C00E33" w:rsidRPr="00B52CF8"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b/>
                <w:sz w:val="22"/>
              </w:rPr>
            </w:pPr>
            <w:r w:rsidRPr="00B52CF8">
              <w:rPr>
                <w:rFonts w:ascii="Montserrat" w:hAnsi="Montserrat"/>
                <w:b/>
                <w:sz w:val="22"/>
              </w:rPr>
              <w:t>22,57</w:t>
            </w:r>
          </w:p>
        </w:tc>
        <w:tc>
          <w:tcPr>
            <w:tcW w:w="1854" w:type="dxa"/>
            <w:vMerge/>
            <w:hideMark/>
          </w:tcPr>
          <w:p w:rsidR="00C00E33" w:rsidRPr="00B52CF8" w:rsidRDefault="00C00E33" w:rsidP="00E87599">
            <w:pPr>
              <w:cnfStyle w:val="000000100000" w:firstRow="0" w:lastRow="0" w:firstColumn="0" w:lastColumn="0" w:oddVBand="0" w:evenVBand="0" w:oddHBand="1" w:evenHBand="0" w:firstRowFirstColumn="0" w:firstRowLastColumn="0" w:lastRowFirstColumn="0" w:lastRowLastColumn="0"/>
              <w:rPr>
                <w:rFonts w:ascii="Montserrat" w:hAnsi="Montserrat"/>
                <w:sz w:val="22"/>
              </w:rPr>
            </w:pPr>
          </w:p>
        </w:tc>
      </w:tr>
    </w:tbl>
    <w:p w:rsidR="00243353" w:rsidRDefault="00243353" w:rsidP="00243353">
      <w:pPr>
        <w:rPr>
          <w:szCs w:val="20"/>
        </w:rPr>
      </w:pPr>
    </w:p>
    <w:p w:rsidR="00C00E33" w:rsidRPr="00A71B61" w:rsidRDefault="00C00E33" w:rsidP="00243353">
      <w:pPr>
        <w:rPr>
          <w:szCs w:val="20"/>
        </w:rPr>
      </w:pPr>
      <w:r w:rsidRPr="00B52CF8">
        <w:rPr>
          <w:rFonts w:ascii="Montserrat" w:hAnsi="Montserrat"/>
          <w:noProof/>
          <w:sz w:val="22"/>
        </w:rPr>
        <w:drawing>
          <wp:inline distT="0" distB="0" distL="0" distR="0" wp14:anchorId="7568A7A2" wp14:editId="4AF3F773">
            <wp:extent cx="5039995" cy="1935678"/>
            <wp:effectExtent l="0" t="0" r="8255" b="762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43353" w:rsidRPr="00A71B61" w:rsidRDefault="00243353" w:rsidP="00243353">
      <w:pPr>
        <w:rPr>
          <w:rFonts w:cs="Arial"/>
          <w:szCs w:val="20"/>
        </w:rPr>
      </w:pPr>
      <w:r w:rsidRPr="00A71B61">
        <w:rPr>
          <w:rFonts w:cs="Arial"/>
          <w:szCs w:val="20"/>
        </w:rPr>
        <w:t xml:space="preserve">Como subrayábamos al principio, el tiempo de confinamiento y posteriormente el teletrabajo y la enseñanza </w:t>
      </w:r>
      <w:r w:rsidRPr="00A71B61">
        <w:rPr>
          <w:rFonts w:cs="Arial"/>
          <w:i/>
          <w:szCs w:val="20"/>
        </w:rPr>
        <w:t>on line</w:t>
      </w:r>
      <w:r w:rsidRPr="00A71B61">
        <w:rPr>
          <w:rFonts w:cs="Arial"/>
          <w:szCs w:val="20"/>
        </w:rPr>
        <w:t xml:space="preserve"> en universidades y centros de estudio han influido de manera determinante tanto en el número de colectas en unidades móviles como en el número de donaciones en 2020. En concreto la unidad móvil de la Puerta del Sol no puedo estar presente en su ubicación desde el 24 de marzo hasta el 14 de junio, hecho que supone una pérdida de un 7.66% con respecto a 2019.</w:t>
      </w:r>
    </w:p>
    <w:p w:rsidR="00243353" w:rsidRPr="00A71B61" w:rsidRDefault="00243353" w:rsidP="00243353">
      <w:pPr>
        <w:rPr>
          <w:rFonts w:cs="Arial"/>
          <w:szCs w:val="20"/>
        </w:rPr>
      </w:pPr>
      <w:r w:rsidRPr="00A71B61">
        <w:rPr>
          <w:rFonts w:cs="Arial"/>
          <w:szCs w:val="20"/>
        </w:rPr>
        <w:t xml:space="preserve">Las anteriores circunstancias repercuten notablemente en el sector históricamente más importante, las empresas, con una disminución del 7.68% y </w:t>
      </w:r>
      <w:r w:rsidRPr="00A71B61">
        <w:rPr>
          <w:rFonts w:cs="Arial"/>
          <w:szCs w:val="20"/>
        </w:rPr>
        <w:lastRenderedPageBreak/>
        <w:t>aumenta porcentualmente en tolos los puntos de calle tanto de Madrid Capital como en el resto de las poblaciones de la Comunidad.</w:t>
      </w:r>
    </w:p>
    <w:p w:rsidR="00243353" w:rsidRDefault="00C00E33" w:rsidP="00243353">
      <w:pPr>
        <w:rPr>
          <w:rFonts w:cs="Arial"/>
          <w:szCs w:val="20"/>
        </w:rPr>
      </w:pPr>
      <w:r w:rsidRPr="00B52CF8">
        <w:rPr>
          <w:rFonts w:ascii="Montserrat" w:hAnsi="Montserrat"/>
          <w:noProof/>
          <w:sz w:val="22"/>
        </w:rPr>
        <w:drawing>
          <wp:inline distT="0" distB="0" distL="0" distR="0" wp14:anchorId="5107DFB1" wp14:editId="361D5E32">
            <wp:extent cx="5201392" cy="2137559"/>
            <wp:effectExtent l="0" t="0" r="18415" b="15240"/>
            <wp:docPr id="361" name="Gráfico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00E33" w:rsidRDefault="00C00E33" w:rsidP="00243353">
      <w:pPr>
        <w:rPr>
          <w:rFonts w:cs="Arial"/>
          <w:szCs w:val="20"/>
        </w:rPr>
      </w:pPr>
    </w:p>
    <w:tbl>
      <w:tblPr>
        <w:tblStyle w:val="Tabladecuadrcula5oscura-nfasis1"/>
        <w:tblW w:w="8129" w:type="dxa"/>
        <w:tblLook w:val="0420" w:firstRow="1" w:lastRow="0" w:firstColumn="0" w:lastColumn="0" w:noHBand="0" w:noVBand="1"/>
      </w:tblPr>
      <w:tblGrid>
        <w:gridCol w:w="4047"/>
        <w:gridCol w:w="1517"/>
        <w:gridCol w:w="1517"/>
        <w:gridCol w:w="1048"/>
      </w:tblGrid>
      <w:tr w:rsidR="00C00E33" w:rsidRPr="00B52CF8" w:rsidTr="00C00E33">
        <w:trPr>
          <w:cnfStyle w:val="100000000000" w:firstRow="1" w:lastRow="0" w:firstColumn="0" w:lastColumn="0" w:oddVBand="0" w:evenVBand="0" w:oddHBand="0" w:evenHBand="0" w:firstRowFirstColumn="0" w:firstRowLastColumn="0" w:lastRowFirstColumn="0" w:lastRowLastColumn="0"/>
          <w:trHeight w:val="320"/>
        </w:trPr>
        <w:tc>
          <w:tcPr>
            <w:tcW w:w="4047" w:type="dxa"/>
            <w:noWrap/>
            <w:hideMark/>
          </w:tcPr>
          <w:p w:rsidR="00C00E33" w:rsidRPr="00B52CF8" w:rsidRDefault="00C00E33" w:rsidP="00E87599">
            <w:pPr>
              <w:jc w:val="center"/>
              <w:rPr>
                <w:rFonts w:ascii="Montserrat" w:hAnsi="Montserrat"/>
                <w:b w:val="0"/>
                <w:bCs w:val="0"/>
                <w:sz w:val="22"/>
              </w:rPr>
            </w:pPr>
            <w:r w:rsidRPr="00B52CF8">
              <w:rPr>
                <w:rFonts w:ascii="Montserrat" w:hAnsi="Montserrat"/>
                <w:sz w:val="22"/>
              </w:rPr>
              <w:t>Donación x sectores %</w:t>
            </w:r>
          </w:p>
        </w:tc>
        <w:tc>
          <w:tcPr>
            <w:tcW w:w="1517" w:type="dxa"/>
            <w:noWrap/>
            <w:hideMark/>
          </w:tcPr>
          <w:p w:rsidR="00C00E33" w:rsidRPr="00B52CF8" w:rsidRDefault="00C00E33" w:rsidP="00E87599">
            <w:pPr>
              <w:jc w:val="center"/>
              <w:rPr>
                <w:rFonts w:ascii="Montserrat" w:hAnsi="Montserrat"/>
                <w:b w:val="0"/>
                <w:bCs w:val="0"/>
                <w:sz w:val="22"/>
              </w:rPr>
            </w:pPr>
            <w:r w:rsidRPr="00B52CF8">
              <w:rPr>
                <w:rFonts w:ascii="Montserrat" w:hAnsi="Montserrat"/>
                <w:sz w:val="22"/>
              </w:rPr>
              <w:t>2018</w:t>
            </w:r>
          </w:p>
        </w:tc>
        <w:tc>
          <w:tcPr>
            <w:tcW w:w="1517" w:type="dxa"/>
            <w:noWrap/>
            <w:hideMark/>
          </w:tcPr>
          <w:p w:rsidR="00C00E33" w:rsidRPr="00B52CF8" w:rsidRDefault="00C00E33" w:rsidP="00E87599">
            <w:pPr>
              <w:jc w:val="center"/>
              <w:rPr>
                <w:rFonts w:ascii="Montserrat" w:hAnsi="Montserrat"/>
                <w:b w:val="0"/>
                <w:bCs w:val="0"/>
                <w:sz w:val="22"/>
              </w:rPr>
            </w:pPr>
            <w:r w:rsidRPr="00B52CF8">
              <w:rPr>
                <w:rFonts w:ascii="Montserrat" w:hAnsi="Montserrat"/>
                <w:sz w:val="22"/>
              </w:rPr>
              <w:t>2019</w:t>
            </w:r>
          </w:p>
        </w:tc>
        <w:tc>
          <w:tcPr>
            <w:tcW w:w="1048" w:type="dxa"/>
            <w:noWrap/>
            <w:hideMark/>
          </w:tcPr>
          <w:p w:rsidR="00C00E33" w:rsidRPr="00B52CF8" w:rsidRDefault="00C00E33" w:rsidP="00E87599">
            <w:pPr>
              <w:jc w:val="center"/>
              <w:rPr>
                <w:rFonts w:ascii="Montserrat" w:hAnsi="Montserrat"/>
                <w:b w:val="0"/>
                <w:bCs w:val="0"/>
                <w:sz w:val="22"/>
              </w:rPr>
            </w:pPr>
            <w:r w:rsidRPr="00B52CF8">
              <w:rPr>
                <w:rFonts w:ascii="Montserrat" w:hAnsi="Montserrat"/>
                <w:sz w:val="22"/>
              </w:rPr>
              <w:t>2020</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Empresas</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27,87%</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28,57%</w:t>
            </w:r>
          </w:p>
        </w:tc>
        <w:tc>
          <w:tcPr>
            <w:tcW w:w="1048" w:type="dxa"/>
            <w:noWrap/>
            <w:hideMark/>
          </w:tcPr>
          <w:p w:rsidR="00C00E33" w:rsidRPr="00B52CF8" w:rsidRDefault="00C00E33" w:rsidP="00E87599">
            <w:pPr>
              <w:jc w:val="right"/>
              <w:rPr>
                <w:rFonts w:ascii="Montserrat" w:hAnsi="Montserrat"/>
                <w:color w:val="C00000"/>
                <w:sz w:val="22"/>
              </w:rPr>
            </w:pPr>
            <w:r w:rsidRPr="00B52CF8">
              <w:rPr>
                <w:rFonts w:ascii="Montserrat" w:hAnsi="Montserrat"/>
                <w:color w:val="C00000"/>
                <w:sz w:val="22"/>
              </w:rPr>
              <w:t>7,68%</w:t>
            </w:r>
          </w:p>
        </w:tc>
      </w:tr>
      <w:tr w:rsidR="00C00E33" w:rsidRPr="00B52CF8" w:rsidTr="00C00E33">
        <w:trPr>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Madrid Capital</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26,64%</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26,24%</w:t>
            </w:r>
          </w:p>
        </w:tc>
        <w:tc>
          <w:tcPr>
            <w:tcW w:w="1048" w:type="dxa"/>
            <w:noWrap/>
            <w:hideMark/>
          </w:tcPr>
          <w:p w:rsidR="00C00E33" w:rsidRPr="00B52CF8" w:rsidRDefault="00C00E33" w:rsidP="00E87599">
            <w:pPr>
              <w:jc w:val="right"/>
              <w:rPr>
                <w:rFonts w:ascii="Montserrat" w:hAnsi="Montserrat"/>
                <w:color w:val="70AD47"/>
                <w:sz w:val="22"/>
              </w:rPr>
            </w:pPr>
            <w:r w:rsidRPr="00B52CF8">
              <w:rPr>
                <w:rFonts w:ascii="Montserrat" w:hAnsi="Montserrat"/>
                <w:color w:val="70AD47"/>
                <w:sz w:val="22"/>
              </w:rPr>
              <w:t>35,20%</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Pueblos Comunidad de Madrid</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14,33%</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14,93%</w:t>
            </w:r>
          </w:p>
        </w:tc>
        <w:tc>
          <w:tcPr>
            <w:tcW w:w="1048" w:type="dxa"/>
            <w:noWrap/>
            <w:hideMark/>
          </w:tcPr>
          <w:p w:rsidR="00C00E33" w:rsidRPr="00B52CF8" w:rsidRDefault="00C00E33" w:rsidP="00E87599">
            <w:pPr>
              <w:jc w:val="right"/>
              <w:rPr>
                <w:rFonts w:ascii="Montserrat" w:hAnsi="Montserrat"/>
                <w:color w:val="70AD47"/>
                <w:sz w:val="22"/>
              </w:rPr>
            </w:pPr>
            <w:r w:rsidRPr="00B52CF8">
              <w:rPr>
                <w:rFonts w:ascii="Montserrat" w:hAnsi="Montserrat"/>
                <w:color w:val="70AD47"/>
                <w:sz w:val="22"/>
              </w:rPr>
              <w:t>24,20%</w:t>
            </w:r>
          </w:p>
        </w:tc>
      </w:tr>
      <w:tr w:rsidR="00C00E33" w:rsidRPr="00B52CF8" w:rsidTr="00C00E33">
        <w:trPr>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Universidad</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8,65%</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7,97%</w:t>
            </w:r>
          </w:p>
        </w:tc>
        <w:tc>
          <w:tcPr>
            <w:tcW w:w="1048" w:type="dxa"/>
            <w:noWrap/>
            <w:hideMark/>
          </w:tcPr>
          <w:p w:rsidR="00C00E33" w:rsidRPr="00B52CF8" w:rsidRDefault="00C00E33" w:rsidP="00E87599">
            <w:pPr>
              <w:jc w:val="right"/>
              <w:rPr>
                <w:rFonts w:ascii="Montserrat" w:hAnsi="Montserrat"/>
                <w:color w:val="C00000"/>
                <w:sz w:val="22"/>
              </w:rPr>
            </w:pPr>
            <w:r w:rsidRPr="00B52CF8">
              <w:rPr>
                <w:rFonts w:ascii="Montserrat" w:hAnsi="Montserrat"/>
                <w:color w:val="C00000"/>
                <w:sz w:val="22"/>
              </w:rPr>
              <w:t>3,59%</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Corona Metropolitana</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8,57%</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8,35%</w:t>
            </w:r>
          </w:p>
        </w:tc>
        <w:tc>
          <w:tcPr>
            <w:tcW w:w="1048" w:type="dxa"/>
            <w:noWrap/>
            <w:hideMark/>
          </w:tcPr>
          <w:p w:rsidR="00C00E33" w:rsidRPr="00B52CF8" w:rsidRDefault="00C00E33" w:rsidP="00E87599">
            <w:pPr>
              <w:jc w:val="right"/>
              <w:rPr>
                <w:rFonts w:ascii="Montserrat" w:hAnsi="Montserrat"/>
                <w:color w:val="70AD47"/>
                <w:sz w:val="22"/>
              </w:rPr>
            </w:pPr>
            <w:r w:rsidRPr="00B52CF8">
              <w:rPr>
                <w:rFonts w:ascii="Montserrat" w:hAnsi="Montserrat"/>
                <w:color w:val="70AD47"/>
                <w:sz w:val="22"/>
              </w:rPr>
              <w:t>15,05%</w:t>
            </w:r>
          </w:p>
        </w:tc>
      </w:tr>
      <w:tr w:rsidR="00C00E33" w:rsidRPr="00B52CF8" w:rsidTr="00C00E33">
        <w:trPr>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Centros de Enseñanza</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5,21%</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5,88%</w:t>
            </w:r>
          </w:p>
        </w:tc>
        <w:tc>
          <w:tcPr>
            <w:tcW w:w="1048" w:type="dxa"/>
            <w:noWrap/>
            <w:hideMark/>
          </w:tcPr>
          <w:p w:rsidR="00C00E33" w:rsidRPr="00B52CF8" w:rsidRDefault="00C00E33" w:rsidP="00E87599">
            <w:pPr>
              <w:jc w:val="right"/>
              <w:rPr>
                <w:rFonts w:ascii="Montserrat" w:hAnsi="Montserrat"/>
                <w:color w:val="C00000"/>
                <w:sz w:val="22"/>
              </w:rPr>
            </w:pPr>
            <w:r w:rsidRPr="00B52CF8">
              <w:rPr>
                <w:rFonts w:ascii="Montserrat" w:hAnsi="Montserrat"/>
                <w:color w:val="C00000"/>
                <w:sz w:val="22"/>
              </w:rPr>
              <w:t>3,48%</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Centros Comerciales</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4,28%</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3,52%</w:t>
            </w:r>
          </w:p>
        </w:tc>
        <w:tc>
          <w:tcPr>
            <w:tcW w:w="1048" w:type="dxa"/>
            <w:noWrap/>
            <w:hideMark/>
          </w:tcPr>
          <w:p w:rsidR="00C00E33" w:rsidRPr="00B52CF8" w:rsidRDefault="00C00E33" w:rsidP="00E87599">
            <w:pPr>
              <w:jc w:val="right"/>
              <w:rPr>
                <w:rFonts w:ascii="Montserrat" w:hAnsi="Montserrat"/>
                <w:color w:val="70AD47"/>
                <w:sz w:val="22"/>
              </w:rPr>
            </w:pPr>
            <w:r w:rsidRPr="00B52CF8">
              <w:rPr>
                <w:rFonts w:ascii="Montserrat" w:hAnsi="Montserrat"/>
                <w:color w:val="70AD47"/>
                <w:sz w:val="22"/>
              </w:rPr>
              <w:t>5,26%</w:t>
            </w:r>
          </w:p>
        </w:tc>
      </w:tr>
      <w:tr w:rsidR="00C00E33" w:rsidRPr="00B52CF8" w:rsidTr="00C00E33">
        <w:trPr>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Centros de Culto</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2,08%</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1,85%</w:t>
            </w:r>
          </w:p>
        </w:tc>
        <w:tc>
          <w:tcPr>
            <w:tcW w:w="1048" w:type="dxa"/>
            <w:noWrap/>
            <w:hideMark/>
          </w:tcPr>
          <w:p w:rsidR="00C00E33" w:rsidRPr="00B52CF8" w:rsidRDefault="00C00E33" w:rsidP="00E87599">
            <w:pPr>
              <w:jc w:val="right"/>
              <w:rPr>
                <w:rFonts w:ascii="Montserrat" w:hAnsi="Montserrat"/>
                <w:color w:val="70AD47"/>
                <w:sz w:val="22"/>
              </w:rPr>
            </w:pPr>
            <w:r w:rsidRPr="00B52CF8">
              <w:rPr>
                <w:rFonts w:ascii="Montserrat" w:hAnsi="Montserrat"/>
                <w:color w:val="70AD47"/>
                <w:sz w:val="22"/>
              </w:rPr>
              <w:t>1,90%</w:t>
            </w:r>
          </w:p>
        </w:tc>
      </w:tr>
      <w:tr w:rsidR="00C00E33" w:rsidRPr="00B52CF8" w:rsidTr="00C00E33">
        <w:trPr>
          <w:cnfStyle w:val="000000100000" w:firstRow="0" w:lastRow="0" w:firstColumn="0" w:lastColumn="0" w:oddVBand="0" w:evenVBand="0" w:oddHBand="1" w:evenHBand="0" w:firstRowFirstColumn="0" w:firstRowLastColumn="0" w:lastRowFirstColumn="0" w:lastRowLastColumn="0"/>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Centro Donación Cruz Roja</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1,70%</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1,58%</w:t>
            </w:r>
          </w:p>
        </w:tc>
        <w:tc>
          <w:tcPr>
            <w:tcW w:w="1048" w:type="dxa"/>
            <w:noWrap/>
            <w:hideMark/>
          </w:tcPr>
          <w:p w:rsidR="00C00E33" w:rsidRPr="00B52CF8" w:rsidRDefault="00C00E33" w:rsidP="00E87599">
            <w:pPr>
              <w:jc w:val="right"/>
              <w:rPr>
                <w:rFonts w:ascii="Montserrat" w:hAnsi="Montserrat"/>
                <w:color w:val="70AD47"/>
                <w:sz w:val="22"/>
              </w:rPr>
            </w:pPr>
            <w:r w:rsidRPr="00B52CF8">
              <w:rPr>
                <w:rFonts w:ascii="Montserrat" w:hAnsi="Montserrat"/>
                <w:color w:val="70AD47"/>
                <w:sz w:val="22"/>
              </w:rPr>
              <w:t>3,28%</w:t>
            </w:r>
          </w:p>
        </w:tc>
      </w:tr>
      <w:tr w:rsidR="00C00E33" w:rsidRPr="00B52CF8" w:rsidTr="00C00E33">
        <w:trPr>
          <w:trHeight w:val="320"/>
        </w:trPr>
        <w:tc>
          <w:tcPr>
            <w:tcW w:w="4047" w:type="dxa"/>
            <w:noWrap/>
            <w:hideMark/>
          </w:tcPr>
          <w:p w:rsidR="00C00E33" w:rsidRPr="00B52CF8" w:rsidRDefault="00C00E33" w:rsidP="00E87599">
            <w:pPr>
              <w:rPr>
                <w:rFonts w:ascii="Montserrat" w:hAnsi="Montserrat"/>
                <w:sz w:val="22"/>
              </w:rPr>
            </w:pPr>
            <w:r w:rsidRPr="00B52CF8">
              <w:rPr>
                <w:rFonts w:ascii="Montserrat" w:hAnsi="Montserrat"/>
                <w:sz w:val="22"/>
              </w:rPr>
              <w:t>Otros</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0,68%</w:t>
            </w:r>
          </w:p>
        </w:tc>
        <w:tc>
          <w:tcPr>
            <w:tcW w:w="1517" w:type="dxa"/>
            <w:noWrap/>
            <w:hideMark/>
          </w:tcPr>
          <w:p w:rsidR="00C00E33" w:rsidRPr="00B52CF8" w:rsidRDefault="00C00E33" w:rsidP="00E87599">
            <w:pPr>
              <w:jc w:val="right"/>
              <w:rPr>
                <w:rFonts w:ascii="Montserrat" w:hAnsi="Montserrat"/>
                <w:sz w:val="22"/>
              </w:rPr>
            </w:pPr>
            <w:r w:rsidRPr="00B52CF8">
              <w:rPr>
                <w:rFonts w:ascii="Montserrat" w:hAnsi="Montserrat"/>
                <w:sz w:val="22"/>
              </w:rPr>
              <w:t>1,11%</w:t>
            </w:r>
          </w:p>
        </w:tc>
        <w:tc>
          <w:tcPr>
            <w:tcW w:w="1048" w:type="dxa"/>
            <w:noWrap/>
            <w:hideMark/>
          </w:tcPr>
          <w:p w:rsidR="00C00E33" w:rsidRPr="00B52CF8" w:rsidRDefault="00C00E33" w:rsidP="00E87599">
            <w:pPr>
              <w:jc w:val="right"/>
              <w:rPr>
                <w:rFonts w:ascii="Montserrat" w:hAnsi="Montserrat"/>
                <w:color w:val="C00000"/>
                <w:sz w:val="22"/>
              </w:rPr>
            </w:pPr>
            <w:r w:rsidRPr="00B52CF8">
              <w:rPr>
                <w:rFonts w:ascii="Montserrat" w:hAnsi="Montserrat"/>
                <w:color w:val="C00000"/>
                <w:sz w:val="22"/>
              </w:rPr>
              <w:t>0,36%</w:t>
            </w:r>
          </w:p>
        </w:tc>
      </w:tr>
    </w:tbl>
    <w:p w:rsidR="00C00E33" w:rsidRDefault="00C00E33" w:rsidP="00243353">
      <w:pPr>
        <w:rPr>
          <w:rFonts w:cs="Arial"/>
          <w:szCs w:val="20"/>
        </w:rPr>
      </w:pPr>
    </w:p>
    <w:p w:rsidR="00C00E33" w:rsidRPr="00A71B61" w:rsidRDefault="00E87599" w:rsidP="00243353">
      <w:pPr>
        <w:rPr>
          <w:rFonts w:cs="Arial"/>
          <w:szCs w:val="20"/>
        </w:rPr>
      </w:pPr>
      <w:r w:rsidRPr="00B52CF8">
        <w:rPr>
          <w:rFonts w:ascii="Montserrat" w:hAnsi="Montserrat"/>
          <w:noProof/>
          <w:color w:val="FF0000"/>
          <w:sz w:val="22"/>
        </w:rPr>
        <mc:AlternateContent>
          <mc:Choice Requires="wps">
            <w:drawing>
              <wp:anchor distT="0" distB="0" distL="114300" distR="114300" simplePos="0" relativeHeight="251764736" behindDoc="0" locked="0" layoutInCell="1" allowOverlap="1" wp14:anchorId="3A643308" wp14:editId="310681C4">
                <wp:simplePos x="0" y="0"/>
                <wp:positionH relativeFrom="column">
                  <wp:posOffset>3288689</wp:posOffset>
                </wp:positionH>
                <wp:positionV relativeFrom="paragraph">
                  <wp:posOffset>511150</wp:posOffset>
                </wp:positionV>
                <wp:extent cx="266700" cy="114300"/>
                <wp:effectExtent l="0" t="0" r="19050" b="19050"/>
                <wp:wrapNone/>
                <wp:docPr id="368" name="Flecha izquierda y derecha 368"/>
                <wp:cNvGraphicFramePr/>
                <a:graphic xmlns:a="http://schemas.openxmlformats.org/drawingml/2006/main">
                  <a:graphicData uri="http://schemas.microsoft.com/office/word/2010/wordprocessingShape">
                    <wps:wsp>
                      <wps:cNvSpPr/>
                      <wps:spPr>
                        <a:xfrm>
                          <a:off x="0" y="0"/>
                          <a:ext cx="266700" cy="1143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97BC2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echa izquierda y derecha 368" o:spid="_x0000_s1026" type="#_x0000_t69" style="position:absolute;margin-left:258.95pt;margin-top:40.25pt;width:21pt;height:9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" adj="4629" fillcolor="#5b9bd5 [3204]" strokecolor="#1f4d78 [1604]"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62688" behindDoc="0" locked="0" layoutInCell="1" allowOverlap="1" wp14:anchorId="489C6D2C" wp14:editId="3415068E">
                <wp:simplePos x="0" y="0"/>
                <wp:positionH relativeFrom="column">
                  <wp:posOffset>4719081</wp:posOffset>
                </wp:positionH>
                <wp:positionV relativeFrom="paragraph">
                  <wp:posOffset>836888</wp:posOffset>
                </wp:positionV>
                <wp:extent cx="114300" cy="180975"/>
                <wp:effectExtent l="19050" t="19050" r="38100" b="28575"/>
                <wp:wrapNone/>
                <wp:docPr id="367" name="Flecha arriba 367"/>
                <wp:cNvGraphicFramePr/>
                <a:graphic xmlns:a="http://schemas.openxmlformats.org/drawingml/2006/main">
                  <a:graphicData uri="http://schemas.microsoft.com/office/word/2010/wordprocessingShape">
                    <wps:wsp>
                      <wps:cNvSpPr/>
                      <wps:spPr>
                        <a:xfrm>
                          <a:off x="0" y="0"/>
                          <a:ext cx="114300" cy="180975"/>
                        </a:xfrm>
                        <a:prstGeom prst="upArrow">
                          <a:avLst/>
                        </a:prstGeom>
                        <a:solidFill>
                          <a:schemeClr val="accent6">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56BBC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367" o:spid="_x0000_s1026" type="#_x0000_t68" style="position:absolute;margin-left:371.6pt;margin-top:65.9pt;width:9pt;height:14.2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" adj="6821" fillcolor="#a8d08d [1945]" strokecolor="#525252 [1606]"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60640" behindDoc="0" locked="0" layoutInCell="1" allowOverlap="1" wp14:anchorId="6B2977D8" wp14:editId="30E78CC9">
                <wp:simplePos x="0" y="0"/>
                <wp:positionH relativeFrom="column">
                  <wp:posOffset>4391487</wp:posOffset>
                </wp:positionH>
                <wp:positionV relativeFrom="paragraph">
                  <wp:posOffset>398096</wp:posOffset>
                </wp:positionV>
                <wp:extent cx="114300" cy="180975"/>
                <wp:effectExtent l="19050" t="19050" r="38100" b="28575"/>
                <wp:wrapNone/>
                <wp:docPr id="366" name="Flecha arriba 366"/>
                <wp:cNvGraphicFramePr/>
                <a:graphic xmlns:a="http://schemas.openxmlformats.org/drawingml/2006/main">
                  <a:graphicData uri="http://schemas.microsoft.com/office/word/2010/wordprocessingShape">
                    <wps:wsp>
                      <wps:cNvSpPr/>
                      <wps:spPr>
                        <a:xfrm>
                          <a:off x="0" y="0"/>
                          <a:ext cx="114300" cy="180975"/>
                        </a:xfrm>
                        <a:prstGeom prst="upArrow">
                          <a:avLst/>
                        </a:prstGeom>
                        <a:solidFill>
                          <a:schemeClr val="accent6">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9E4A9F" id="Flecha arriba 366" o:spid="_x0000_s1026" type="#_x0000_t68" style="position:absolute;margin-left:345.8pt;margin-top:31.35pt;width:9pt;height:14.2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" adj="6821" fillcolor="#a8d08d [1945]" strokecolor="#525252 [1606]"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58592" behindDoc="0" locked="0" layoutInCell="1" allowOverlap="1" wp14:anchorId="5531165D" wp14:editId="5733D975">
                <wp:simplePos x="0" y="0"/>
                <wp:positionH relativeFrom="column">
                  <wp:posOffset>4012458</wp:posOffset>
                </wp:positionH>
                <wp:positionV relativeFrom="paragraph">
                  <wp:posOffset>349250</wp:posOffset>
                </wp:positionV>
                <wp:extent cx="114300" cy="180975"/>
                <wp:effectExtent l="19050" t="19050" r="38100" b="28575"/>
                <wp:wrapNone/>
                <wp:docPr id="365" name="Flecha arriba 365"/>
                <wp:cNvGraphicFramePr/>
                <a:graphic xmlns:a="http://schemas.openxmlformats.org/drawingml/2006/main">
                  <a:graphicData uri="http://schemas.microsoft.com/office/word/2010/wordprocessingShape">
                    <wps:wsp>
                      <wps:cNvSpPr/>
                      <wps:spPr>
                        <a:xfrm>
                          <a:off x="0" y="0"/>
                          <a:ext cx="114300" cy="180975"/>
                        </a:xfrm>
                        <a:prstGeom prst="upArrow">
                          <a:avLst/>
                        </a:prstGeom>
                        <a:solidFill>
                          <a:schemeClr val="accent6">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3EDC3B" id="Flecha arriba 365" o:spid="_x0000_s1026" type="#_x0000_t68" style="position:absolute;margin-left:315.95pt;margin-top:27.5pt;width:9pt;height:14.2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" adj="6821" fillcolor="#a8d08d [1945]" strokecolor="#525252 [1606]"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56544" behindDoc="0" locked="0" layoutInCell="1" allowOverlap="1" wp14:anchorId="0A7ECC53" wp14:editId="3D7143C0">
                <wp:simplePos x="0" y="0"/>
                <wp:positionH relativeFrom="column">
                  <wp:posOffset>3680501</wp:posOffset>
                </wp:positionH>
                <wp:positionV relativeFrom="paragraph">
                  <wp:posOffset>349250</wp:posOffset>
                </wp:positionV>
                <wp:extent cx="114300" cy="180975"/>
                <wp:effectExtent l="19050" t="19050" r="38100" b="28575"/>
                <wp:wrapNone/>
                <wp:docPr id="364" name="Flecha arriba 364"/>
                <wp:cNvGraphicFramePr/>
                <a:graphic xmlns:a="http://schemas.openxmlformats.org/drawingml/2006/main">
                  <a:graphicData uri="http://schemas.microsoft.com/office/word/2010/wordprocessingShape">
                    <wps:wsp>
                      <wps:cNvSpPr/>
                      <wps:spPr>
                        <a:xfrm>
                          <a:off x="0" y="0"/>
                          <a:ext cx="114300" cy="180975"/>
                        </a:xfrm>
                        <a:prstGeom prst="upArrow">
                          <a:avLst/>
                        </a:prstGeom>
                        <a:solidFill>
                          <a:schemeClr val="accent6">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DFBBEA" id="Flecha arriba 364" o:spid="_x0000_s1026" type="#_x0000_t68" style="position:absolute;margin-left:289.8pt;margin-top:27.5pt;width:9pt;height:14.2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" adj="6821" fillcolor="#a8d08d [1945]" strokecolor="#525252 [1606]"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54496" behindDoc="0" locked="0" layoutInCell="1" allowOverlap="1" wp14:anchorId="0A436782" wp14:editId="56E69189">
                <wp:simplePos x="0" y="0"/>
                <wp:positionH relativeFrom="column">
                  <wp:posOffset>3040083</wp:posOffset>
                </wp:positionH>
                <wp:positionV relativeFrom="paragraph">
                  <wp:posOffset>554405</wp:posOffset>
                </wp:positionV>
                <wp:extent cx="114300" cy="180975"/>
                <wp:effectExtent l="19050" t="19050" r="38100" b="28575"/>
                <wp:wrapNone/>
                <wp:docPr id="4" name="Flecha arriba 4"/>
                <wp:cNvGraphicFramePr/>
                <a:graphic xmlns:a="http://schemas.openxmlformats.org/drawingml/2006/main">
                  <a:graphicData uri="http://schemas.microsoft.com/office/word/2010/wordprocessingShape">
                    <wps:wsp>
                      <wps:cNvSpPr/>
                      <wps:spPr>
                        <a:xfrm>
                          <a:off x="0" y="0"/>
                          <a:ext cx="114300" cy="180975"/>
                        </a:xfrm>
                        <a:prstGeom prst="upArrow">
                          <a:avLst/>
                        </a:prstGeom>
                        <a:solidFill>
                          <a:schemeClr val="accent6">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B402F1" id="Flecha arriba 4" o:spid="_x0000_s1026" type="#_x0000_t68" style="position:absolute;margin-left:239.4pt;margin-top:43.65pt;width:9pt;height:14.2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" adj="6821" fillcolor="#a8d08d [1945]" strokecolor="#525252 [1606]"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52448" behindDoc="0" locked="0" layoutInCell="1" allowOverlap="1" wp14:anchorId="13EB3D60" wp14:editId="429E3AEE">
                <wp:simplePos x="0" y="0"/>
                <wp:positionH relativeFrom="column">
                  <wp:posOffset>2612571</wp:posOffset>
                </wp:positionH>
                <wp:positionV relativeFrom="paragraph">
                  <wp:posOffset>848567</wp:posOffset>
                </wp:positionV>
                <wp:extent cx="266700" cy="114300"/>
                <wp:effectExtent l="0" t="0" r="19050" b="19050"/>
                <wp:wrapNone/>
                <wp:docPr id="12" name="Flecha izquierda y derecha 12"/>
                <wp:cNvGraphicFramePr/>
                <a:graphic xmlns:a="http://schemas.openxmlformats.org/drawingml/2006/main">
                  <a:graphicData uri="http://schemas.microsoft.com/office/word/2010/wordprocessingShape">
                    <wps:wsp>
                      <wps:cNvSpPr/>
                      <wps:spPr>
                        <a:xfrm>
                          <a:off x="0" y="0"/>
                          <a:ext cx="266700" cy="1143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59BC76" id="Flecha izquierda y derecha 12" o:spid="_x0000_s1026" type="#_x0000_t69" style="position:absolute;margin-left:205.7pt;margin-top:66.8pt;width:21pt;height:9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" adj="4629" fillcolor="#5b9bd5 [3204]" strokecolor="#1f4d78 [1604]"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50400" behindDoc="0" locked="0" layoutInCell="1" allowOverlap="1" wp14:anchorId="42BDCB04" wp14:editId="06224361">
                <wp:simplePos x="0" y="0"/>
                <wp:positionH relativeFrom="column">
                  <wp:posOffset>1698403</wp:posOffset>
                </wp:positionH>
                <wp:positionV relativeFrom="paragraph">
                  <wp:posOffset>801444</wp:posOffset>
                </wp:positionV>
                <wp:extent cx="95250" cy="200025"/>
                <wp:effectExtent l="19050" t="0" r="38100" b="47625"/>
                <wp:wrapNone/>
                <wp:docPr id="29" name="Flecha abajo 29"/>
                <wp:cNvGraphicFramePr/>
                <a:graphic xmlns:a="http://schemas.openxmlformats.org/drawingml/2006/main">
                  <a:graphicData uri="http://schemas.microsoft.com/office/word/2010/wordprocessingShape">
                    <wps:wsp>
                      <wps:cNvSpPr/>
                      <wps:spPr>
                        <a:xfrm>
                          <a:off x="0" y="0"/>
                          <a:ext cx="95250" cy="20002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905D6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9" o:spid="_x0000_s1026" type="#_x0000_t67" style="position:absolute;margin-left:133.75pt;margin-top:63.1pt;width:7.5pt;height:15.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" adj="16457" fillcolor="red [3205]" strokecolor="#7f0000 [1605]"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48352" behindDoc="0" locked="0" layoutInCell="1" allowOverlap="1" wp14:anchorId="4866FFF8" wp14:editId="3276A98E">
                <wp:simplePos x="0" y="0"/>
                <wp:positionH relativeFrom="column">
                  <wp:posOffset>1246910</wp:posOffset>
                </wp:positionH>
                <wp:positionV relativeFrom="paragraph">
                  <wp:posOffset>444805</wp:posOffset>
                </wp:positionV>
                <wp:extent cx="266700" cy="114300"/>
                <wp:effectExtent l="0" t="0" r="19050" b="19050"/>
                <wp:wrapNone/>
                <wp:docPr id="30" name="Flecha izquierda y derecha 30"/>
                <wp:cNvGraphicFramePr/>
                <a:graphic xmlns:a="http://schemas.openxmlformats.org/drawingml/2006/main">
                  <a:graphicData uri="http://schemas.microsoft.com/office/word/2010/wordprocessingShape">
                    <wps:wsp>
                      <wps:cNvSpPr/>
                      <wps:spPr>
                        <a:xfrm>
                          <a:off x="0" y="0"/>
                          <a:ext cx="266700" cy="1143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1BC5C1" id="Flecha izquierda y derecha 30" o:spid="_x0000_s1026" type="#_x0000_t69" style="position:absolute;margin-left:98.2pt;margin-top:35pt;width:21pt;height:9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" adj="4629" fillcolor="#5b9bd5 [3204]" strokecolor="#1f4d78 [1604]" strokeweight="1pt"/>
            </w:pict>
          </mc:Fallback>
        </mc:AlternateContent>
      </w:r>
      <w:r w:rsidRPr="00B52CF8">
        <w:rPr>
          <w:rFonts w:ascii="Montserrat" w:hAnsi="Montserrat"/>
          <w:noProof/>
          <w:color w:val="FF0000"/>
          <w:sz w:val="22"/>
        </w:rPr>
        <mc:AlternateContent>
          <mc:Choice Requires="wps">
            <w:drawing>
              <wp:anchor distT="0" distB="0" distL="114300" distR="114300" simplePos="0" relativeHeight="251746304" behindDoc="0" locked="0" layoutInCell="1" allowOverlap="1" wp14:anchorId="259343B0" wp14:editId="1D989068">
                <wp:simplePos x="0" y="0"/>
                <wp:positionH relativeFrom="column">
                  <wp:posOffset>1045029</wp:posOffset>
                </wp:positionH>
                <wp:positionV relativeFrom="paragraph">
                  <wp:posOffset>601197</wp:posOffset>
                </wp:positionV>
                <wp:extent cx="95250" cy="200025"/>
                <wp:effectExtent l="19050" t="0" r="38100" b="47625"/>
                <wp:wrapNone/>
                <wp:docPr id="363" name="Flecha abajo 363"/>
                <wp:cNvGraphicFramePr/>
                <a:graphic xmlns:a="http://schemas.openxmlformats.org/drawingml/2006/main">
                  <a:graphicData uri="http://schemas.microsoft.com/office/word/2010/wordprocessingShape">
                    <wps:wsp>
                      <wps:cNvSpPr/>
                      <wps:spPr>
                        <a:xfrm>
                          <a:off x="0" y="0"/>
                          <a:ext cx="95250" cy="20002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361294" id="Flecha abajo 363" o:spid="_x0000_s1026" type="#_x0000_t67" style="position:absolute;margin-left:82.3pt;margin-top:47.35pt;width:7.5pt;height:15.7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" adj="16457" fillcolor="red [3205]" strokecolor="#7f0000 [1605]" strokeweight="1pt"/>
            </w:pict>
          </mc:Fallback>
        </mc:AlternateContent>
      </w:r>
      <w:r w:rsidR="00C00E33" w:rsidRPr="00B52CF8">
        <w:rPr>
          <w:rFonts w:ascii="Montserrat" w:hAnsi="Montserrat"/>
          <w:noProof/>
          <w:sz w:val="22"/>
        </w:rPr>
        <w:drawing>
          <wp:inline distT="0" distB="0" distL="0" distR="0" wp14:anchorId="5CDFC879" wp14:editId="101AA167">
            <wp:extent cx="5118264" cy="3051959"/>
            <wp:effectExtent l="0" t="0" r="6350" b="15240"/>
            <wp:docPr id="362" name="Gráfico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43353" w:rsidRDefault="00243353" w:rsidP="00243353">
      <w:pPr>
        <w:rPr>
          <w:rFonts w:cs="Arial"/>
          <w:noProof/>
          <w:szCs w:val="20"/>
          <w:lang w:eastAsia="es-ES"/>
        </w:rPr>
      </w:pPr>
    </w:p>
    <w:tbl>
      <w:tblPr>
        <w:tblStyle w:val="Tabladecuadrcula5oscura-nfasis1"/>
        <w:tblpPr w:leftFromText="141" w:rightFromText="141" w:vertAnchor="text" w:horzAnchor="margin" w:tblpXSpec="center" w:tblpY="689"/>
        <w:tblW w:w="7958" w:type="dxa"/>
        <w:tblLook w:val="04A0" w:firstRow="1" w:lastRow="0" w:firstColumn="1" w:lastColumn="0" w:noHBand="0" w:noVBand="1"/>
      </w:tblPr>
      <w:tblGrid>
        <w:gridCol w:w="2156"/>
        <w:gridCol w:w="967"/>
        <w:gridCol w:w="967"/>
        <w:gridCol w:w="967"/>
        <w:gridCol w:w="967"/>
        <w:gridCol w:w="967"/>
        <w:gridCol w:w="967"/>
      </w:tblGrid>
      <w:tr w:rsidR="00E87599" w:rsidRPr="00B52CF8" w:rsidTr="00E87599">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156" w:type="dxa"/>
            <w:noWrap/>
            <w:hideMark/>
          </w:tcPr>
          <w:p w:rsidR="00C00E33" w:rsidRPr="00E87599" w:rsidRDefault="00C00E33" w:rsidP="00E87599">
            <w:pPr>
              <w:rPr>
                <w:rFonts w:ascii="Montserrat" w:hAnsi="Montserrat"/>
                <w:b w:val="0"/>
                <w:bCs w:val="0"/>
                <w:sz w:val="22"/>
              </w:rPr>
            </w:pPr>
            <w:r w:rsidRPr="00E87599">
              <w:rPr>
                <w:rFonts w:ascii="Montserrat" w:hAnsi="Montserrat"/>
                <w:sz w:val="22"/>
              </w:rPr>
              <w:t>Puerta del Sol</w:t>
            </w:r>
          </w:p>
        </w:tc>
        <w:tc>
          <w:tcPr>
            <w:tcW w:w="967" w:type="dxa"/>
          </w:tcPr>
          <w:p w:rsidR="00C00E33" w:rsidRPr="00E87599"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sz w:val="22"/>
              </w:rPr>
            </w:pPr>
            <w:r w:rsidRPr="00E87599">
              <w:rPr>
                <w:rFonts w:ascii="Montserrat" w:hAnsi="Montserrat"/>
                <w:sz w:val="22"/>
              </w:rPr>
              <w:t>2015</w:t>
            </w:r>
          </w:p>
        </w:tc>
        <w:tc>
          <w:tcPr>
            <w:tcW w:w="967" w:type="dxa"/>
          </w:tcPr>
          <w:p w:rsidR="00C00E33" w:rsidRPr="00E87599"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sz w:val="22"/>
              </w:rPr>
            </w:pPr>
            <w:r w:rsidRPr="00E87599">
              <w:rPr>
                <w:rFonts w:ascii="Montserrat" w:hAnsi="Montserrat"/>
                <w:sz w:val="22"/>
              </w:rPr>
              <w:t>2016</w:t>
            </w:r>
          </w:p>
        </w:tc>
        <w:tc>
          <w:tcPr>
            <w:tcW w:w="967" w:type="dxa"/>
          </w:tcPr>
          <w:p w:rsidR="00C00E33" w:rsidRPr="00E87599"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sz w:val="22"/>
              </w:rPr>
            </w:pPr>
            <w:r w:rsidRPr="00E87599">
              <w:rPr>
                <w:rFonts w:ascii="Montserrat" w:hAnsi="Montserrat"/>
                <w:sz w:val="22"/>
              </w:rPr>
              <w:t>2017</w:t>
            </w:r>
          </w:p>
        </w:tc>
        <w:tc>
          <w:tcPr>
            <w:tcW w:w="967" w:type="dxa"/>
          </w:tcPr>
          <w:p w:rsidR="00C00E33" w:rsidRPr="00E87599"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sz w:val="22"/>
              </w:rPr>
            </w:pPr>
            <w:r w:rsidRPr="00E87599">
              <w:rPr>
                <w:rFonts w:ascii="Montserrat" w:hAnsi="Montserrat"/>
                <w:sz w:val="22"/>
              </w:rPr>
              <w:t>2018</w:t>
            </w:r>
          </w:p>
        </w:tc>
        <w:tc>
          <w:tcPr>
            <w:tcW w:w="967" w:type="dxa"/>
            <w:noWrap/>
            <w:hideMark/>
          </w:tcPr>
          <w:p w:rsidR="00C00E33" w:rsidRPr="00E87599"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sz w:val="22"/>
              </w:rPr>
            </w:pPr>
            <w:r w:rsidRPr="00E87599">
              <w:rPr>
                <w:rFonts w:ascii="Montserrat" w:hAnsi="Montserrat"/>
                <w:sz w:val="22"/>
              </w:rPr>
              <w:t>2019</w:t>
            </w:r>
          </w:p>
        </w:tc>
        <w:tc>
          <w:tcPr>
            <w:tcW w:w="967" w:type="dxa"/>
          </w:tcPr>
          <w:p w:rsidR="00C00E33" w:rsidRPr="00E87599" w:rsidRDefault="00C00E33" w:rsidP="00E87599">
            <w:pPr>
              <w:jc w:val="right"/>
              <w:cnfStyle w:val="100000000000" w:firstRow="1" w:lastRow="0" w:firstColumn="0" w:lastColumn="0" w:oddVBand="0" w:evenVBand="0" w:oddHBand="0" w:evenHBand="0" w:firstRowFirstColumn="0" w:firstRowLastColumn="0" w:lastRowFirstColumn="0" w:lastRowLastColumn="0"/>
              <w:rPr>
                <w:rFonts w:ascii="Montserrat" w:hAnsi="Montserrat"/>
                <w:b w:val="0"/>
                <w:bCs w:val="0"/>
                <w:sz w:val="22"/>
              </w:rPr>
            </w:pPr>
            <w:r w:rsidRPr="00E87599">
              <w:rPr>
                <w:rFonts w:ascii="Montserrat" w:hAnsi="Montserrat"/>
                <w:sz w:val="22"/>
              </w:rPr>
              <w:t>2020</w:t>
            </w:r>
          </w:p>
        </w:tc>
      </w:tr>
      <w:tr w:rsidR="00C00E33" w:rsidRPr="00B52CF8" w:rsidTr="00E87599">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2156" w:type="dxa"/>
            <w:noWrap/>
            <w:hideMark/>
          </w:tcPr>
          <w:p w:rsidR="00C00E33" w:rsidRPr="00E87599" w:rsidRDefault="00C00E33" w:rsidP="00E87599">
            <w:pPr>
              <w:jc w:val="left"/>
              <w:rPr>
                <w:rFonts w:ascii="Montserrat" w:hAnsi="Montserrat"/>
                <w:b w:val="0"/>
                <w:bCs w:val="0"/>
                <w:szCs w:val="20"/>
              </w:rPr>
            </w:pPr>
            <w:r w:rsidRPr="00E87599">
              <w:rPr>
                <w:rFonts w:ascii="Montserrat" w:hAnsi="Montserrat"/>
                <w:szCs w:val="20"/>
              </w:rPr>
              <w:t>Donaciones</w:t>
            </w:r>
          </w:p>
        </w:tc>
        <w:tc>
          <w:tcPr>
            <w:tcW w:w="967" w:type="dxa"/>
          </w:tcPr>
          <w:p w:rsidR="00C00E33" w:rsidRPr="00E87599"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szCs w:val="20"/>
              </w:rPr>
            </w:pPr>
            <w:r w:rsidRPr="00E87599">
              <w:rPr>
                <w:rFonts w:ascii="Montserrat" w:hAnsi="Montserrat"/>
                <w:szCs w:val="20"/>
              </w:rPr>
              <w:t>11946</w:t>
            </w:r>
          </w:p>
        </w:tc>
        <w:tc>
          <w:tcPr>
            <w:tcW w:w="967" w:type="dxa"/>
          </w:tcPr>
          <w:p w:rsidR="00C00E33" w:rsidRPr="00E87599"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bCs/>
                <w:szCs w:val="20"/>
              </w:rPr>
            </w:pPr>
            <w:r w:rsidRPr="00E87599">
              <w:rPr>
                <w:rFonts w:ascii="Montserrat" w:hAnsi="Montserrat"/>
                <w:bCs/>
                <w:szCs w:val="20"/>
              </w:rPr>
              <w:t>11163</w:t>
            </w:r>
          </w:p>
        </w:tc>
        <w:tc>
          <w:tcPr>
            <w:tcW w:w="967" w:type="dxa"/>
          </w:tcPr>
          <w:p w:rsidR="00C00E33" w:rsidRPr="00E87599"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szCs w:val="20"/>
              </w:rPr>
            </w:pPr>
            <w:r w:rsidRPr="00E87599">
              <w:rPr>
                <w:rFonts w:ascii="Montserrat" w:hAnsi="Montserrat"/>
                <w:szCs w:val="20"/>
              </w:rPr>
              <w:t>11835</w:t>
            </w:r>
          </w:p>
        </w:tc>
        <w:tc>
          <w:tcPr>
            <w:tcW w:w="967" w:type="dxa"/>
          </w:tcPr>
          <w:p w:rsidR="00C00E33" w:rsidRPr="00E87599"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szCs w:val="20"/>
              </w:rPr>
            </w:pPr>
            <w:r w:rsidRPr="00E87599">
              <w:rPr>
                <w:rFonts w:ascii="Montserrat" w:hAnsi="Montserrat"/>
                <w:szCs w:val="20"/>
              </w:rPr>
              <w:t>11808</w:t>
            </w:r>
          </w:p>
        </w:tc>
        <w:tc>
          <w:tcPr>
            <w:tcW w:w="967" w:type="dxa"/>
            <w:noWrap/>
            <w:hideMark/>
          </w:tcPr>
          <w:p w:rsidR="00C00E33" w:rsidRPr="00E87599"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szCs w:val="20"/>
              </w:rPr>
            </w:pPr>
            <w:r w:rsidRPr="00E87599">
              <w:rPr>
                <w:rFonts w:ascii="Montserrat" w:hAnsi="Montserrat"/>
                <w:szCs w:val="20"/>
              </w:rPr>
              <w:t>11445</w:t>
            </w:r>
          </w:p>
        </w:tc>
        <w:tc>
          <w:tcPr>
            <w:tcW w:w="967" w:type="dxa"/>
          </w:tcPr>
          <w:p w:rsidR="00C00E33" w:rsidRPr="00E87599" w:rsidRDefault="00C00E33"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b/>
                <w:color w:val="44546A" w:themeColor="text2"/>
                <w:szCs w:val="20"/>
              </w:rPr>
            </w:pPr>
            <w:r w:rsidRPr="00E87599">
              <w:rPr>
                <w:rFonts w:ascii="Montserrat" w:hAnsi="Montserrat"/>
                <w:b/>
                <w:color w:val="44546A" w:themeColor="text2"/>
                <w:szCs w:val="20"/>
              </w:rPr>
              <w:t>10.566</w:t>
            </w:r>
          </w:p>
        </w:tc>
      </w:tr>
      <w:tr w:rsidR="00E87599" w:rsidRPr="00B52CF8" w:rsidTr="00E87599">
        <w:trPr>
          <w:trHeight w:val="242"/>
        </w:trPr>
        <w:tc>
          <w:tcPr>
            <w:cnfStyle w:val="001000000000" w:firstRow="0" w:lastRow="0" w:firstColumn="1" w:lastColumn="0" w:oddVBand="0" w:evenVBand="0" w:oddHBand="0" w:evenHBand="0" w:firstRowFirstColumn="0" w:firstRowLastColumn="0" w:lastRowFirstColumn="0" w:lastRowLastColumn="0"/>
            <w:tcW w:w="2156" w:type="dxa"/>
            <w:noWrap/>
          </w:tcPr>
          <w:p w:rsidR="00C00E33" w:rsidRPr="00E87599" w:rsidRDefault="00C00E33" w:rsidP="00E87599">
            <w:pPr>
              <w:jc w:val="left"/>
              <w:rPr>
                <w:rFonts w:ascii="Montserrat" w:hAnsi="Montserrat"/>
                <w:b w:val="0"/>
                <w:bCs w:val="0"/>
                <w:szCs w:val="20"/>
              </w:rPr>
            </w:pPr>
            <w:r w:rsidRPr="00E87599">
              <w:rPr>
                <w:rFonts w:ascii="Montserrat" w:hAnsi="Montserrat"/>
                <w:szCs w:val="20"/>
              </w:rPr>
              <w:t xml:space="preserve"> Dif. % respecto año anterior</w:t>
            </w:r>
          </w:p>
        </w:tc>
        <w:tc>
          <w:tcPr>
            <w:tcW w:w="967" w:type="dxa"/>
          </w:tcPr>
          <w:p w:rsidR="00C00E33" w:rsidRPr="00E87599"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szCs w:val="20"/>
              </w:rPr>
            </w:pPr>
            <w:r w:rsidRPr="00E87599">
              <w:rPr>
                <w:rFonts w:ascii="Montserrat" w:hAnsi="Montserrat"/>
                <w:szCs w:val="20"/>
              </w:rPr>
              <w:t>--</w:t>
            </w:r>
          </w:p>
        </w:tc>
        <w:tc>
          <w:tcPr>
            <w:tcW w:w="967" w:type="dxa"/>
          </w:tcPr>
          <w:p w:rsidR="00C00E33" w:rsidRPr="00E87599"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Cs/>
                <w:szCs w:val="20"/>
              </w:rPr>
            </w:pPr>
            <w:r w:rsidRPr="00E87599">
              <w:rPr>
                <w:rFonts w:ascii="Montserrat" w:hAnsi="Montserrat"/>
                <w:bCs/>
                <w:szCs w:val="20"/>
              </w:rPr>
              <w:t>-6.55%</w:t>
            </w:r>
          </w:p>
        </w:tc>
        <w:tc>
          <w:tcPr>
            <w:tcW w:w="967" w:type="dxa"/>
          </w:tcPr>
          <w:p w:rsidR="00C00E33" w:rsidRPr="00E87599"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szCs w:val="20"/>
              </w:rPr>
            </w:pPr>
            <w:r w:rsidRPr="00E87599">
              <w:rPr>
                <w:rFonts w:ascii="Montserrat" w:hAnsi="Montserrat"/>
                <w:szCs w:val="20"/>
              </w:rPr>
              <w:t>+6.02%</w:t>
            </w:r>
          </w:p>
        </w:tc>
        <w:tc>
          <w:tcPr>
            <w:tcW w:w="967" w:type="dxa"/>
          </w:tcPr>
          <w:p w:rsidR="00C00E33" w:rsidRPr="00E87599"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szCs w:val="20"/>
              </w:rPr>
            </w:pPr>
            <w:r w:rsidRPr="00E87599">
              <w:rPr>
                <w:rFonts w:ascii="Montserrat" w:hAnsi="Montserrat"/>
                <w:szCs w:val="20"/>
              </w:rPr>
              <w:t>-0.23%</w:t>
            </w:r>
          </w:p>
        </w:tc>
        <w:tc>
          <w:tcPr>
            <w:tcW w:w="967" w:type="dxa"/>
            <w:noWrap/>
          </w:tcPr>
          <w:p w:rsidR="00C00E33" w:rsidRPr="00E87599"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szCs w:val="20"/>
              </w:rPr>
            </w:pPr>
            <w:r w:rsidRPr="00E87599">
              <w:rPr>
                <w:rFonts w:ascii="Montserrat" w:hAnsi="Montserrat"/>
                <w:szCs w:val="20"/>
              </w:rPr>
              <w:t>-3.07%</w:t>
            </w:r>
          </w:p>
        </w:tc>
        <w:tc>
          <w:tcPr>
            <w:tcW w:w="967" w:type="dxa"/>
          </w:tcPr>
          <w:p w:rsidR="00C00E33" w:rsidRPr="00E87599" w:rsidRDefault="00C00E33"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color w:val="44546A" w:themeColor="text2"/>
                <w:szCs w:val="20"/>
              </w:rPr>
            </w:pPr>
            <w:r w:rsidRPr="00E87599">
              <w:rPr>
                <w:rFonts w:ascii="Montserrat" w:hAnsi="Montserrat"/>
                <w:b/>
                <w:color w:val="44546A" w:themeColor="text2"/>
                <w:szCs w:val="20"/>
              </w:rPr>
              <w:t>-7,68%</w:t>
            </w:r>
          </w:p>
        </w:tc>
      </w:tr>
    </w:tbl>
    <w:p w:rsidR="00C00E33" w:rsidRPr="00A71B61" w:rsidRDefault="00C00E33" w:rsidP="00243353">
      <w:pPr>
        <w:rPr>
          <w:rFonts w:cs="Arial"/>
          <w:szCs w:val="20"/>
        </w:rPr>
      </w:pPr>
    </w:p>
    <w:p w:rsidR="00E87599" w:rsidRDefault="00E87599" w:rsidP="00AB3AB9">
      <w:pPr>
        <w:pStyle w:val="Ttulo3"/>
      </w:pPr>
    </w:p>
    <w:p w:rsidR="00AD6D6B" w:rsidRPr="00AB3AB9" w:rsidRDefault="00AD6D6B" w:rsidP="00AB3AB9">
      <w:pPr>
        <w:pStyle w:val="Ttulo3"/>
      </w:pPr>
      <w:r w:rsidRPr="00AB3AB9">
        <w:t>Donación interna en el CTCM</w:t>
      </w:r>
    </w:p>
    <w:p w:rsidR="00AB3AB9" w:rsidRDefault="00AB3AB9" w:rsidP="00243353">
      <w:pPr>
        <w:pStyle w:val="Carlos1"/>
        <w:pBdr>
          <w:top w:val="none" w:sz="0" w:space="0" w:color="auto"/>
          <w:bottom w:val="none" w:sz="0" w:space="0" w:color="auto"/>
        </w:pBdr>
        <w:rPr>
          <w:rFonts w:asciiTheme="minorHAnsi" w:hAnsiTheme="minorHAnsi" w:cs="Arial"/>
          <w:b w:val="0"/>
          <w:bCs/>
          <w:sz w:val="20"/>
        </w:rPr>
      </w:pPr>
    </w:p>
    <w:p w:rsidR="00243353" w:rsidRPr="00A71B61" w:rsidRDefault="00243353" w:rsidP="00243353">
      <w:pPr>
        <w:pStyle w:val="Carlos1"/>
        <w:pBdr>
          <w:top w:val="none" w:sz="0" w:space="0" w:color="auto"/>
          <w:bottom w:val="none" w:sz="0" w:space="0" w:color="auto"/>
        </w:pBdr>
        <w:rPr>
          <w:rFonts w:asciiTheme="minorHAnsi" w:hAnsiTheme="minorHAnsi" w:cs="Arial"/>
          <w:b w:val="0"/>
          <w:bCs/>
          <w:sz w:val="20"/>
        </w:rPr>
      </w:pPr>
      <w:r w:rsidRPr="00A71B61">
        <w:rPr>
          <w:rFonts w:asciiTheme="minorHAnsi" w:hAnsiTheme="minorHAnsi" w:cs="Arial"/>
          <w:b w:val="0"/>
          <w:bCs/>
          <w:sz w:val="20"/>
        </w:rPr>
        <w:t>El Centro de Transfusión se convierte durante el 2020 en un punto de referencia para donación, posiblemente por no estar ligado a un centro hospitalario y por lo tanto disminuyendo en parte el temor de los donantes a acudir a estos últimos. El acumulado de 2020 (16.509 donaciones) el superior en un 253.09% con respecto a 2019 (6.523 donaciones). Y pasa a suponer un aporte del 7.27% del total de donaciones de la Comunidad de Madrid frente al 2.72% de 2019.</w:t>
      </w:r>
    </w:p>
    <w:p w:rsidR="00243353" w:rsidRPr="00A71B61" w:rsidRDefault="00243353" w:rsidP="00243353">
      <w:pPr>
        <w:pStyle w:val="Carlos1"/>
        <w:pBdr>
          <w:top w:val="none" w:sz="0" w:space="0" w:color="auto"/>
          <w:bottom w:val="none" w:sz="0" w:space="0" w:color="auto"/>
        </w:pBdr>
        <w:rPr>
          <w:rFonts w:asciiTheme="minorHAnsi" w:hAnsiTheme="minorHAnsi" w:cs="Arial"/>
          <w:b w:val="0"/>
          <w:bCs/>
          <w:sz w:val="20"/>
        </w:rPr>
      </w:pPr>
    </w:p>
    <w:p w:rsidR="00243353" w:rsidRPr="00A71B61" w:rsidRDefault="00243353" w:rsidP="00243353">
      <w:pPr>
        <w:rPr>
          <w:szCs w:val="20"/>
          <w:lang w:val="es-ES_tradnl"/>
        </w:rPr>
      </w:pPr>
      <w:r w:rsidRPr="00A71B61">
        <w:rPr>
          <w:noProof/>
          <w:szCs w:val="20"/>
          <w:lang w:eastAsia="es-ES"/>
        </w:rPr>
        <w:drawing>
          <wp:inline distT="0" distB="0" distL="0" distR="0">
            <wp:extent cx="5038899" cy="2033516"/>
            <wp:effectExtent l="0" t="0" r="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0" y="0"/>
                      <a:ext cx="5050376" cy="2038148"/>
                    </a:xfrm>
                    <a:prstGeom prst="rect">
                      <a:avLst/>
                    </a:prstGeom>
                    <a:noFill/>
                    <a:ln>
                      <a:noFill/>
                    </a:ln>
                  </pic:spPr>
                </pic:pic>
              </a:graphicData>
            </a:graphic>
          </wp:inline>
        </w:drawing>
      </w:r>
    </w:p>
    <w:p w:rsidR="00243353" w:rsidRPr="00A71B61" w:rsidRDefault="00243353" w:rsidP="00243353">
      <w:pPr>
        <w:pStyle w:val="Carlos1"/>
        <w:pBdr>
          <w:top w:val="none" w:sz="0" w:space="0" w:color="auto"/>
          <w:bottom w:val="none" w:sz="0" w:space="0" w:color="auto"/>
        </w:pBdr>
        <w:rPr>
          <w:rFonts w:asciiTheme="minorHAnsi" w:hAnsiTheme="minorHAnsi" w:cs="Arial"/>
          <w:b w:val="0"/>
          <w:bCs/>
          <w:sz w:val="20"/>
        </w:rPr>
      </w:pPr>
      <w:r w:rsidRPr="00A71B61">
        <w:rPr>
          <w:rFonts w:asciiTheme="minorHAnsi" w:hAnsiTheme="minorHAnsi" w:cs="Arial"/>
          <w:b w:val="0"/>
          <w:bCs/>
          <w:sz w:val="20"/>
        </w:rPr>
        <w:t>El perfil del donante de sangre total del CTCM es de un varón (57%) entre 45 y 60 años con una tasa de repetición de 1,41 donaciones de por donante y año. Si bien en 2020 se ha incrementado el nº de donantes femeninas en 10 puntos (de un 33% a 43 %). Y es a cuenta de las mujeres, fundamentalmente, que se ha aumentado también el nº de donantes jóvenes (18 a 30 años) que han pasado por la sala de donación del CT.</w:t>
      </w:r>
    </w:p>
    <w:p w:rsidR="00243353" w:rsidRPr="00A71B61" w:rsidRDefault="00243353" w:rsidP="00243353">
      <w:pPr>
        <w:pStyle w:val="Carlos1"/>
        <w:pBdr>
          <w:top w:val="none" w:sz="0" w:space="0" w:color="auto"/>
          <w:bottom w:val="none" w:sz="0" w:space="0" w:color="auto"/>
        </w:pBdr>
        <w:rPr>
          <w:rFonts w:asciiTheme="minorHAnsi" w:hAnsiTheme="minorHAnsi" w:cs="Arial"/>
          <w:b w:val="0"/>
          <w:bCs/>
          <w:sz w:val="20"/>
        </w:rPr>
      </w:pPr>
    </w:p>
    <w:p w:rsidR="00AD6D6B" w:rsidRPr="00A71B61" w:rsidRDefault="00243353" w:rsidP="00AD6D6B">
      <w:pPr>
        <w:rPr>
          <w:szCs w:val="20"/>
          <w:lang w:val="es-ES_tradnl"/>
        </w:rPr>
      </w:pPr>
      <w:r w:rsidRPr="00A71B61">
        <w:rPr>
          <w:noProof/>
          <w:szCs w:val="20"/>
          <w:lang w:eastAsia="es-ES"/>
        </w:rPr>
        <w:drawing>
          <wp:inline distT="0" distB="0" distL="0" distR="0">
            <wp:extent cx="5037816" cy="1937982"/>
            <wp:effectExtent l="0" t="0" r="0" b="57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5051769" cy="1943350"/>
                    </a:xfrm>
                    <a:prstGeom prst="rect">
                      <a:avLst/>
                    </a:prstGeom>
                    <a:noFill/>
                    <a:ln>
                      <a:noFill/>
                    </a:ln>
                  </pic:spPr>
                </pic:pic>
              </a:graphicData>
            </a:graphic>
          </wp:inline>
        </w:drawing>
      </w:r>
    </w:p>
    <w:p w:rsidR="00243353" w:rsidRPr="00A71B61" w:rsidRDefault="00AB3790" w:rsidP="00AD6D6B">
      <w:pPr>
        <w:rPr>
          <w:szCs w:val="20"/>
          <w:lang w:val="es-ES_tradnl"/>
        </w:rPr>
      </w:pPr>
      <w:r w:rsidRPr="00B52CF8">
        <w:rPr>
          <w:rFonts w:ascii="Montserrat" w:hAnsi="Montserrat"/>
          <w:noProof/>
          <w:sz w:val="22"/>
        </w:rPr>
        <w:lastRenderedPageBreak/>
        <w:drawing>
          <wp:inline distT="0" distB="0" distL="0" distR="0" wp14:anchorId="31BB6352" wp14:editId="7CDE11EF">
            <wp:extent cx="5039995" cy="2826327"/>
            <wp:effectExtent l="0" t="0" r="8255" b="12700"/>
            <wp:docPr id="369" name="Gráfico 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B3790" w:rsidRDefault="00AB3790" w:rsidP="00AB3AB9">
      <w:pPr>
        <w:pStyle w:val="Ttulo3"/>
      </w:pPr>
    </w:p>
    <w:p w:rsidR="00AD6D6B" w:rsidRPr="00AB3AB9" w:rsidRDefault="00AD6D6B" w:rsidP="00AB3AB9">
      <w:pPr>
        <w:pStyle w:val="Ttulo3"/>
      </w:pPr>
      <w:r w:rsidRPr="00AB3AB9">
        <w:t>Donación en los hospitales madrileños</w:t>
      </w:r>
    </w:p>
    <w:p w:rsidR="00AB3AB9" w:rsidRDefault="00AB3AB9" w:rsidP="00243353">
      <w:pPr>
        <w:pStyle w:val="Carlos1"/>
        <w:pBdr>
          <w:top w:val="none" w:sz="0" w:space="0" w:color="auto"/>
          <w:bottom w:val="none" w:sz="0" w:space="0" w:color="auto"/>
        </w:pBdr>
        <w:rPr>
          <w:rFonts w:asciiTheme="minorHAnsi" w:hAnsiTheme="minorHAnsi" w:cs="Arial"/>
          <w:b w:val="0"/>
          <w:sz w:val="20"/>
        </w:rPr>
      </w:pPr>
    </w:p>
    <w:p w:rsidR="00243353" w:rsidRPr="00A71B61" w:rsidRDefault="00243353" w:rsidP="00243353">
      <w:pPr>
        <w:pStyle w:val="Carlos1"/>
        <w:pBdr>
          <w:top w:val="none" w:sz="0" w:space="0" w:color="auto"/>
          <w:bottom w:val="none" w:sz="0" w:space="0" w:color="auto"/>
        </w:pBdr>
        <w:rPr>
          <w:rFonts w:asciiTheme="minorHAnsi" w:hAnsiTheme="minorHAnsi" w:cs="Arial"/>
          <w:b w:val="0"/>
          <w:sz w:val="20"/>
        </w:rPr>
      </w:pPr>
      <w:r w:rsidRPr="00A71B61">
        <w:rPr>
          <w:rFonts w:asciiTheme="minorHAnsi" w:hAnsiTheme="minorHAnsi" w:cs="Arial"/>
          <w:b w:val="0"/>
          <w:sz w:val="20"/>
        </w:rPr>
        <w:t xml:space="preserve">La donación en los puntos hospitalarios desciende en 2020 un -14,81%. Se obtienen 101.320 unidades (frente a las 118.933 de 2019) lo que supone un 44.32% del total. </w:t>
      </w:r>
    </w:p>
    <w:p w:rsidR="00243353" w:rsidRPr="00A71B61" w:rsidRDefault="00243353" w:rsidP="00243353">
      <w:pPr>
        <w:pStyle w:val="Carlos1"/>
        <w:pBdr>
          <w:top w:val="none" w:sz="0" w:space="0" w:color="auto"/>
          <w:bottom w:val="none" w:sz="0" w:space="0" w:color="auto"/>
        </w:pBdr>
        <w:rPr>
          <w:rFonts w:asciiTheme="minorHAnsi" w:hAnsiTheme="minorHAnsi" w:cs="Arial"/>
          <w:b w:val="0"/>
          <w:sz w:val="20"/>
        </w:rPr>
      </w:pPr>
      <w:r w:rsidRPr="00A71B61">
        <w:rPr>
          <w:rFonts w:asciiTheme="minorHAnsi" w:hAnsiTheme="minorHAnsi" w:cs="Arial"/>
          <w:b w:val="0"/>
          <w:sz w:val="20"/>
        </w:rPr>
        <w:t xml:space="preserve">Desde finales del mes de febrero, y según va avanzando la pandemia, se observa una disminución importante de las donaciones en los hospitales. A partir de la declaración del estado de alarma y progresando de manera paralela al índice de ocupación de los hospitales por casos Covid, comienzan a cerrar salas de donación hospitalaria. </w:t>
      </w:r>
    </w:p>
    <w:p w:rsidR="00243353" w:rsidRPr="00A71B61" w:rsidRDefault="00243353" w:rsidP="00243353">
      <w:pPr>
        <w:pStyle w:val="Carlos1"/>
        <w:pBdr>
          <w:top w:val="none" w:sz="0" w:space="0" w:color="auto"/>
          <w:bottom w:val="none" w:sz="0" w:space="0" w:color="auto"/>
        </w:pBdr>
        <w:rPr>
          <w:rFonts w:asciiTheme="minorHAnsi" w:hAnsiTheme="minorHAnsi" w:cs="Arial"/>
          <w:b w:val="0"/>
          <w:sz w:val="20"/>
        </w:rPr>
      </w:pPr>
      <w:r w:rsidRPr="00A71B61">
        <w:rPr>
          <w:rFonts w:asciiTheme="minorHAnsi" w:hAnsiTheme="minorHAnsi" w:cs="Arial"/>
          <w:b w:val="0"/>
          <w:sz w:val="20"/>
        </w:rPr>
        <w:t xml:space="preserve">Desde el Centro de Transfusión se hace un estudio de distribución de puntos de donación en la Comunidad de Madrid emitiendo informe a la Dirección General para trabajar en mantener los necesarios para una correcta atención a donantes por zona de residencia. </w:t>
      </w:r>
    </w:p>
    <w:p w:rsidR="00243353" w:rsidRPr="00A71B61" w:rsidRDefault="00243353" w:rsidP="00243353">
      <w:pPr>
        <w:pStyle w:val="Carlos1"/>
        <w:pBdr>
          <w:top w:val="none" w:sz="0" w:space="0" w:color="auto"/>
          <w:bottom w:val="none" w:sz="0" w:space="0" w:color="auto"/>
        </w:pBdr>
        <w:rPr>
          <w:rFonts w:asciiTheme="minorHAnsi" w:hAnsiTheme="minorHAnsi"/>
          <w:noProof/>
          <w:color w:val="FF0000"/>
          <w:sz w:val="20"/>
          <w:lang w:val="es-ES"/>
        </w:rPr>
      </w:pPr>
      <w:r w:rsidRPr="00A71B61">
        <w:rPr>
          <w:rFonts w:asciiTheme="minorHAnsi" w:hAnsiTheme="minorHAnsi" w:cs="Arial"/>
          <w:b w:val="0"/>
          <w:sz w:val="20"/>
        </w:rPr>
        <w:t xml:space="preserve"> a los puntos de donación hospitalarios.</w:t>
      </w:r>
      <w:r w:rsidRPr="00A71B61">
        <w:rPr>
          <w:rFonts w:asciiTheme="minorHAnsi" w:hAnsiTheme="minorHAnsi"/>
          <w:noProof/>
          <w:color w:val="FF0000"/>
          <w:sz w:val="20"/>
          <w:lang w:val="es-ES"/>
        </w:rPr>
        <w:t xml:space="preserve"> </w:t>
      </w:r>
    </w:p>
    <w:p w:rsidR="006B48AF" w:rsidRPr="00A71B61" w:rsidRDefault="006B48AF" w:rsidP="00243353">
      <w:pPr>
        <w:pStyle w:val="Carlos1"/>
        <w:pBdr>
          <w:top w:val="none" w:sz="0" w:space="0" w:color="auto"/>
          <w:bottom w:val="none" w:sz="0" w:space="0" w:color="auto"/>
        </w:pBdr>
        <w:rPr>
          <w:rFonts w:asciiTheme="minorHAnsi" w:hAnsiTheme="minorHAnsi"/>
          <w:noProof/>
          <w:color w:val="FF0000"/>
          <w:sz w:val="20"/>
          <w:lang w:val="es-ES"/>
        </w:rPr>
      </w:pPr>
    </w:p>
    <w:p w:rsidR="006B48AF" w:rsidRPr="00A71B61" w:rsidRDefault="00AB3790" w:rsidP="00243353">
      <w:pPr>
        <w:pStyle w:val="Carlos1"/>
        <w:pBdr>
          <w:top w:val="none" w:sz="0" w:space="0" w:color="auto"/>
          <w:bottom w:val="none" w:sz="0" w:space="0" w:color="auto"/>
        </w:pBdr>
        <w:rPr>
          <w:rFonts w:asciiTheme="minorHAnsi" w:hAnsiTheme="minorHAnsi"/>
          <w:noProof/>
          <w:color w:val="FF0000"/>
          <w:sz w:val="20"/>
          <w:lang w:val="es-ES"/>
        </w:rPr>
      </w:pPr>
      <w:r w:rsidRPr="00B52CF8">
        <w:rPr>
          <w:rFonts w:ascii="Montserrat" w:hAnsi="Montserrat"/>
          <w:noProof/>
          <w:sz w:val="22"/>
          <w:szCs w:val="22"/>
          <w:lang w:val="es-ES"/>
        </w:rPr>
        <w:drawing>
          <wp:inline distT="0" distB="0" distL="0" distR="0" wp14:anchorId="6B5EF173" wp14:editId="3461A697">
            <wp:extent cx="5039995" cy="1713527"/>
            <wp:effectExtent l="0" t="0" r="8255" b="127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43353" w:rsidRPr="00A71B61" w:rsidRDefault="00243353" w:rsidP="00243353">
      <w:pPr>
        <w:rPr>
          <w:szCs w:val="20"/>
        </w:rPr>
      </w:pPr>
    </w:p>
    <w:p w:rsidR="00AB3790" w:rsidRDefault="00AB3790">
      <w:pPr>
        <w:jc w:val="left"/>
        <w:rPr>
          <w:rFonts w:asciiTheme="majorHAnsi" w:eastAsiaTheme="majorEastAsia" w:hAnsiTheme="majorHAnsi" w:cstheme="majorBidi"/>
          <w:color w:val="5B9BD5" w:themeColor="accent1"/>
          <w:szCs w:val="20"/>
        </w:rPr>
      </w:pPr>
      <w:r>
        <w:br w:type="page"/>
      </w:r>
    </w:p>
    <w:p w:rsidR="00AD6D6B" w:rsidRPr="00AB3AB9" w:rsidRDefault="00AD6D6B" w:rsidP="00AB3AB9">
      <w:pPr>
        <w:pStyle w:val="Ttulo3"/>
      </w:pPr>
      <w:r w:rsidRPr="00AB3AB9">
        <w:lastRenderedPageBreak/>
        <w:t>Maratones hospitalarios de donación</w:t>
      </w:r>
    </w:p>
    <w:p w:rsidR="00AB3790" w:rsidRDefault="00AB3790" w:rsidP="006B48AF">
      <w:pPr>
        <w:rPr>
          <w:rFonts w:cs="Arial"/>
          <w:bCs/>
          <w:szCs w:val="20"/>
        </w:rPr>
      </w:pPr>
    </w:p>
    <w:p w:rsidR="006B48AF" w:rsidRPr="00A71B61" w:rsidRDefault="006B48AF" w:rsidP="006B48AF">
      <w:pPr>
        <w:rPr>
          <w:rFonts w:cs="Arial"/>
          <w:bCs/>
          <w:szCs w:val="20"/>
        </w:rPr>
      </w:pPr>
      <w:r w:rsidRPr="00A71B61">
        <w:rPr>
          <w:rFonts w:cs="Arial"/>
          <w:bCs/>
          <w:szCs w:val="20"/>
        </w:rPr>
        <w:t>A partir del mes de marzo de 2020 se suspenden todos los maratones ya programados. En enero y febrero se realizan maratones en 4 hospitales: H del Henares, HU Infanta Elena, H General de Villalba y HU de Torrejón con 590 donaciones totales.</w:t>
      </w:r>
    </w:p>
    <w:tbl>
      <w:tblPr>
        <w:tblStyle w:val="Tabladecuadrcula5oscura-nfasis1"/>
        <w:tblW w:w="5000" w:type="pct"/>
        <w:tblLook w:val="0620" w:firstRow="1" w:lastRow="0" w:firstColumn="0" w:lastColumn="0" w:noHBand="1" w:noVBand="1"/>
      </w:tblPr>
      <w:tblGrid>
        <w:gridCol w:w="1548"/>
        <w:gridCol w:w="1481"/>
        <w:gridCol w:w="1578"/>
        <w:gridCol w:w="1987"/>
        <w:gridCol w:w="1333"/>
      </w:tblGrid>
      <w:tr w:rsidR="00E87599" w:rsidRPr="00E87599" w:rsidTr="00E87599">
        <w:trPr>
          <w:cnfStyle w:val="100000000000" w:firstRow="1" w:lastRow="0" w:firstColumn="0" w:lastColumn="0" w:oddVBand="0" w:evenVBand="0" w:oddHBand="0" w:evenHBand="0" w:firstRowFirstColumn="0" w:firstRowLastColumn="0" w:lastRowFirstColumn="0" w:lastRowLastColumn="0"/>
          <w:trHeight w:val="472"/>
        </w:trPr>
        <w:tc>
          <w:tcPr>
            <w:tcW w:w="1095" w:type="pct"/>
            <w:hideMark/>
          </w:tcPr>
          <w:p w:rsidR="00E87599" w:rsidRPr="00E87599" w:rsidRDefault="00E87599" w:rsidP="00E87599">
            <w:pPr>
              <w:pStyle w:val="NormalWeb"/>
              <w:spacing w:before="0" w:beforeAutospacing="0" w:after="0" w:afterAutospacing="0"/>
              <w:jc w:val="center"/>
              <w:textAlignment w:val="center"/>
              <w:rPr>
                <w:rFonts w:ascii="Montserrat" w:hAnsi="Montserrat" w:cs="Arial"/>
                <w:sz w:val="22"/>
                <w:szCs w:val="22"/>
              </w:rPr>
            </w:pPr>
            <w:r w:rsidRPr="00E87599">
              <w:rPr>
                <w:rFonts w:ascii="Montserrat" w:hAnsi="Montserrat" w:cs="Arial"/>
                <w:kern w:val="24"/>
                <w:sz w:val="22"/>
                <w:szCs w:val="22"/>
              </w:rPr>
              <w:t>Año</w:t>
            </w:r>
          </w:p>
        </w:tc>
        <w:tc>
          <w:tcPr>
            <w:tcW w:w="1053" w:type="pct"/>
            <w:hideMark/>
          </w:tcPr>
          <w:p w:rsidR="00E87599" w:rsidRPr="00E87599" w:rsidRDefault="00E87599" w:rsidP="00E87599">
            <w:pPr>
              <w:pStyle w:val="NormalWeb"/>
              <w:spacing w:before="0" w:beforeAutospacing="0" w:after="0" w:afterAutospacing="0"/>
              <w:jc w:val="center"/>
              <w:textAlignment w:val="center"/>
              <w:rPr>
                <w:rFonts w:ascii="Montserrat" w:hAnsi="Montserrat" w:cs="Arial"/>
                <w:sz w:val="22"/>
                <w:szCs w:val="22"/>
              </w:rPr>
            </w:pPr>
            <w:r w:rsidRPr="00E87599">
              <w:rPr>
                <w:rFonts w:ascii="Montserrat" w:hAnsi="Montserrat" w:cs="Arial"/>
                <w:kern w:val="24"/>
                <w:sz w:val="22"/>
                <w:szCs w:val="22"/>
              </w:rPr>
              <w:t>Nº maratones</w:t>
            </w:r>
          </w:p>
        </w:tc>
        <w:tc>
          <w:tcPr>
            <w:tcW w:w="1019" w:type="pct"/>
            <w:hideMark/>
          </w:tcPr>
          <w:p w:rsidR="00E87599" w:rsidRPr="00E87599" w:rsidRDefault="00E87599" w:rsidP="00E87599">
            <w:pPr>
              <w:pStyle w:val="NormalWeb"/>
              <w:spacing w:before="0" w:beforeAutospacing="0" w:after="0" w:afterAutospacing="0"/>
              <w:jc w:val="center"/>
              <w:textAlignment w:val="center"/>
              <w:rPr>
                <w:rFonts w:ascii="Montserrat" w:hAnsi="Montserrat" w:cs="Arial"/>
                <w:sz w:val="22"/>
                <w:szCs w:val="22"/>
              </w:rPr>
            </w:pPr>
            <w:r w:rsidRPr="00E87599">
              <w:rPr>
                <w:rFonts w:ascii="Montserrat" w:hAnsi="Montserrat" w:cs="Arial"/>
                <w:kern w:val="24"/>
                <w:sz w:val="22"/>
                <w:szCs w:val="22"/>
              </w:rPr>
              <w:t>Donaciones obtenidas</w:t>
            </w:r>
          </w:p>
        </w:tc>
        <w:tc>
          <w:tcPr>
            <w:tcW w:w="1055" w:type="pct"/>
            <w:hideMark/>
          </w:tcPr>
          <w:p w:rsidR="00E87599" w:rsidRPr="00E87599" w:rsidRDefault="00E87599" w:rsidP="00E87599">
            <w:pPr>
              <w:pStyle w:val="NormalWeb"/>
              <w:spacing w:before="0" w:beforeAutospacing="0" w:after="0" w:afterAutospacing="0"/>
              <w:jc w:val="center"/>
              <w:textAlignment w:val="center"/>
              <w:rPr>
                <w:rFonts w:ascii="Montserrat" w:hAnsi="Montserrat" w:cs="Arial"/>
                <w:sz w:val="22"/>
                <w:szCs w:val="22"/>
              </w:rPr>
            </w:pPr>
            <w:r w:rsidRPr="00E87599">
              <w:rPr>
                <w:rFonts w:ascii="Montserrat" w:hAnsi="Montserrat" w:cs="Arial"/>
                <w:kern w:val="24"/>
                <w:sz w:val="22"/>
                <w:szCs w:val="22"/>
              </w:rPr>
              <w:t>Promedio doncs/maratón</w:t>
            </w:r>
          </w:p>
        </w:tc>
        <w:tc>
          <w:tcPr>
            <w:tcW w:w="779" w:type="pct"/>
            <w:hideMark/>
          </w:tcPr>
          <w:p w:rsidR="00E87599" w:rsidRPr="00E87599" w:rsidRDefault="00E87599" w:rsidP="00E87599">
            <w:pPr>
              <w:pStyle w:val="NormalWeb"/>
              <w:spacing w:before="0" w:beforeAutospacing="0" w:after="0" w:afterAutospacing="0"/>
              <w:jc w:val="center"/>
              <w:textAlignment w:val="center"/>
              <w:rPr>
                <w:rFonts w:ascii="Montserrat" w:hAnsi="Montserrat" w:cs="Arial"/>
                <w:sz w:val="22"/>
                <w:szCs w:val="22"/>
              </w:rPr>
            </w:pPr>
            <w:r w:rsidRPr="00E87599">
              <w:rPr>
                <w:rFonts w:ascii="Montserrat" w:hAnsi="Montserrat" w:cs="Arial"/>
                <w:kern w:val="24"/>
                <w:sz w:val="22"/>
                <w:szCs w:val="22"/>
              </w:rPr>
              <w:t>Donantes nuevos</w:t>
            </w:r>
          </w:p>
        </w:tc>
      </w:tr>
      <w:tr w:rsidR="00E87599" w:rsidRPr="00B52CF8" w:rsidTr="00E87599">
        <w:trPr>
          <w:trHeight w:val="310"/>
        </w:trPr>
        <w:tc>
          <w:tcPr>
            <w:tcW w:w="109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b/>
                <w:bCs/>
                <w:kern w:val="24"/>
                <w:sz w:val="22"/>
                <w:szCs w:val="22"/>
              </w:rPr>
              <w:t>2015</w:t>
            </w:r>
          </w:p>
        </w:tc>
        <w:tc>
          <w:tcPr>
            <w:tcW w:w="1053"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50</w:t>
            </w:r>
          </w:p>
        </w:tc>
        <w:tc>
          <w:tcPr>
            <w:tcW w:w="101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7.617</w:t>
            </w:r>
          </w:p>
        </w:tc>
        <w:tc>
          <w:tcPr>
            <w:tcW w:w="105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152</w:t>
            </w:r>
          </w:p>
        </w:tc>
        <w:tc>
          <w:tcPr>
            <w:tcW w:w="77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1.497</w:t>
            </w:r>
          </w:p>
        </w:tc>
      </w:tr>
      <w:tr w:rsidR="00E87599" w:rsidRPr="00B52CF8" w:rsidTr="00E87599">
        <w:trPr>
          <w:trHeight w:val="376"/>
        </w:trPr>
        <w:tc>
          <w:tcPr>
            <w:tcW w:w="109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b/>
                <w:bCs/>
                <w:kern w:val="24"/>
                <w:sz w:val="22"/>
                <w:szCs w:val="22"/>
              </w:rPr>
              <w:t>2016</w:t>
            </w:r>
          </w:p>
        </w:tc>
        <w:tc>
          <w:tcPr>
            <w:tcW w:w="1053"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56</w:t>
            </w:r>
          </w:p>
        </w:tc>
        <w:tc>
          <w:tcPr>
            <w:tcW w:w="101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9.870</w:t>
            </w:r>
          </w:p>
        </w:tc>
        <w:tc>
          <w:tcPr>
            <w:tcW w:w="105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176</w:t>
            </w:r>
          </w:p>
        </w:tc>
        <w:tc>
          <w:tcPr>
            <w:tcW w:w="77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2.002</w:t>
            </w:r>
          </w:p>
        </w:tc>
      </w:tr>
      <w:tr w:rsidR="00E87599" w:rsidRPr="00B52CF8" w:rsidTr="00E87599">
        <w:trPr>
          <w:trHeight w:val="319"/>
        </w:trPr>
        <w:tc>
          <w:tcPr>
            <w:tcW w:w="109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b/>
                <w:bCs/>
                <w:kern w:val="24"/>
                <w:sz w:val="22"/>
                <w:szCs w:val="22"/>
              </w:rPr>
              <w:t>2017</w:t>
            </w:r>
          </w:p>
        </w:tc>
        <w:tc>
          <w:tcPr>
            <w:tcW w:w="1053"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36</w:t>
            </w:r>
          </w:p>
        </w:tc>
        <w:tc>
          <w:tcPr>
            <w:tcW w:w="101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7.274</w:t>
            </w:r>
          </w:p>
        </w:tc>
        <w:tc>
          <w:tcPr>
            <w:tcW w:w="105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202</w:t>
            </w:r>
          </w:p>
        </w:tc>
        <w:tc>
          <w:tcPr>
            <w:tcW w:w="77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1.652</w:t>
            </w:r>
          </w:p>
        </w:tc>
      </w:tr>
      <w:tr w:rsidR="00E87599" w:rsidRPr="00B52CF8" w:rsidTr="00E87599">
        <w:trPr>
          <w:trHeight w:val="380"/>
        </w:trPr>
        <w:tc>
          <w:tcPr>
            <w:tcW w:w="109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b/>
                <w:bCs/>
                <w:kern w:val="24"/>
                <w:sz w:val="22"/>
                <w:szCs w:val="22"/>
              </w:rPr>
              <w:t>2018</w:t>
            </w:r>
          </w:p>
        </w:tc>
        <w:tc>
          <w:tcPr>
            <w:tcW w:w="1053"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48</w:t>
            </w:r>
          </w:p>
        </w:tc>
        <w:tc>
          <w:tcPr>
            <w:tcW w:w="101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9.680</w:t>
            </w:r>
          </w:p>
        </w:tc>
        <w:tc>
          <w:tcPr>
            <w:tcW w:w="1055"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202</w:t>
            </w:r>
          </w:p>
        </w:tc>
        <w:tc>
          <w:tcPr>
            <w:tcW w:w="779" w:type="pct"/>
            <w:hideMark/>
          </w:tcPr>
          <w:p w:rsidR="00E87599" w:rsidRPr="00B52CF8" w:rsidRDefault="00E87599" w:rsidP="00E87599">
            <w:pPr>
              <w:pStyle w:val="NormalWeb"/>
              <w:spacing w:before="0" w:beforeAutospacing="0" w:after="0" w:afterAutospacing="0"/>
              <w:jc w:val="center"/>
              <w:textAlignment w:val="bottom"/>
              <w:rPr>
                <w:rFonts w:ascii="Montserrat" w:hAnsi="Montserrat" w:cs="Arial"/>
                <w:sz w:val="22"/>
                <w:szCs w:val="22"/>
              </w:rPr>
            </w:pPr>
            <w:r w:rsidRPr="00B52CF8">
              <w:rPr>
                <w:rFonts w:ascii="Montserrat" w:hAnsi="Montserrat" w:cs="Arial"/>
                <w:kern w:val="24"/>
                <w:sz w:val="22"/>
                <w:szCs w:val="22"/>
              </w:rPr>
              <w:t>1.823</w:t>
            </w:r>
          </w:p>
        </w:tc>
      </w:tr>
      <w:tr w:rsidR="00E87599" w:rsidRPr="00B52CF8" w:rsidTr="00E87599">
        <w:trPr>
          <w:trHeight w:val="386"/>
        </w:trPr>
        <w:tc>
          <w:tcPr>
            <w:tcW w:w="1095" w:type="pct"/>
          </w:tcPr>
          <w:p w:rsidR="00E87599" w:rsidRPr="00B52CF8" w:rsidRDefault="00E87599" w:rsidP="00E87599">
            <w:pPr>
              <w:pStyle w:val="NormalWeb"/>
              <w:spacing w:before="0" w:beforeAutospacing="0" w:after="0" w:afterAutospacing="0"/>
              <w:jc w:val="center"/>
              <w:textAlignment w:val="bottom"/>
              <w:rPr>
                <w:rFonts w:ascii="Montserrat" w:hAnsi="Montserrat" w:cs="Arial"/>
                <w:b/>
                <w:bCs/>
                <w:kern w:val="24"/>
                <w:sz w:val="22"/>
                <w:szCs w:val="22"/>
              </w:rPr>
            </w:pPr>
            <w:r w:rsidRPr="00B52CF8">
              <w:rPr>
                <w:rFonts w:ascii="Montserrat" w:hAnsi="Montserrat" w:cs="Arial"/>
                <w:b/>
                <w:bCs/>
                <w:kern w:val="24"/>
                <w:sz w:val="22"/>
                <w:szCs w:val="22"/>
              </w:rPr>
              <w:t>2019</w:t>
            </w:r>
          </w:p>
        </w:tc>
        <w:tc>
          <w:tcPr>
            <w:tcW w:w="1053"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52</w:t>
            </w:r>
          </w:p>
        </w:tc>
        <w:tc>
          <w:tcPr>
            <w:tcW w:w="1019"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10.118</w:t>
            </w:r>
          </w:p>
        </w:tc>
        <w:tc>
          <w:tcPr>
            <w:tcW w:w="1055"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195</w:t>
            </w:r>
          </w:p>
        </w:tc>
        <w:tc>
          <w:tcPr>
            <w:tcW w:w="779"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1.291</w:t>
            </w:r>
          </w:p>
        </w:tc>
      </w:tr>
      <w:tr w:rsidR="00E87599" w:rsidRPr="00B52CF8" w:rsidTr="00E87599">
        <w:trPr>
          <w:trHeight w:val="386"/>
        </w:trPr>
        <w:tc>
          <w:tcPr>
            <w:tcW w:w="1095" w:type="pct"/>
          </w:tcPr>
          <w:p w:rsidR="00E87599" w:rsidRPr="00B52CF8" w:rsidRDefault="00E87599" w:rsidP="00E87599">
            <w:pPr>
              <w:pStyle w:val="NormalWeb"/>
              <w:spacing w:before="0" w:beforeAutospacing="0" w:after="0" w:afterAutospacing="0"/>
              <w:jc w:val="center"/>
              <w:textAlignment w:val="bottom"/>
              <w:rPr>
                <w:rFonts w:ascii="Montserrat" w:hAnsi="Montserrat" w:cs="Arial"/>
                <w:b/>
                <w:bCs/>
                <w:kern w:val="24"/>
                <w:sz w:val="22"/>
                <w:szCs w:val="22"/>
              </w:rPr>
            </w:pPr>
            <w:r w:rsidRPr="00B52CF8">
              <w:rPr>
                <w:rFonts w:ascii="Montserrat" w:hAnsi="Montserrat" w:cs="Arial"/>
                <w:b/>
                <w:bCs/>
                <w:kern w:val="24"/>
                <w:sz w:val="22"/>
                <w:szCs w:val="22"/>
              </w:rPr>
              <w:t>2020</w:t>
            </w:r>
          </w:p>
        </w:tc>
        <w:tc>
          <w:tcPr>
            <w:tcW w:w="1053"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4</w:t>
            </w:r>
          </w:p>
        </w:tc>
        <w:tc>
          <w:tcPr>
            <w:tcW w:w="1019"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590</w:t>
            </w:r>
          </w:p>
        </w:tc>
        <w:tc>
          <w:tcPr>
            <w:tcW w:w="1055"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148</w:t>
            </w:r>
          </w:p>
        </w:tc>
        <w:tc>
          <w:tcPr>
            <w:tcW w:w="779" w:type="pct"/>
          </w:tcPr>
          <w:p w:rsidR="00E87599" w:rsidRPr="00B52CF8" w:rsidRDefault="00E87599" w:rsidP="00E87599">
            <w:pPr>
              <w:pStyle w:val="NormalWeb"/>
              <w:spacing w:before="0" w:beforeAutospacing="0" w:after="0" w:afterAutospacing="0"/>
              <w:jc w:val="center"/>
              <w:textAlignment w:val="bottom"/>
              <w:rPr>
                <w:rFonts w:ascii="Montserrat" w:hAnsi="Montserrat" w:cs="Arial"/>
                <w:kern w:val="24"/>
                <w:sz w:val="22"/>
                <w:szCs w:val="22"/>
              </w:rPr>
            </w:pPr>
            <w:r w:rsidRPr="00B52CF8">
              <w:rPr>
                <w:rFonts w:ascii="Montserrat" w:hAnsi="Montserrat" w:cs="Arial"/>
                <w:kern w:val="24"/>
                <w:sz w:val="22"/>
                <w:szCs w:val="22"/>
              </w:rPr>
              <w:t>44</w:t>
            </w:r>
          </w:p>
        </w:tc>
      </w:tr>
    </w:tbl>
    <w:p w:rsidR="006B48AF" w:rsidRPr="00A71B61" w:rsidRDefault="006B48AF" w:rsidP="006B48AF">
      <w:pPr>
        <w:rPr>
          <w:szCs w:val="20"/>
        </w:rPr>
      </w:pPr>
    </w:p>
    <w:p w:rsidR="00AD6D6B" w:rsidRPr="00A71B61" w:rsidRDefault="00AD6D6B" w:rsidP="00AD6D6B">
      <w:pPr>
        <w:rPr>
          <w:szCs w:val="20"/>
        </w:rPr>
      </w:pPr>
    </w:p>
    <w:p w:rsidR="00AD6D6B" w:rsidRPr="00AB3AB9" w:rsidRDefault="00AD6D6B" w:rsidP="00AB3AB9">
      <w:pPr>
        <w:pStyle w:val="Ttulo2"/>
      </w:pPr>
      <w:bookmarkStart w:id="21" w:name="_Toc90584863"/>
      <w:r w:rsidRPr="00AB3AB9">
        <w:t>Promoción de La donación de Médula Ósea</w:t>
      </w:r>
      <w:bookmarkEnd w:id="21"/>
    </w:p>
    <w:p w:rsidR="00AB3AB9" w:rsidRDefault="00AB3AB9" w:rsidP="006B48AF">
      <w:pPr>
        <w:rPr>
          <w:rFonts w:cs="Arial"/>
          <w:bCs/>
          <w:szCs w:val="20"/>
          <w:lang w:val="es-ES_tradnl"/>
        </w:rPr>
      </w:pPr>
    </w:p>
    <w:p w:rsidR="006B48AF" w:rsidRDefault="006B48AF" w:rsidP="006B48AF">
      <w:pPr>
        <w:rPr>
          <w:rFonts w:cs="Arial"/>
          <w:bCs/>
          <w:szCs w:val="20"/>
          <w:lang w:val="es-ES_tradnl"/>
        </w:rPr>
      </w:pPr>
      <w:r w:rsidRPr="00A71B61">
        <w:rPr>
          <w:rFonts w:cs="Arial"/>
          <w:bCs/>
          <w:szCs w:val="20"/>
          <w:lang w:val="es-ES_tradnl"/>
        </w:rPr>
        <w:t>En 2020 se han captado y registrado en REDMO un total de 6.237 donantes, un 10.9% menos que en 2019 (7.000). Si bien en los dos primeros meses del año se consiguió un incremento del 13.6% con respecto a 2019, a partir de marzo el confinamiento y las medidas restrictivas de movilidad afectaron de manera importante. No obstante, durante todo el resto del año, con la puesta en marcha de planes especiales: PlanWhatsApp y PlanDaMO virtual, en los que las acciones se centraron en la captación de donantes a partir de donantes de sangre activos, se consiguió mantener un número aceptable de registros.</w:t>
      </w:r>
    </w:p>
    <w:p w:rsidR="00E87599" w:rsidRPr="00A71B61" w:rsidRDefault="00E87599" w:rsidP="006B48AF">
      <w:pPr>
        <w:rPr>
          <w:rFonts w:cs="Arial"/>
          <w:bCs/>
          <w:szCs w:val="20"/>
          <w:lang w:val="es-ES_tradnl"/>
        </w:rPr>
      </w:pPr>
      <w:r w:rsidRPr="00E87599">
        <w:rPr>
          <w:rFonts w:ascii="Montserrat" w:hAnsi="Montserrat" w:cs="Arial"/>
          <w:bCs/>
          <w:noProof/>
          <w:color w:val="FF0000"/>
          <w:sz w:val="18"/>
          <w:szCs w:val="18"/>
        </w:rPr>
        <w:drawing>
          <wp:inline distT="0" distB="0" distL="0" distR="0" wp14:anchorId="670E9443" wp14:editId="355AC793">
            <wp:extent cx="5039995" cy="217422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5039995" cy="2174225"/>
                    </a:xfrm>
                    <a:prstGeom prst="rect">
                      <a:avLst/>
                    </a:prstGeom>
                    <a:noFill/>
                  </pic:spPr>
                </pic:pic>
              </a:graphicData>
            </a:graphic>
          </wp:inline>
        </w:drawing>
      </w:r>
    </w:p>
    <w:p w:rsidR="006B48AF" w:rsidRPr="00A71B61" w:rsidRDefault="006B48AF" w:rsidP="006B48AF">
      <w:pPr>
        <w:rPr>
          <w:rFonts w:cs="Arial"/>
          <w:bCs/>
          <w:szCs w:val="20"/>
          <w:lang w:val="es-ES_tradnl"/>
        </w:rPr>
      </w:pPr>
    </w:p>
    <w:p w:rsidR="00AD6D6B" w:rsidRPr="00AB3AB9" w:rsidRDefault="00AD6D6B" w:rsidP="00AB3AB9">
      <w:pPr>
        <w:pStyle w:val="Ttulo3"/>
      </w:pPr>
      <w:r w:rsidRPr="00AB3AB9">
        <w:lastRenderedPageBreak/>
        <w:t>Plan Whast app</w:t>
      </w:r>
    </w:p>
    <w:p w:rsidR="00AB3AB9" w:rsidRDefault="006B48AF" w:rsidP="006B48AF">
      <w:pPr>
        <w:rPr>
          <w:szCs w:val="20"/>
        </w:rPr>
      </w:pPr>
      <w:r w:rsidRPr="00A71B61">
        <w:rPr>
          <w:szCs w:val="20"/>
        </w:rPr>
        <w:t>Desde el 13 de marzo se extraen cada día los listados de los donantes del día anterior y se selecciona a los varones de entre 18 y 40 años. A través de la plataforma de mensajería WhatsApp se envía al donante un mensaje agradeciendo su donación de sangre e interrogándole acerca de su interés en conocer la donación de MO y su posterior registro en REDMO. Esta plataforma aporta rapidez en la comunicación.</w:t>
      </w:r>
    </w:p>
    <w:p w:rsidR="006B48AF" w:rsidRPr="00A71B61" w:rsidRDefault="006B48AF" w:rsidP="006B48AF">
      <w:pPr>
        <w:rPr>
          <w:szCs w:val="20"/>
        </w:rPr>
      </w:pPr>
      <w:r w:rsidRPr="00A71B61">
        <w:rPr>
          <w:szCs w:val="20"/>
        </w:rPr>
        <w:br/>
        <w:t>Si la contestación es positiva, se remite al donante más información por correo electrónico y se adjunta el consentimiento informado de la ONT. Se le informa de que a partir de ese momento rescatamos uno de los tubos de su analítica de donación. El tubo será conservado durante un mes para que, si finalmente decide registrarse, este sirva para realizar el estudio HLA y no necesite desplazarse para la extracción. Se adapta el consentimiento informado a PDF editable para que el donante lo pueda cumplimentar, firmar on line y reenviarlo al Centro de Transfusión.</w:t>
      </w:r>
    </w:p>
    <w:p w:rsidR="006B48AF" w:rsidRPr="00A71B61" w:rsidRDefault="006B48AF" w:rsidP="006B48AF">
      <w:pPr>
        <w:rPr>
          <w:szCs w:val="20"/>
        </w:rPr>
      </w:pPr>
      <w:r w:rsidRPr="00A71B61">
        <w:rPr>
          <w:szCs w:val="20"/>
        </w:rPr>
        <w:t>Se pone a disposición del donante teléfono y dirección mail para aclarar todas las dudas que pueda tener antes del registro, porque por parte del CT sigue primando que la donación sea reflexiva y comprometida.</w:t>
      </w:r>
    </w:p>
    <w:p w:rsidR="006B48AF" w:rsidRPr="00A71B61" w:rsidRDefault="006B48AF" w:rsidP="006B48AF">
      <w:pPr>
        <w:rPr>
          <w:szCs w:val="20"/>
        </w:rPr>
      </w:pPr>
      <w:r w:rsidRPr="00A71B61">
        <w:rPr>
          <w:szCs w:val="20"/>
        </w:rPr>
        <w:t>A partir del mes de 9 de abril</w:t>
      </w:r>
      <w:r w:rsidRPr="00A71B61">
        <w:rPr>
          <w:color w:val="FF0000"/>
          <w:szCs w:val="20"/>
        </w:rPr>
        <w:t>,</w:t>
      </w:r>
      <w:r w:rsidRPr="00A71B61">
        <w:rPr>
          <w:szCs w:val="20"/>
        </w:rPr>
        <w:t xml:space="preserve"> dado que la vía de la mensajería WhatsApp es harto laboriosa, puesto que los mensajes se envían uno a uno, se decide seguir con la misma actuación, pero realizando el primer contacto por mail que permite envío masivo. Se seguirán enviando WhatsApp a donantes sin dirección mail.</w:t>
      </w:r>
    </w:p>
    <w:tbl>
      <w:tblPr>
        <w:tblStyle w:val="Tabladecuadrcula5oscura-nfasis1"/>
        <w:tblW w:w="7967" w:type="dxa"/>
        <w:tblLook w:val="04A0" w:firstRow="1" w:lastRow="0" w:firstColumn="1" w:lastColumn="0" w:noHBand="0" w:noVBand="1"/>
      </w:tblPr>
      <w:tblGrid>
        <w:gridCol w:w="1394"/>
        <w:gridCol w:w="1172"/>
        <w:gridCol w:w="1269"/>
        <w:gridCol w:w="1500"/>
        <w:gridCol w:w="1356"/>
        <w:gridCol w:w="1276"/>
      </w:tblGrid>
      <w:tr w:rsidR="00E87599" w:rsidRPr="00E87599" w:rsidTr="00E87599">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967" w:type="dxa"/>
            <w:gridSpan w:val="6"/>
            <w:noWrap/>
            <w:hideMark/>
          </w:tcPr>
          <w:p w:rsidR="00E87599" w:rsidRPr="00E87599" w:rsidRDefault="00E87599" w:rsidP="00E87599">
            <w:pPr>
              <w:jc w:val="center"/>
              <w:rPr>
                <w:rFonts w:ascii="Montserrat" w:hAnsi="Montserrat"/>
                <w:b w:val="0"/>
                <w:bCs w:val="0"/>
                <w:sz w:val="18"/>
                <w:szCs w:val="18"/>
              </w:rPr>
            </w:pPr>
            <w:r w:rsidRPr="00E87599">
              <w:rPr>
                <w:rFonts w:ascii="Montserrat" w:hAnsi="Montserrat"/>
                <w:sz w:val="18"/>
                <w:szCs w:val="18"/>
              </w:rPr>
              <w:t>Plan WhatsApp PERIODO 13 MARZO AL 16 JUNIO 2020</w:t>
            </w:r>
          </w:p>
        </w:tc>
      </w:tr>
      <w:tr w:rsidR="00E87599" w:rsidRPr="00E87599" w:rsidTr="00E87599">
        <w:trPr>
          <w:cnfStyle w:val="000000100000" w:firstRow="0" w:lastRow="0" w:firstColumn="0" w:lastColumn="0" w:oddVBand="0" w:evenVBand="0" w:oddHBand="1" w:evenHBand="0" w:firstRowFirstColumn="0" w:firstRowLastColumn="0" w:lastRowFirstColumn="0" w:lastRowLastColumn="0"/>
          <w:cantSplit/>
          <w:trHeight w:val="2671"/>
        </w:trPr>
        <w:tc>
          <w:tcPr>
            <w:cnfStyle w:val="001000000000" w:firstRow="0" w:lastRow="0" w:firstColumn="1" w:lastColumn="0" w:oddVBand="0" w:evenVBand="0" w:oddHBand="0" w:evenHBand="0" w:firstRowFirstColumn="0" w:firstRowLastColumn="0" w:lastRowFirstColumn="0" w:lastRowLastColumn="0"/>
            <w:tcW w:w="1394" w:type="dxa"/>
            <w:noWrap/>
            <w:hideMark/>
          </w:tcPr>
          <w:p w:rsidR="00E87599" w:rsidRPr="00E87599" w:rsidRDefault="00E87599" w:rsidP="00E87599">
            <w:pPr>
              <w:rPr>
                <w:rFonts w:ascii="Montserrat" w:hAnsi="Montserrat"/>
                <w:color w:val="000000"/>
                <w:sz w:val="18"/>
                <w:szCs w:val="18"/>
              </w:rPr>
            </w:pPr>
            <w:r w:rsidRPr="00E87599">
              <w:rPr>
                <w:rFonts w:ascii="Montserrat" w:hAnsi="Montserrat"/>
                <w:color w:val="000000"/>
                <w:sz w:val="18"/>
                <w:szCs w:val="18"/>
              </w:rPr>
              <w:t> </w:t>
            </w:r>
          </w:p>
        </w:tc>
        <w:tc>
          <w:tcPr>
            <w:tcW w:w="1172" w:type="dxa"/>
            <w:noWrap/>
            <w:textDirection w:val="btLr"/>
            <w:hideMark/>
          </w:tcPr>
          <w:p w:rsidR="00E87599" w:rsidRPr="00E87599" w:rsidRDefault="00E87599" w:rsidP="00E87599">
            <w:pPr>
              <w:ind w:left="113" w:right="113"/>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MENSAJES ENVIADOS</w:t>
            </w:r>
          </w:p>
        </w:tc>
        <w:tc>
          <w:tcPr>
            <w:tcW w:w="1269" w:type="dxa"/>
            <w:noWrap/>
            <w:textDirection w:val="btLr"/>
            <w:hideMark/>
          </w:tcPr>
          <w:p w:rsidR="00E87599" w:rsidRPr="00E87599" w:rsidRDefault="00E87599" w:rsidP="00E87599">
            <w:pPr>
              <w:ind w:left="113" w:right="113"/>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RESPUESTA POSITIVA</w:t>
            </w:r>
          </w:p>
        </w:tc>
        <w:tc>
          <w:tcPr>
            <w:tcW w:w="1500" w:type="dxa"/>
            <w:noWrap/>
            <w:textDirection w:val="btLr"/>
            <w:hideMark/>
          </w:tcPr>
          <w:p w:rsidR="00E87599" w:rsidRPr="00E87599" w:rsidRDefault="00E87599" w:rsidP="00E87599">
            <w:pPr>
              <w:ind w:left="113" w:right="113"/>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REGISTRADOS</w:t>
            </w:r>
          </w:p>
        </w:tc>
        <w:tc>
          <w:tcPr>
            <w:tcW w:w="1356" w:type="dxa"/>
            <w:textDirection w:val="btLr"/>
          </w:tcPr>
          <w:p w:rsidR="00E87599" w:rsidRPr="00E87599" w:rsidRDefault="00E87599" w:rsidP="00E87599">
            <w:pPr>
              <w:ind w:left="113" w:right="113"/>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 EFECTIVIDAD sobre contactados</w:t>
            </w:r>
          </w:p>
        </w:tc>
        <w:tc>
          <w:tcPr>
            <w:tcW w:w="1274" w:type="dxa"/>
            <w:textDirection w:val="btLr"/>
          </w:tcPr>
          <w:p w:rsidR="00E87599" w:rsidRPr="00E87599" w:rsidRDefault="00E87599" w:rsidP="00E87599">
            <w:pPr>
              <w:ind w:left="113" w:right="113"/>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 EFECTIVIDAD sobre respuestas positivas</w:t>
            </w:r>
          </w:p>
        </w:tc>
      </w:tr>
      <w:tr w:rsidR="00E87599" w:rsidRPr="00E87599" w:rsidTr="00E87599">
        <w:trPr>
          <w:trHeight w:val="344"/>
        </w:trPr>
        <w:tc>
          <w:tcPr>
            <w:cnfStyle w:val="001000000000" w:firstRow="0" w:lastRow="0" w:firstColumn="1" w:lastColumn="0" w:oddVBand="0" w:evenVBand="0" w:oddHBand="0" w:evenHBand="0" w:firstRowFirstColumn="0" w:firstRowLastColumn="0" w:lastRowFirstColumn="0" w:lastRowLastColumn="0"/>
            <w:tcW w:w="1394" w:type="dxa"/>
            <w:noWrap/>
            <w:hideMark/>
          </w:tcPr>
          <w:p w:rsidR="00E87599" w:rsidRPr="00E87599" w:rsidRDefault="00E87599" w:rsidP="00E87599">
            <w:pPr>
              <w:rPr>
                <w:rFonts w:ascii="Montserrat" w:hAnsi="Montserrat"/>
                <w:sz w:val="18"/>
                <w:szCs w:val="18"/>
              </w:rPr>
            </w:pPr>
            <w:r w:rsidRPr="00E87599">
              <w:rPr>
                <w:rFonts w:ascii="Montserrat" w:hAnsi="Montserrat"/>
                <w:sz w:val="18"/>
                <w:szCs w:val="18"/>
              </w:rPr>
              <w:t>WhatsApp</w:t>
            </w:r>
          </w:p>
        </w:tc>
        <w:tc>
          <w:tcPr>
            <w:tcW w:w="1172" w:type="dxa"/>
            <w:noWrap/>
            <w:hideMark/>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3006</w:t>
            </w:r>
          </w:p>
        </w:tc>
        <w:tc>
          <w:tcPr>
            <w:tcW w:w="1269" w:type="dxa"/>
            <w:noWrap/>
            <w:hideMark/>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1175</w:t>
            </w:r>
          </w:p>
        </w:tc>
        <w:tc>
          <w:tcPr>
            <w:tcW w:w="1500" w:type="dxa"/>
            <w:noWrap/>
            <w:hideMark/>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340</w:t>
            </w:r>
          </w:p>
        </w:tc>
        <w:tc>
          <w:tcPr>
            <w:tcW w:w="1356" w:type="dxa"/>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11.31%</w:t>
            </w:r>
          </w:p>
        </w:tc>
        <w:tc>
          <w:tcPr>
            <w:tcW w:w="1274" w:type="dxa"/>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28,94%</w:t>
            </w:r>
          </w:p>
        </w:tc>
      </w:tr>
      <w:tr w:rsidR="00E87599" w:rsidRPr="00E87599" w:rsidTr="00E8759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394" w:type="dxa"/>
            <w:noWrap/>
            <w:hideMark/>
          </w:tcPr>
          <w:p w:rsidR="00E87599" w:rsidRPr="00E87599" w:rsidRDefault="00E87599" w:rsidP="00E87599">
            <w:pPr>
              <w:rPr>
                <w:rFonts w:ascii="Montserrat" w:hAnsi="Montserrat"/>
                <w:sz w:val="18"/>
                <w:szCs w:val="18"/>
              </w:rPr>
            </w:pPr>
            <w:r w:rsidRPr="00E87599">
              <w:rPr>
                <w:rFonts w:ascii="Montserrat" w:hAnsi="Montserrat"/>
                <w:sz w:val="18"/>
                <w:szCs w:val="18"/>
              </w:rPr>
              <w:t>Mail</w:t>
            </w:r>
          </w:p>
        </w:tc>
        <w:tc>
          <w:tcPr>
            <w:tcW w:w="1172" w:type="dxa"/>
            <w:noWrap/>
            <w:hideMark/>
          </w:tcPr>
          <w:p w:rsidR="00E87599" w:rsidRPr="00E87599" w:rsidRDefault="00E87599"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5616</w:t>
            </w:r>
          </w:p>
        </w:tc>
        <w:tc>
          <w:tcPr>
            <w:tcW w:w="1269" w:type="dxa"/>
            <w:noWrap/>
            <w:hideMark/>
          </w:tcPr>
          <w:p w:rsidR="00E87599" w:rsidRPr="00E87599" w:rsidRDefault="00E87599"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905</w:t>
            </w:r>
          </w:p>
        </w:tc>
        <w:tc>
          <w:tcPr>
            <w:tcW w:w="1500" w:type="dxa"/>
            <w:noWrap/>
            <w:hideMark/>
          </w:tcPr>
          <w:p w:rsidR="00E87599" w:rsidRPr="00E87599" w:rsidRDefault="00E87599"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519</w:t>
            </w:r>
          </w:p>
        </w:tc>
        <w:tc>
          <w:tcPr>
            <w:tcW w:w="1356" w:type="dxa"/>
          </w:tcPr>
          <w:p w:rsidR="00E87599" w:rsidRPr="00E87599" w:rsidRDefault="00E87599"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9.24%</w:t>
            </w:r>
          </w:p>
        </w:tc>
        <w:tc>
          <w:tcPr>
            <w:tcW w:w="1274" w:type="dxa"/>
          </w:tcPr>
          <w:p w:rsidR="00E87599" w:rsidRPr="00E87599" w:rsidRDefault="00E87599" w:rsidP="00E87599">
            <w:pPr>
              <w:jc w:val="center"/>
              <w:cnfStyle w:val="000000100000" w:firstRow="0" w:lastRow="0" w:firstColumn="0" w:lastColumn="0" w:oddVBand="0" w:evenVBand="0" w:oddHBand="1" w:evenHBand="0" w:firstRowFirstColumn="0" w:firstRowLastColumn="0" w:lastRowFirstColumn="0" w:lastRowLastColumn="0"/>
              <w:rPr>
                <w:rFonts w:ascii="Montserrat" w:hAnsi="Montserrat"/>
                <w:color w:val="000000"/>
                <w:sz w:val="18"/>
                <w:szCs w:val="18"/>
              </w:rPr>
            </w:pPr>
            <w:r w:rsidRPr="00E87599">
              <w:rPr>
                <w:rFonts w:ascii="Montserrat" w:hAnsi="Montserrat"/>
                <w:color w:val="000000"/>
                <w:sz w:val="18"/>
                <w:szCs w:val="18"/>
              </w:rPr>
              <w:t>57,35%</w:t>
            </w:r>
          </w:p>
        </w:tc>
      </w:tr>
      <w:tr w:rsidR="00E87599" w:rsidRPr="00E87599" w:rsidTr="00E87599">
        <w:trPr>
          <w:trHeight w:val="344"/>
        </w:trPr>
        <w:tc>
          <w:tcPr>
            <w:cnfStyle w:val="001000000000" w:firstRow="0" w:lastRow="0" w:firstColumn="1" w:lastColumn="0" w:oddVBand="0" w:evenVBand="0" w:oddHBand="0" w:evenHBand="0" w:firstRowFirstColumn="0" w:firstRowLastColumn="0" w:lastRowFirstColumn="0" w:lastRowLastColumn="0"/>
            <w:tcW w:w="1394" w:type="dxa"/>
            <w:noWrap/>
          </w:tcPr>
          <w:p w:rsidR="00E87599" w:rsidRPr="00E87599" w:rsidRDefault="00E87599" w:rsidP="00E87599">
            <w:pPr>
              <w:rPr>
                <w:rFonts w:ascii="Montserrat" w:hAnsi="Montserrat"/>
                <w:sz w:val="18"/>
                <w:szCs w:val="18"/>
              </w:rPr>
            </w:pPr>
            <w:r w:rsidRPr="00E87599">
              <w:rPr>
                <w:rFonts w:ascii="Montserrat" w:hAnsi="Montserrat"/>
                <w:sz w:val="18"/>
                <w:szCs w:val="18"/>
              </w:rPr>
              <w:t>Total</w:t>
            </w:r>
          </w:p>
        </w:tc>
        <w:tc>
          <w:tcPr>
            <w:tcW w:w="1172" w:type="dxa"/>
            <w:noWrap/>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color w:val="000000"/>
                <w:sz w:val="18"/>
                <w:szCs w:val="18"/>
              </w:rPr>
            </w:pPr>
            <w:r w:rsidRPr="00E87599">
              <w:rPr>
                <w:rFonts w:ascii="Montserrat" w:hAnsi="Montserrat"/>
                <w:b/>
                <w:color w:val="000000"/>
                <w:sz w:val="18"/>
                <w:szCs w:val="18"/>
              </w:rPr>
              <w:t>8622</w:t>
            </w:r>
          </w:p>
        </w:tc>
        <w:tc>
          <w:tcPr>
            <w:tcW w:w="1269" w:type="dxa"/>
            <w:noWrap/>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color w:val="000000"/>
                <w:sz w:val="18"/>
                <w:szCs w:val="18"/>
              </w:rPr>
            </w:pPr>
            <w:r w:rsidRPr="00E87599">
              <w:rPr>
                <w:rFonts w:ascii="Montserrat" w:hAnsi="Montserrat"/>
                <w:b/>
                <w:color w:val="000000"/>
                <w:sz w:val="18"/>
                <w:szCs w:val="18"/>
              </w:rPr>
              <w:t>2080</w:t>
            </w:r>
          </w:p>
        </w:tc>
        <w:tc>
          <w:tcPr>
            <w:tcW w:w="1500" w:type="dxa"/>
            <w:noWrap/>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color w:val="000000"/>
                <w:sz w:val="18"/>
                <w:szCs w:val="18"/>
              </w:rPr>
            </w:pPr>
            <w:r w:rsidRPr="00E87599">
              <w:rPr>
                <w:rFonts w:ascii="Montserrat" w:hAnsi="Montserrat"/>
                <w:b/>
                <w:color w:val="000000"/>
                <w:sz w:val="18"/>
                <w:szCs w:val="18"/>
              </w:rPr>
              <w:t>859</w:t>
            </w:r>
          </w:p>
        </w:tc>
        <w:tc>
          <w:tcPr>
            <w:tcW w:w="1356" w:type="dxa"/>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color w:val="000000"/>
                <w:sz w:val="18"/>
                <w:szCs w:val="18"/>
              </w:rPr>
            </w:pPr>
            <w:r w:rsidRPr="00E87599">
              <w:rPr>
                <w:rFonts w:ascii="Montserrat" w:hAnsi="Montserrat"/>
                <w:b/>
                <w:color w:val="000000"/>
                <w:sz w:val="18"/>
                <w:szCs w:val="18"/>
              </w:rPr>
              <w:t>9.96%</w:t>
            </w:r>
          </w:p>
        </w:tc>
        <w:tc>
          <w:tcPr>
            <w:tcW w:w="1274" w:type="dxa"/>
          </w:tcPr>
          <w:p w:rsidR="00E87599" w:rsidRPr="00E87599" w:rsidRDefault="00E87599" w:rsidP="00E87599">
            <w:pPr>
              <w:jc w:val="center"/>
              <w:cnfStyle w:val="000000000000" w:firstRow="0" w:lastRow="0" w:firstColumn="0" w:lastColumn="0" w:oddVBand="0" w:evenVBand="0" w:oddHBand="0" w:evenHBand="0" w:firstRowFirstColumn="0" w:firstRowLastColumn="0" w:lastRowFirstColumn="0" w:lastRowLastColumn="0"/>
              <w:rPr>
                <w:rFonts w:ascii="Montserrat" w:hAnsi="Montserrat"/>
                <w:b/>
                <w:color w:val="000000"/>
                <w:sz w:val="18"/>
                <w:szCs w:val="18"/>
              </w:rPr>
            </w:pPr>
            <w:r w:rsidRPr="00E87599">
              <w:rPr>
                <w:rFonts w:ascii="Montserrat" w:hAnsi="Montserrat"/>
                <w:b/>
                <w:color w:val="000000"/>
                <w:sz w:val="18"/>
                <w:szCs w:val="18"/>
              </w:rPr>
              <w:t>41,30%</w:t>
            </w:r>
          </w:p>
        </w:tc>
      </w:tr>
    </w:tbl>
    <w:p w:rsidR="006B48AF" w:rsidRPr="00A71B61" w:rsidRDefault="006B48AF" w:rsidP="006B48AF">
      <w:pPr>
        <w:rPr>
          <w:szCs w:val="20"/>
        </w:rPr>
      </w:pPr>
    </w:p>
    <w:p w:rsidR="006B48AF" w:rsidRPr="00A71B61" w:rsidRDefault="006B48AF">
      <w:pPr>
        <w:rPr>
          <w:rFonts w:asciiTheme="majorHAnsi" w:eastAsiaTheme="majorEastAsia" w:hAnsiTheme="majorHAnsi" w:cstheme="majorBidi"/>
          <w:color w:val="1F4D78" w:themeColor="accent1" w:themeShade="7F"/>
          <w:szCs w:val="20"/>
        </w:rPr>
      </w:pPr>
      <w:r w:rsidRPr="00A71B61">
        <w:rPr>
          <w:szCs w:val="20"/>
        </w:rPr>
        <w:br w:type="page"/>
      </w:r>
    </w:p>
    <w:p w:rsidR="00AD6D6B" w:rsidRPr="00AB3AB9" w:rsidRDefault="00AD6D6B" w:rsidP="00AB3AB9">
      <w:pPr>
        <w:pStyle w:val="Ttulo3"/>
      </w:pPr>
      <w:r w:rsidRPr="00AB3AB9">
        <w:lastRenderedPageBreak/>
        <w:t>Plan DAMO</w:t>
      </w:r>
    </w:p>
    <w:p w:rsidR="006B48AF" w:rsidRPr="00A71B61" w:rsidRDefault="006B48AF" w:rsidP="006B48AF">
      <w:pPr>
        <w:rPr>
          <w:rFonts w:cs="Arial"/>
          <w:bCs/>
          <w:szCs w:val="20"/>
          <w:lang w:val="es-ES_tradnl"/>
        </w:rPr>
      </w:pPr>
      <w:r w:rsidRPr="00A71B61">
        <w:rPr>
          <w:rFonts w:cs="Arial"/>
          <w:bCs/>
          <w:szCs w:val="20"/>
          <w:lang w:val="es-ES_tradnl"/>
        </w:rPr>
        <w:t xml:space="preserve">Hasta el 30 de junio se mantiene el PlanDaMO (“Da Médula Ósea”) puesto en marcha en mayo de 2019, consistente en la entrega de sobre con documentación (información sobre el plan, información sobre la donación de médula, consentimiento informado y breve cuestionario de selección y sobre pre franqueado) a aquellos donantes de sangre de los puntos de donación hospitalarios y CT que muestran interés en la donación de MO y de los cuales se rescata un tubo de analítica de la donación de sangre para el tipaje HLA. </w:t>
      </w:r>
    </w:p>
    <w:p w:rsidR="006B48AF" w:rsidRPr="00A71B61" w:rsidRDefault="006B48AF" w:rsidP="006B48AF">
      <w:pPr>
        <w:rPr>
          <w:rFonts w:cs="Arial"/>
          <w:bCs/>
          <w:szCs w:val="20"/>
          <w:lang w:val="es-ES_tradnl"/>
        </w:rPr>
      </w:pPr>
      <w:r w:rsidRPr="00A71B61">
        <w:rPr>
          <w:rFonts w:cs="Arial"/>
          <w:bCs/>
          <w:szCs w:val="20"/>
          <w:lang w:val="es-ES_tradnl"/>
        </w:rPr>
        <w:t>“PlanDaMO virtual: A partir del 1 de Julio deja de entregarse el sobre y la documentación pasa a hacerse envío de la misma por correo electrónico a aquellos donantes cuyo cuestionario de donación se ha marcado con la etiqueta “Médula”. El objetivo hacer la acción más sostenible ahorrando papel y evitar el trasiego del mismo en momentos de pandemia.</w:t>
      </w:r>
    </w:p>
    <w:tbl>
      <w:tblPr>
        <w:tblStyle w:val="Tabladecuadrcula5oscura-nfasis1"/>
        <w:tblW w:w="5000" w:type="pct"/>
        <w:tblLook w:val="04A0" w:firstRow="1" w:lastRow="0" w:firstColumn="1" w:lastColumn="0" w:noHBand="0" w:noVBand="1"/>
      </w:tblPr>
      <w:tblGrid>
        <w:gridCol w:w="4252"/>
        <w:gridCol w:w="1118"/>
        <w:gridCol w:w="1566"/>
        <w:gridCol w:w="991"/>
      </w:tblGrid>
      <w:tr w:rsidR="00E87599" w:rsidRPr="00B52CF8" w:rsidTr="00E87599">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682" w:type="pct"/>
            <w:hideMark/>
          </w:tcPr>
          <w:p w:rsidR="00E87599" w:rsidRPr="00E87599" w:rsidRDefault="00E87599" w:rsidP="00E87599">
            <w:pPr>
              <w:jc w:val="center"/>
              <w:rPr>
                <w:rFonts w:ascii="Montserrat" w:hAnsi="Montserrat" w:cs="Calibri"/>
                <w:b w:val="0"/>
                <w:bCs w:val="0"/>
                <w:sz w:val="22"/>
              </w:rPr>
            </w:pPr>
            <w:r w:rsidRPr="00E87599">
              <w:rPr>
                <w:rFonts w:ascii="Montserrat" w:hAnsi="Montserrat" w:cs="Calibri"/>
                <w:sz w:val="22"/>
              </w:rPr>
              <w:t>Plan DaMO</w:t>
            </w:r>
          </w:p>
        </w:tc>
        <w:tc>
          <w:tcPr>
            <w:tcW w:w="705" w:type="pct"/>
            <w:hideMark/>
          </w:tcPr>
          <w:p w:rsidR="00E87599" w:rsidRPr="00E87599" w:rsidRDefault="00E87599" w:rsidP="00E87599">
            <w:pPr>
              <w:jc w:val="center"/>
              <w:cnfStyle w:val="100000000000" w:firstRow="1" w:lastRow="0" w:firstColumn="0" w:lastColumn="0" w:oddVBand="0" w:evenVBand="0" w:oddHBand="0" w:evenHBand="0" w:firstRowFirstColumn="0" w:firstRowLastColumn="0" w:lastRowFirstColumn="0" w:lastRowLastColumn="0"/>
              <w:rPr>
                <w:rFonts w:ascii="Montserrat" w:hAnsi="Montserrat" w:cs="Calibri"/>
                <w:b w:val="0"/>
                <w:bCs w:val="0"/>
                <w:sz w:val="22"/>
              </w:rPr>
            </w:pPr>
            <w:r w:rsidRPr="00E87599">
              <w:rPr>
                <w:rFonts w:ascii="Montserrat" w:hAnsi="Montserrat" w:cs="Calibri"/>
                <w:sz w:val="22"/>
              </w:rPr>
              <w:t>2019</w:t>
            </w:r>
          </w:p>
        </w:tc>
        <w:tc>
          <w:tcPr>
            <w:tcW w:w="988" w:type="pct"/>
            <w:hideMark/>
          </w:tcPr>
          <w:p w:rsidR="00E87599" w:rsidRPr="00E87599" w:rsidRDefault="00E87599" w:rsidP="00E87599">
            <w:pPr>
              <w:jc w:val="center"/>
              <w:cnfStyle w:val="100000000000" w:firstRow="1" w:lastRow="0" w:firstColumn="0" w:lastColumn="0" w:oddVBand="0" w:evenVBand="0" w:oddHBand="0" w:evenHBand="0" w:firstRowFirstColumn="0" w:firstRowLastColumn="0" w:lastRowFirstColumn="0" w:lastRowLastColumn="0"/>
              <w:rPr>
                <w:rFonts w:ascii="Montserrat" w:hAnsi="Montserrat" w:cs="Calibri"/>
                <w:b w:val="0"/>
                <w:bCs w:val="0"/>
                <w:sz w:val="22"/>
              </w:rPr>
            </w:pPr>
            <w:r w:rsidRPr="00E87599">
              <w:rPr>
                <w:rFonts w:ascii="Montserrat" w:hAnsi="Montserrat" w:cs="Calibri"/>
                <w:sz w:val="22"/>
              </w:rPr>
              <w:t>2020 (Enero-Mayo)</w:t>
            </w:r>
          </w:p>
        </w:tc>
        <w:tc>
          <w:tcPr>
            <w:tcW w:w="625" w:type="pct"/>
            <w:hideMark/>
          </w:tcPr>
          <w:p w:rsidR="00E87599" w:rsidRPr="00E87599" w:rsidRDefault="00E87599" w:rsidP="00E87599">
            <w:pPr>
              <w:jc w:val="center"/>
              <w:cnfStyle w:val="100000000000" w:firstRow="1" w:lastRow="0" w:firstColumn="0" w:lastColumn="0" w:oddVBand="0" w:evenVBand="0" w:oddHBand="0" w:evenHBand="0" w:firstRowFirstColumn="0" w:firstRowLastColumn="0" w:lastRowFirstColumn="0" w:lastRowLastColumn="0"/>
              <w:rPr>
                <w:rFonts w:ascii="Montserrat" w:hAnsi="Montserrat" w:cs="Calibri"/>
                <w:b w:val="0"/>
                <w:bCs w:val="0"/>
                <w:sz w:val="22"/>
              </w:rPr>
            </w:pPr>
            <w:r w:rsidRPr="00E87599">
              <w:rPr>
                <w:rFonts w:ascii="Montserrat" w:hAnsi="Montserrat" w:cs="Calibri"/>
                <w:sz w:val="22"/>
              </w:rPr>
              <w:t>TOTAL</w:t>
            </w:r>
          </w:p>
        </w:tc>
      </w:tr>
      <w:tr w:rsidR="00E87599" w:rsidRPr="00B52CF8" w:rsidTr="00E87599">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682" w:type="pct"/>
            <w:hideMark/>
          </w:tcPr>
          <w:p w:rsidR="00E87599" w:rsidRPr="00E87599" w:rsidRDefault="00E87599" w:rsidP="00E87599">
            <w:pPr>
              <w:jc w:val="left"/>
              <w:rPr>
                <w:rFonts w:ascii="Montserrat" w:hAnsi="Montserrat" w:cs="Calibri"/>
                <w:sz w:val="22"/>
              </w:rPr>
            </w:pPr>
            <w:r w:rsidRPr="00E87599">
              <w:rPr>
                <w:rFonts w:ascii="Montserrat" w:hAnsi="Montserrat" w:cs="Calibri"/>
                <w:sz w:val="22"/>
              </w:rPr>
              <w:t>Sobre entregados a Hospitales desde el CT</w:t>
            </w:r>
          </w:p>
        </w:tc>
        <w:tc>
          <w:tcPr>
            <w:tcW w:w="705" w:type="pct"/>
            <w:noWrap/>
            <w:hideMark/>
          </w:tcPr>
          <w:p w:rsidR="00E87599" w:rsidRPr="00B52CF8" w:rsidRDefault="00E87599"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3.457</w:t>
            </w:r>
          </w:p>
        </w:tc>
        <w:tc>
          <w:tcPr>
            <w:tcW w:w="988" w:type="pct"/>
            <w:noWrap/>
            <w:hideMark/>
          </w:tcPr>
          <w:p w:rsidR="00E87599" w:rsidRPr="00B52CF8" w:rsidRDefault="00E87599"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423</w:t>
            </w:r>
          </w:p>
        </w:tc>
        <w:tc>
          <w:tcPr>
            <w:tcW w:w="625" w:type="pct"/>
            <w:noWrap/>
            <w:hideMark/>
          </w:tcPr>
          <w:p w:rsidR="00E87599" w:rsidRPr="00B52CF8" w:rsidRDefault="00E87599"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3.880</w:t>
            </w:r>
          </w:p>
        </w:tc>
      </w:tr>
      <w:tr w:rsidR="00E87599" w:rsidRPr="00B52CF8" w:rsidTr="00E87599">
        <w:trPr>
          <w:trHeight w:val="518"/>
        </w:trPr>
        <w:tc>
          <w:tcPr>
            <w:cnfStyle w:val="001000000000" w:firstRow="0" w:lastRow="0" w:firstColumn="1" w:lastColumn="0" w:oddVBand="0" w:evenVBand="0" w:oddHBand="0" w:evenHBand="0" w:firstRowFirstColumn="0" w:firstRowLastColumn="0" w:lastRowFirstColumn="0" w:lastRowLastColumn="0"/>
            <w:tcW w:w="2682" w:type="pct"/>
            <w:hideMark/>
          </w:tcPr>
          <w:p w:rsidR="00E87599" w:rsidRPr="00E87599" w:rsidRDefault="00E87599" w:rsidP="00E87599">
            <w:pPr>
              <w:jc w:val="left"/>
              <w:rPr>
                <w:rFonts w:ascii="Montserrat" w:hAnsi="Montserrat" w:cs="Calibri"/>
                <w:sz w:val="22"/>
              </w:rPr>
            </w:pPr>
            <w:r w:rsidRPr="00E87599">
              <w:rPr>
                <w:rFonts w:ascii="Montserrat" w:hAnsi="Montserrat" w:cs="Calibri"/>
                <w:sz w:val="22"/>
              </w:rPr>
              <w:t>Cuestionarios recibidos en el CT de sobres entregados a donantes en hospitales</w:t>
            </w:r>
          </w:p>
        </w:tc>
        <w:tc>
          <w:tcPr>
            <w:tcW w:w="705" w:type="pct"/>
            <w:hideMark/>
          </w:tcPr>
          <w:p w:rsidR="00E87599" w:rsidRPr="00B52CF8" w:rsidRDefault="00E87599" w:rsidP="00E87599">
            <w:pPr>
              <w:jc w:val="right"/>
              <w:cnfStyle w:val="000000000000" w:firstRow="0" w:lastRow="0" w:firstColumn="0" w:lastColumn="0" w:oddVBand="0" w:evenVBand="0" w:oddHBand="0"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1.799</w:t>
            </w:r>
          </w:p>
        </w:tc>
        <w:tc>
          <w:tcPr>
            <w:tcW w:w="988" w:type="pct"/>
            <w:hideMark/>
          </w:tcPr>
          <w:p w:rsidR="00E87599" w:rsidRPr="00B52CF8" w:rsidRDefault="00E87599" w:rsidP="00E87599">
            <w:pPr>
              <w:jc w:val="right"/>
              <w:cnfStyle w:val="000000000000" w:firstRow="0" w:lastRow="0" w:firstColumn="0" w:lastColumn="0" w:oddVBand="0" w:evenVBand="0" w:oddHBand="0"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465</w:t>
            </w:r>
          </w:p>
        </w:tc>
        <w:tc>
          <w:tcPr>
            <w:tcW w:w="625" w:type="pct"/>
            <w:hideMark/>
          </w:tcPr>
          <w:p w:rsidR="00E87599" w:rsidRPr="00B52CF8" w:rsidRDefault="00E87599" w:rsidP="00E87599">
            <w:pPr>
              <w:jc w:val="right"/>
              <w:cnfStyle w:val="000000000000" w:firstRow="0" w:lastRow="0" w:firstColumn="0" w:lastColumn="0" w:oddVBand="0" w:evenVBand="0" w:oddHBand="0"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2.264</w:t>
            </w:r>
          </w:p>
        </w:tc>
      </w:tr>
      <w:tr w:rsidR="00E87599" w:rsidRPr="00B52CF8" w:rsidTr="00E87599">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682" w:type="pct"/>
            <w:hideMark/>
          </w:tcPr>
          <w:p w:rsidR="00E87599" w:rsidRPr="00E87599" w:rsidRDefault="00E87599" w:rsidP="00E87599">
            <w:pPr>
              <w:jc w:val="left"/>
              <w:rPr>
                <w:rFonts w:ascii="Montserrat" w:hAnsi="Montserrat" w:cs="Calibri"/>
                <w:sz w:val="22"/>
              </w:rPr>
            </w:pPr>
            <w:r w:rsidRPr="00E87599">
              <w:rPr>
                <w:rFonts w:ascii="Montserrat" w:hAnsi="Montserrat" w:cs="Calibri"/>
                <w:sz w:val="22"/>
              </w:rPr>
              <w:t>Consentimientos recibidos/ donantes tipados y registrados</w:t>
            </w:r>
          </w:p>
        </w:tc>
        <w:tc>
          <w:tcPr>
            <w:tcW w:w="705" w:type="pct"/>
            <w:hideMark/>
          </w:tcPr>
          <w:p w:rsidR="00E87599" w:rsidRPr="00B52CF8" w:rsidRDefault="00E87599"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570</w:t>
            </w:r>
          </w:p>
        </w:tc>
        <w:tc>
          <w:tcPr>
            <w:tcW w:w="988" w:type="pct"/>
            <w:hideMark/>
          </w:tcPr>
          <w:p w:rsidR="00E87599" w:rsidRPr="00B52CF8" w:rsidRDefault="00E87599"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248</w:t>
            </w:r>
          </w:p>
        </w:tc>
        <w:tc>
          <w:tcPr>
            <w:tcW w:w="625" w:type="pct"/>
            <w:hideMark/>
          </w:tcPr>
          <w:p w:rsidR="00E87599" w:rsidRPr="00B52CF8" w:rsidRDefault="00E87599" w:rsidP="00E87599">
            <w:pPr>
              <w:jc w:val="right"/>
              <w:cnfStyle w:val="000000100000" w:firstRow="0" w:lastRow="0" w:firstColumn="0" w:lastColumn="0" w:oddVBand="0" w:evenVBand="0" w:oddHBand="1"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818</w:t>
            </w:r>
          </w:p>
        </w:tc>
      </w:tr>
      <w:tr w:rsidR="00E87599" w:rsidRPr="00B52CF8" w:rsidTr="00E87599">
        <w:trPr>
          <w:trHeight w:val="272"/>
        </w:trPr>
        <w:tc>
          <w:tcPr>
            <w:cnfStyle w:val="001000000000" w:firstRow="0" w:lastRow="0" w:firstColumn="1" w:lastColumn="0" w:oddVBand="0" w:evenVBand="0" w:oddHBand="0" w:evenHBand="0" w:firstRowFirstColumn="0" w:firstRowLastColumn="0" w:lastRowFirstColumn="0" w:lastRowLastColumn="0"/>
            <w:tcW w:w="2682" w:type="pct"/>
            <w:hideMark/>
          </w:tcPr>
          <w:p w:rsidR="00E87599" w:rsidRPr="00E87599" w:rsidRDefault="00E87599" w:rsidP="00E87599">
            <w:pPr>
              <w:jc w:val="left"/>
              <w:rPr>
                <w:rFonts w:ascii="Montserrat" w:hAnsi="Montserrat" w:cs="Calibri"/>
                <w:sz w:val="22"/>
              </w:rPr>
            </w:pPr>
            <w:r w:rsidRPr="00E87599">
              <w:rPr>
                <w:rFonts w:ascii="Montserrat" w:hAnsi="Montserrat" w:cs="Calibri"/>
                <w:sz w:val="22"/>
              </w:rPr>
              <w:t>Rendimiento</w:t>
            </w:r>
          </w:p>
        </w:tc>
        <w:tc>
          <w:tcPr>
            <w:tcW w:w="705" w:type="pct"/>
            <w:hideMark/>
          </w:tcPr>
          <w:p w:rsidR="00E87599" w:rsidRPr="00B52CF8" w:rsidRDefault="00E87599" w:rsidP="00E87599">
            <w:pPr>
              <w:cnfStyle w:val="000000000000" w:firstRow="0" w:lastRow="0" w:firstColumn="0" w:lastColumn="0" w:oddVBand="0" w:evenVBand="0" w:oddHBand="0"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 </w:t>
            </w:r>
          </w:p>
        </w:tc>
        <w:tc>
          <w:tcPr>
            <w:tcW w:w="988" w:type="pct"/>
            <w:hideMark/>
          </w:tcPr>
          <w:p w:rsidR="00E87599" w:rsidRPr="00B52CF8" w:rsidRDefault="00E87599" w:rsidP="00E87599">
            <w:pPr>
              <w:cnfStyle w:val="000000000000" w:firstRow="0" w:lastRow="0" w:firstColumn="0" w:lastColumn="0" w:oddVBand="0" w:evenVBand="0" w:oddHBand="0" w:evenHBand="0" w:firstRowFirstColumn="0" w:firstRowLastColumn="0" w:lastRowFirstColumn="0" w:lastRowLastColumn="0"/>
              <w:rPr>
                <w:rFonts w:ascii="Montserrat" w:hAnsi="Montserrat" w:cs="Calibri"/>
                <w:color w:val="000000"/>
                <w:sz w:val="22"/>
              </w:rPr>
            </w:pPr>
            <w:r w:rsidRPr="00B52CF8">
              <w:rPr>
                <w:rFonts w:ascii="Montserrat" w:hAnsi="Montserrat" w:cs="Calibri"/>
                <w:color w:val="000000"/>
                <w:sz w:val="22"/>
              </w:rPr>
              <w:t> </w:t>
            </w:r>
          </w:p>
        </w:tc>
        <w:tc>
          <w:tcPr>
            <w:tcW w:w="625" w:type="pct"/>
            <w:hideMark/>
          </w:tcPr>
          <w:p w:rsidR="00E87599" w:rsidRPr="00B52CF8" w:rsidRDefault="00E87599" w:rsidP="00E87599">
            <w:pPr>
              <w:jc w:val="right"/>
              <w:cnfStyle w:val="000000000000" w:firstRow="0" w:lastRow="0" w:firstColumn="0" w:lastColumn="0" w:oddVBand="0" w:evenVBand="0" w:oddHBand="0" w:evenHBand="0" w:firstRowFirstColumn="0" w:firstRowLastColumn="0" w:lastRowFirstColumn="0" w:lastRowLastColumn="0"/>
              <w:rPr>
                <w:rFonts w:ascii="Montserrat" w:hAnsi="Montserrat" w:cs="Calibri"/>
                <w:b/>
                <w:bCs/>
                <w:color w:val="000000"/>
                <w:sz w:val="22"/>
              </w:rPr>
            </w:pPr>
            <w:r w:rsidRPr="00B52CF8">
              <w:rPr>
                <w:rFonts w:ascii="Montserrat" w:hAnsi="Montserrat" w:cs="Calibri"/>
                <w:b/>
                <w:bCs/>
                <w:color w:val="000000"/>
                <w:sz w:val="22"/>
              </w:rPr>
              <w:t>36,13%</w:t>
            </w:r>
          </w:p>
        </w:tc>
      </w:tr>
    </w:tbl>
    <w:p w:rsidR="006B48AF" w:rsidRPr="00A71B61" w:rsidRDefault="006B48AF" w:rsidP="006B48AF">
      <w:pPr>
        <w:rPr>
          <w:rFonts w:cs="Arial"/>
          <w:bCs/>
          <w:szCs w:val="20"/>
          <w:lang w:val="es-ES_tradnl"/>
        </w:rPr>
      </w:pPr>
    </w:p>
    <w:p w:rsidR="006B48AF" w:rsidRPr="00A71B61" w:rsidRDefault="006B48AF" w:rsidP="006B48AF">
      <w:pPr>
        <w:rPr>
          <w:rFonts w:cs="Arial"/>
          <w:bCs/>
          <w:szCs w:val="20"/>
          <w:lang w:val="es-ES_tradnl"/>
        </w:rPr>
      </w:pPr>
      <w:r w:rsidRPr="00A71B61">
        <w:rPr>
          <w:rFonts w:cs="Arial"/>
          <w:bCs/>
          <w:szCs w:val="20"/>
          <w:lang w:val="es-ES_tradnl"/>
        </w:rPr>
        <w:t xml:space="preserve">De 1 de julio de 2020 </w:t>
      </w:r>
      <w:r w:rsidRPr="00A71B61">
        <w:rPr>
          <w:rFonts w:cstheme="minorHAnsi"/>
          <w:bCs/>
          <w:szCs w:val="20"/>
          <w:lang w:val="es-ES_tradnl"/>
        </w:rPr>
        <w:t>a 31 de enero se reciben el CT 741 cuestionarios de donación de sangre marcados con la etiqueta “Medula” a los que se envía documentación. Finalmente son 235 consentimientos informados recibidos</w:t>
      </w:r>
      <w:r w:rsidRPr="00A71B61">
        <w:rPr>
          <w:rFonts w:cs="Arial"/>
          <w:bCs/>
          <w:szCs w:val="20"/>
          <w:lang w:val="es-ES_tradnl"/>
        </w:rPr>
        <w:t xml:space="preserve"> y donantes registrados. La efectividad es del 36,51%</w:t>
      </w:r>
    </w:p>
    <w:p w:rsidR="00AD6D6B" w:rsidRPr="00AB3AB9" w:rsidRDefault="00AD6D6B" w:rsidP="00AB3AB9">
      <w:pPr>
        <w:pStyle w:val="Ttulo3"/>
      </w:pPr>
      <w:r w:rsidRPr="00AB3AB9">
        <w:t>Formación en hospitales y centros de salud</w:t>
      </w:r>
    </w:p>
    <w:p w:rsidR="006B48AF" w:rsidRPr="00A71B61" w:rsidRDefault="006B48AF" w:rsidP="006B48AF">
      <w:pPr>
        <w:rPr>
          <w:szCs w:val="20"/>
        </w:rPr>
      </w:pPr>
      <w:r w:rsidRPr="00A71B61">
        <w:rPr>
          <w:rFonts w:cs="Arial"/>
          <w:bCs/>
          <w:szCs w:val="20"/>
          <w:lang w:val="es-ES_tradnl"/>
        </w:rPr>
        <w:t>Se han desarrollado 5 sesiones formativas para revisión de criterios de selección y dudas sobre PlanDaMo virtual, en los hospitales: Fuenlabrada, La Princesa, Príncipe de Asturias, Severo Ochoa y Sureste. Además de una sesión de formación y punto de extracción para registro en el Centro de Salud Villablanca de Vicálvaro.</w:t>
      </w:r>
    </w:p>
    <w:p w:rsidR="00AD6D6B" w:rsidRPr="00AB3AB9" w:rsidRDefault="00AD6D6B" w:rsidP="00AB3AB9">
      <w:pPr>
        <w:pStyle w:val="Ttulo3"/>
      </w:pPr>
      <w:r w:rsidRPr="00AB3AB9">
        <w:t>Tour Médula</w:t>
      </w:r>
    </w:p>
    <w:p w:rsidR="006B48AF" w:rsidRPr="00A71B61" w:rsidRDefault="006B48AF" w:rsidP="006B48AF">
      <w:pPr>
        <w:rPr>
          <w:rFonts w:cs="Arial"/>
          <w:bCs/>
          <w:szCs w:val="20"/>
          <w:lang w:val="es-ES_tradnl"/>
        </w:rPr>
      </w:pPr>
      <w:r w:rsidRPr="00A71B61">
        <w:rPr>
          <w:rFonts w:cs="Arial"/>
          <w:bCs/>
          <w:szCs w:val="20"/>
          <w:lang w:val="es-ES_tradnl"/>
        </w:rPr>
        <w:t>Durante el 2020 se suspenden actividades presenciales de marzo a octubre. Hay actividades con empresas y universidades que quedan por tanto suspendidas. La mayoría de las charlas informativas de este año se desarrollan on line y a los donantes interesados se les redirige a los puntos de donación. En el mes de noviembre sí que se retoma la campaña con la Universidad Politécnica de Madrid durante 15 días y 9 puntos de extracción para registro.</w:t>
      </w:r>
    </w:p>
    <w:tbl>
      <w:tblPr>
        <w:tblStyle w:val="Tablanormal1"/>
        <w:tblW w:w="0" w:type="auto"/>
        <w:tblLook w:val="04A0" w:firstRow="1" w:lastRow="0" w:firstColumn="1" w:lastColumn="0" w:noHBand="0" w:noVBand="1"/>
      </w:tblPr>
      <w:tblGrid>
        <w:gridCol w:w="1920"/>
        <w:gridCol w:w="1925"/>
        <w:gridCol w:w="1400"/>
        <w:gridCol w:w="1324"/>
        <w:gridCol w:w="1358"/>
      </w:tblGrid>
      <w:tr w:rsidR="00AB3790" w:rsidRPr="00AB3790" w:rsidTr="00AB3790">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846" w:type="dxa"/>
            <w:shd w:val="clear" w:color="auto" w:fill="2E74B5" w:themeFill="accent1" w:themeFillShade="BF"/>
          </w:tcPr>
          <w:p w:rsidR="00E87599" w:rsidRPr="00AB3790" w:rsidRDefault="00E87599" w:rsidP="00E87599">
            <w:pPr>
              <w:jc w:val="center"/>
              <w:rPr>
                <w:rFonts w:cs="Arial"/>
                <w:b w:val="0"/>
                <w:bCs w:val="0"/>
                <w:color w:val="FFFFFF" w:themeColor="background1"/>
                <w:sz w:val="18"/>
                <w:szCs w:val="18"/>
                <w:lang w:val="es-ES_tradnl"/>
              </w:rPr>
            </w:pPr>
            <w:r w:rsidRPr="00AB3790">
              <w:rPr>
                <w:rFonts w:cs="Arial"/>
                <w:color w:val="FFFFFF" w:themeColor="background1"/>
                <w:sz w:val="18"/>
                <w:szCs w:val="18"/>
                <w:lang w:val="es-ES_tradnl"/>
              </w:rPr>
              <w:lastRenderedPageBreak/>
              <w:t>TOUR MÉDULA 2020</w:t>
            </w:r>
          </w:p>
        </w:tc>
        <w:tc>
          <w:tcPr>
            <w:tcW w:w="2165" w:type="dxa"/>
            <w:shd w:val="clear" w:color="auto" w:fill="2E74B5" w:themeFill="accent1" w:themeFillShade="BF"/>
          </w:tcPr>
          <w:p w:rsidR="00AB3790" w:rsidRPr="00AB3790" w:rsidRDefault="00E87599" w:rsidP="00E87599">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8"/>
                <w:szCs w:val="18"/>
                <w:lang w:val="es-ES_tradnl"/>
              </w:rPr>
            </w:pPr>
            <w:r w:rsidRPr="00AB3790">
              <w:rPr>
                <w:rFonts w:cs="Arial"/>
                <w:color w:val="FFFFFF" w:themeColor="background1"/>
                <w:sz w:val="18"/>
                <w:szCs w:val="18"/>
                <w:lang w:val="es-ES_tradnl"/>
              </w:rPr>
              <w:t>Universidad/</w:t>
            </w:r>
          </w:p>
          <w:p w:rsidR="00E87599" w:rsidRPr="00AB3790" w:rsidRDefault="00E87599" w:rsidP="00E87599">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18"/>
                <w:szCs w:val="18"/>
                <w:lang w:val="es-ES_tradnl"/>
              </w:rPr>
            </w:pPr>
            <w:r w:rsidRPr="00AB3790">
              <w:rPr>
                <w:rFonts w:cs="Arial"/>
                <w:color w:val="FFFFFF" w:themeColor="background1"/>
                <w:sz w:val="18"/>
                <w:szCs w:val="18"/>
                <w:lang w:val="es-ES_tradnl"/>
              </w:rPr>
              <w:t>Empresa</w:t>
            </w:r>
          </w:p>
        </w:tc>
        <w:tc>
          <w:tcPr>
            <w:tcW w:w="1788" w:type="dxa"/>
            <w:shd w:val="clear" w:color="auto" w:fill="2E74B5" w:themeFill="accent1" w:themeFillShade="BF"/>
          </w:tcPr>
          <w:p w:rsidR="00AB3790" w:rsidRPr="00AB3790" w:rsidRDefault="00E87599" w:rsidP="00E87599">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8"/>
                <w:szCs w:val="18"/>
                <w:lang w:val="es-ES_tradnl"/>
              </w:rPr>
            </w:pPr>
            <w:r w:rsidRPr="00AB3790">
              <w:rPr>
                <w:rFonts w:cs="Arial"/>
                <w:color w:val="FFFFFF" w:themeColor="background1"/>
                <w:sz w:val="18"/>
                <w:szCs w:val="18"/>
                <w:lang w:val="es-ES_tradnl"/>
              </w:rPr>
              <w:t>Facultades/</w:t>
            </w:r>
          </w:p>
          <w:p w:rsidR="00E87599" w:rsidRPr="00AB3790" w:rsidRDefault="00E87599" w:rsidP="00E87599">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18"/>
                <w:szCs w:val="18"/>
                <w:lang w:val="es-ES_tradnl"/>
              </w:rPr>
            </w:pPr>
            <w:r w:rsidRPr="00AB3790">
              <w:rPr>
                <w:rFonts w:cs="Arial"/>
                <w:color w:val="FFFFFF" w:themeColor="background1"/>
                <w:sz w:val="18"/>
                <w:szCs w:val="18"/>
                <w:lang w:val="es-ES_tradnl"/>
              </w:rPr>
              <w:t>Sedes</w:t>
            </w:r>
          </w:p>
        </w:tc>
        <w:tc>
          <w:tcPr>
            <w:tcW w:w="1424" w:type="dxa"/>
            <w:shd w:val="clear" w:color="auto" w:fill="2E74B5" w:themeFill="accent1" w:themeFillShade="BF"/>
          </w:tcPr>
          <w:p w:rsidR="00E87599" w:rsidRPr="00AB3790" w:rsidRDefault="00E87599" w:rsidP="00E87599">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18"/>
                <w:szCs w:val="18"/>
                <w:lang w:val="es-ES_tradnl"/>
              </w:rPr>
            </w:pPr>
            <w:r w:rsidRPr="00AB3790">
              <w:rPr>
                <w:rFonts w:cs="Arial"/>
                <w:color w:val="FFFFFF" w:themeColor="background1"/>
                <w:sz w:val="18"/>
                <w:szCs w:val="18"/>
                <w:lang w:val="es-ES_tradnl"/>
              </w:rPr>
              <w:t>Informados</w:t>
            </w:r>
          </w:p>
        </w:tc>
        <w:tc>
          <w:tcPr>
            <w:tcW w:w="1428" w:type="dxa"/>
            <w:shd w:val="clear" w:color="auto" w:fill="2E74B5" w:themeFill="accent1" w:themeFillShade="BF"/>
          </w:tcPr>
          <w:p w:rsidR="00E87599" w:rsidRPr="00AB3790" w:rsidRDefault="00E87599" w:rsidP="00E87599">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18"/>
                <w:szCs w:val="18"/>
                <w:lang w:val="es-ES_tradnl"/>
              </w:rPr>
            </w:pPr>
            <w:r w:rsidRPr="00AB3790">
              <w:rPr>
                <w:rFonts w:cs="Arial"/>
                <w:color w:val="FFFFFF" w:themeColor="background1"/>
                <w:sz w:val="18"/>
                <w:szCs w:val="18"/>
                <w:lang w:val="es-ES_tradnl"/>
              </w:rPr>
              <w:t>Registrados</w:t>
            </w:r>
          </w:p>
        </w:tc>
      </w:tr>
      <w:tr w:rsidR="00AB3790" w:rsidRPr="00AB3790" w:rsidTr="00AB3790">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1846" w:type="dxa"/>
            <w:vMerge w:val="restart"/>
          </w:tcPr>
          <w:p w:rsidR="00E87599" w:rsidRPr="00AB3790" w:rsidRDefault="00E87599" w:rsidP="00E87599">
            <w:pPr>
              <w:rPr>
                <w:rFonts w:cs="Arial"/>
                <w:b w:val="0"/>
                <w:bCs w:val="0"/>
                <w:sz w:val="18"/>
                <w:szCs w:val="18"/>
                <w:lang w:val="es-ES_tradnl"/>
              </w:rPr>
            </w:pPr>
            <w:r w:rsidRPr="00AB3790">
              <w:rPr>
                <w:rFonts w:cs="Arial"/>
                <w:sz w:val="18"/>
                <w:szCs w:val="18"/>
                <w:lang w:val="es-ES_tradnl"/>
              </w:rPr>
              <w:t>Universidades/IES</w:t>
            </w:r>
          </w:p>
        </w:tc>
        <w:tc>
          <w:tcPr>
            <w:tcW w:w="2165" w:type="dxa"/>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U Alcalá de Henares</w:t>
            </w:r>
          </w:p>
        </w:tc>
        <w:tc>
          <w:tcPr>
            <w:tcW w:w="1788" w:type="dxa"/>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1</w:t>
            </w:r>
          </w:p>
        </w:tc>
        <w:tc>
          <w:tcPr>
            <w:tcW w:w="1424" w:type="dxa"/>
            <w:vMerge w:val="restart"/>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1743</w:t>
            </w:r>
          </w:p>
        </w:tc>
        <w:tc>
          <w:tcPr>
            <w:tcW w:w="1428" w:type="dxa"/>
            <w:vMerge w:val="restart"/>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192</w:t>
            </w:r>
          </w:p>
        </w:tc>
      </w:tr>
      <w:tr w:rsidR="00E87599" w:rsidRPr="00AB3790" w:rsidTr="00AB3790">
        <w:trPr>
          <w:trHeight w:val="64"/>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sz w:val="18"/>
                <w:szCs w:val="18"/>
                <w:lang w:val="es-ES_tradnl"/>
              </w:rPr>
            </w:pPr>
          </w:p>
        </w:tc>
        <w:tc>
          <w:tcPr>
            <w:tcW w:w="2165" w:type="dxa"/>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U Politécnica de Madrid</w:t>
            </w:r>
          </w:p>
        </w:tc>
        <w:tc>
          <w:tcPr>
            <w:tcW w:w="1788" w:type="dxa"/>
          </w:tcPr>
          <w:p w:rsidR="00E87599" w:rsidRPr="00AB3790" w:rsidRDefault="00E87599" w:rsidP="00E87599">
            <w:pPr>
              <w:jc w:val="cente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9</w:t>
            </w:r>
          </w:p>
        </w:tc>
        <w:tc>
          <w:tcPr>
            <w:tcW w:w="1424"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sz w:val="18"/>
                <w:szCs w:val="18"/>
                <w:lang w:val="es-ES_tradnl"/>
              </w:rPr>
            </w:pPr>
          </w:p>
        </w:tc>
        <w:tc>
          <w:tcPr>
            <w:tcW w:w="142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sz w:val="18"/>
                <w:szCs w:val="18"/>
                <w:lang w:val="es-ES_tradnl"/>
              </w:rPr>
            </w:pPr>
          </w:p>
        </w:tc>
      </w:tr>
      <w:tr w:rsidR="00AB3790" w:rsidRPr="00AB3790" w:rsidTr="00AB3790">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sz w:val="18"/>
                <w:szCs w:val="18"/>
                <w:lang w:val="es-ES_tradnl"/>
              </w:rPr>
            </w:pPr>
          </w:p>
        </w:tc>
        <w:tc>
          <w:tcPr>
            <w:tcW w:w="2165" w:type="dxa"/>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U Autónoma de Madrid</w:t>
            </w:r>
          </w:p>
        </w:tc>
        <w:tc>
          <w:tcPr>
            <w:tcW w:w="1788" w:type="dxa"/>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5</w:t>
            </w:r>
          </w:p>
        </w:tc>
        <w:tc>
          <w:tcPr>
            <w:tcW w:w="1424"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sz w:val="18"/>
                <w:szCs w:val="18"/>
                <w:lang w:val="es-ES_tradnl"/>
              </w:rPr>
            </w:pPr>
          </w:p>
        </w:tc>
        <w:tc>
          <w:tcPr>
            <w:tcW w:w="1428"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sz w:val="18"/>
                <w:szCs w:val="18"/>
                <w:lang w:val="es-ES_tradnl"/>
              </w:rPr>
            </w:pPr>
          </w:p>
        </w:tc>
      </w:tr>
      <w:tr w:rsidR="00E87599" w:rsidRPr="00AB3790" w:rsidTr="00AB3790">
        <w:trPr>
          <w:trHeight w:val="64"/>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sz w:val="18"/>
                <w:szCs w:val="18"/>
                <w:lang w:val="es-ES_tradnl"/>
              </w:rPr>
            </w:pPr>
          </w:p>
        </w:tc>
        <w:tc>
          <w:tcPr>
            <w:tcW w:w="2165" w:type="dxa"/>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IES Moratalaz</w:t>
            </w:r>
          </w:p>
        </w:tc>
        <w:tc>
          <w:tcPr>
            <w:tcW w:w="1788" w:type="dxa"/>
          </w:tcPr>
          <w:p w:rsidR="00E87599" w:rsidRPr="00AB3790" w:rsidRDefault="00E87599" w:rsidP="00E87599">
            <w:pPr>
              <w:jc w:val="cente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1</w:t>
            </w:r>
          </w:p>
        </w:tc>
        <w:tc>
          <w:tcPr>
            <w:tcW w:w="1424"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sz w:val="18"/>
                <w:szCs w:val="18"/>
                <w:lang w:val="es-ES_tradnl"/>
              </w:rPr>
            </w:pPr>
          </w:p>
        </w:tc>
        <w:tc>
          <w:tcPr>
            <w:tcW w:w="142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sz w:val="18"/>
                <w:szCs w:val="18"/>
                <w:lang w:val="es-ES_tradnl"/>
              </w:rPr>
            </w:pPr>
          </w:p>
        </w:tc>
      </w:tr>
      <w:tr w:rsidR="00AB3790" w:rsidRPr="00AB3790" w:rsidTr="00AB3790">
        <w:trPr>
          <w:cnfStyle w:val="000000100000" w:firstRow="0" w:lastRow="0" w:firstColumn="0" w:lastColumn="0" w:oddVBand="0" w:evenVBand="0" w:oddHBand="1"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846" w:type="dxa"/>
            <w:vMerge w:val="restart"/>
          </w:tcPr>
          <w:p w:rsidR="00E87599" w:rsidRPr="00AB3790" w:rsidRDefault="00E87599" w:rsidP="00E87599">
            <w:pPr>
              <w:rPr>
                <w:rFonts w:cs="Arial"/>
                <w:b w:val="0"/>
                <w:bCs w:val="0"/>
                <w:sz w:val="18"/>
                <w:szCs w:val="18"/>
                <w:lang w:val="es-ES_tradnl"/>
              </w:rPr>
            </w:pPr>
            <w:r w:rsidRPr="00AB3790">
              <w:rPr>
                <w:rFonts w:cs="Arial"/>
                <w:sz w:val="18"/>
                <w:szCs w:val="18"/>
                <w:lang w:val="es-ES_tradnl"/>
              </w:rPr>
              <w:t>Empresas</w:t>
            </w:r>
          </w:p>
        </w:tc>
        <w:tc>
          <w:tcPr>
            <w:tcW w:w="2165" w:type="dxa"/>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DLL</w:t>
            </w:r>
          </w:p>
        </w:tc>
        <w:tc>
          <w:tcPr>
            <w:tcW w:w="1788" w:type="dxa"/>
            <w:vMerge w:val="restart"/>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9</w:t>
            </w:r>
          </w:p>
        </w:tc>
        <w:tc>
          <w:tcPr>
            <w:tcW w:w="1424" w:type="dxa"/>
            <w:vMerge w:val="restart"/>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2603</w:t>
            </w:r>
          </w:p>
        </w:tc>
        <w:tc>
          <w:tcPr>
            <w:tcW w:w="1428" w:type="dxa"/>
            <w:vMerge w:val="restart"/>
          </w:tcPr>
          <w:p w:rsidR="00E87599" w:rsidRPr="00AB3790" w:rsidRDefault="00E87599" w:rsidP="00E87599">
            <w:pPr>
              <w:jc w:val="cente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108</w:t>
            </w:r>
          </w:p>
        </w:tc>
      </w:tr>
      <w:tr w:rsidR="00E87599" w:rsidRPr="00AB3790" w:rsidTr="00AB3790">
        <w:trPr>
          <w:trHeight w:val="42"/>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color w:val="FF0000"/>
                <w:sz w:val="18"/>
                <w:szCs w:val="18"/>
                <w:lang w:val="es-ES_tradnl"/>
              </w:rPr>
            </w:pPr>
          </w:p>
        </w:tc>
        <w:tc>
          <w:tcPr>
            <w:tcW w:w="2165" w:type="dxa"/>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EY</w:t>
            </w:r>
          </w:p>
        </w:tc>
        <w:tc>
          <w:tcPr>
            <w:tcW w:w="178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c>
          <w:tcPr>
            <w:tcW w:w="1424"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c>
          <w:tcPr>
            <w:tcW w:w="142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r>
      <w:tr w:rsidR="00AB3790" w:rsidRPr="00AB3790" w:rsidTr="00AB379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color w:val="FF0000"/>
                <w:sz w:val="18"/>
                <w:szCs w:val="18"/>
                <w:lang w:val="es-ES_tradnl"/>
              </w:rPr>
            </w:pPr>
          </w:p>
        </w:tc>
        <w:tc>
          <w:tcPr>
            <w:tcW w:w="2165" w:type="dxa"/>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INDRA</w:t>
            </w:r>
          </w:p>
        </w:tc>
        <w:tc>
          <w:tcPr>
            <w:tcW w:w="1788"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color w:val="FF0000"/>
                <w:sz w:val="18"/>
                <w:szCs w:val="18"/>
                <w:lang w:val="es-ES_tradnl"/>
              </w:rPr>
            </w:pPr>
          </w:p>
        </w:tc>
        <w:tc>
          <w:tcPr>
            <w:tcW w:w="1424"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color w:val="FF0000"/>
                <w:sz w:val="18"/>
                <w:szCs w:val="18"/>
                <w:lang w:val="es-ES_tradnl"/>
              </w:rPr>
            </w:pPr>
          </w:p>
        </w:tc>
        <w:tc>
          <w:tcPr>
            <w:tcW w:w="1428"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color w:val="FF0000"/>
                <w:sz w:val="18"/>
                <w:szCs w:val="18"/>
                <w:lang w:val="es-ES_tradnl"/>
              </w:rPr>
            </w:pPr>
          </w:p>
        </w:tc>
      </w:tr>
      <w:tr w:rsidR="00E87599" w:rsidRPr="00AB3790" w:rsidTr="00AB3790">
        <w:trPr>
          <w:trHeight w:val="42"/>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color w:val="FF0000"/>
                <w:sz w:val="18"/>
                <w:szCs w:val="18"/>
                <w:lang w:val="es-ES_tradnl"/>
              </w:rPr>
            </w:pPr>
          </w:p>
        </w:tc>
        <w:tc>
          <w:tcPr>
            <w:tcW w:w="2165" w:type="dxa"/>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Jhonson&amp;Jhonson</w:t>
            </w:r>
          </w:p>
        </w:tc>
        <w:tc>
          <w:tcPr>
            <w:tcW w:w="178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c>
          <w:tcPr>
            <w:tcW w:w="1424"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c>
          <w:tcPr>
            <w:tcW w:w="142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r>
      <w:tr w:rsidR="00AB3790" w:rsidRPr="00AB3790" w:rsidTr="00AB379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color w:val="FF0000"/>
                <w:sz w:val="18"/>
                <w:szCs w:val="18"/>
                <w:lang w:val="es-ES_tradnl"/>
              </w:rPr>
            </w:pPr>
          </w:p>
        </w:tc>
        <w:tc>
          <w:tcPr>
            <w:tcW w:w="2165" w:type="dxa"/>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sz w:val="18"/>
                <w:szCs w:val="18"/>
              </w:rPr>
            </w:pPr>
            <w:r w:rsidRPr="00AB3790">
              <w:rPr>
                <w:sz w:val="18"/>
                <w:szCs w:val="18"/>
              </w:rPr>
              <w:t>KONECTA</w:t>
            </w:r>
          </w:p>
        </w:tc>
        <w:tc>
          <w:tcPr>
            <w:tcW w:w="1788"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color w:val="FF0000"/>
                <w:sz w:val="18"/>
                <w:szCs w:val="18"/>
                <w:lang w:val="es-ES_tradnl"/>
              </w:rPr>
            </w:pPr>
          </w:p>
        </w:tc>
        <w:tc>
          <w:tcPr>
            <w:tcW w:w="1424"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color w:val="FF0000"/>
                <w:sz w:val="18"/>
                <w:szCs w:val="18"/>
                <w:lang w:val="es-ES_tradnl"/>
              </w:rPr>
            </w:pPr>
          </w:p>
        </w:tc>
        <w:tc>
          <w:tcPr>
            <w:tcW w:w="1428" w:type="dxa"/>
            <w:vMerge/>
          </w:tcPr>
          <w:p w:rsidR="00E87599" w:rsidRPr="00AB3790" w:rsidRDefault="00E87599" w:rsidP="00E87599">
            <w:pPr>
              <w:cnfStyle w:val="000000100000" w:firstRow="0" w:lastRow="0" w:firstColumn="0" w:lastColumn="0" w:oddVBand="0" w:evenVBand="0" w:oddHBand="1" w:evenHBand="0" w:firstRowFirstColumn="0" w:firstRowLastColumn="0" w:lastRowFirstColumn="0" w:lastRowLastColumn="0"/>
              <w:rPr>
                <w:rFonts w:cs="Arial"/>
                <w:b/>
                <w:bCs/>
                <w:color w:val="FF0000"/>
                <w:sz w:val="18"/>
                <w:szCs w:val="18"/>
                <w:lang w:val="es-ES_tradnl"/>
              </w:rPr>
            </w:pPr>
          </w:p>
        </w:tc>
      </w:tr>
      <w:tr w:rsidR="00E87599" w:rsidRPr="00AB3790" w:rsidTr="00AB3790">
        <w:trPr>
          <w:trHeight w:val="42"/>
        </w:trPr>
        <w:tc>
          <w:tcPr>
            <w:cnfStyle w:val="001000000000" w:firstRow="0" w:lastRow="0" w:firstColumn="1" w:lastColumn="0" w:oddVBand="0" w:evenVBand="0" w:oddHBand="0" w:evenHBand="0" w:firstRowFirstColumn="0" w:firstRowLastColumn="0" w:lastRowFirstColumn="0" w:lastRowLastColumn="0"/>
            <w:tcW w:w="1846" w:type="dxa"/>
            <w:vMerge/>
          </w:tcPr>
          <w:p w:rsidR="00E87599" w:rsidRPr="00AB3790" w:rsidRDefault="00E87599" w:rsidP="00E87599">
            <w:pPr>
              <w:rPr>
                <w:rFonts w:cs="Arial"/>
                <w:b w:val="0"/>
                <w:bCs w:val="0"/>
                <w:color w:val="FF0000"/>
                <w:sz w:val="18"/>
                <w:szCs w:val="18"/>
                <w:lang w:val="es-ES_tradnl"/>
              </w:rPr>
            </w:pPr>
          </w:p>
        </w:tc>
        <w:tc>
          <w:tcPr>
            <w:tcW w:w="2165" w:type="dxa"/>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sz w:val="18"/>
                <w:szCs w:val="18"/>
              </w:rPr>
            </w:pPr>
            <w:r w:rsidRPr="00AB3790">
              <w:rPr>
                <w:sz w:val="18"/>
                <w:szCs w:val="18"/>
              </w:rPr>
              <w:t>UNIVERSITAS XXI</w:t>
            </w:r>
          </w:p>
        </w:tc>
        <w:tc>
          <w:tcPr>
            <w:tcW w:w="178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c>
          <w:tcPr>
            <w:tcW w:w="1424"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c>
          <w:tcPr>
            <w:tcW w:w="1428" w:type="dxa"/>
            <w:vMerge/>
          </w:tcPr>
          <w:p w:rsidR="00E87599" w:rsidRPr="00AB3790" w:rsidRDefault="00E87599" w:rsidP="00E87599">
            <w:pPr>
              <w:cnfStyle w:val="000000000000" w:firstRow="0" w:lastRow="0" w:firstColumn="0" w:lastColumn="0" w:oddVBand="0" w:evenVBand="0" w:oddHBand="0" w:evenHBand="0" w:firstRowFirstColumn="0" w:firstRowLastColumn="0" w:lastRowFirstColumn="0" w:lastRowLastColumn="0"/>
              <w:rPr>
                <w:rFonts w:cs="Arial"/>
                <w:b/>
                <w:bCs/>
                <w:color w:val="FF0000"/>
                <w:sz w:val="18"/>
                <w:szCs w:val="18"/>
                <w:lang w:val="es-ES_tradnl"/>
              </w:rPr>
            </w:pPr>
          </w:p>
        </w:tc>
      </w:tr>
    </w:tbl>
    <w:p w:rsidR="006B48AF" w:rsidRPr="00A71B61" w:rsidRDefault="006B48AF" w:rsidP="006B48AF">
      <w:pPr>
        <w:rPr>
          <w:szCs w:val="20"/>
          <w:lang w:val="es-ES_tradnl"/>
        </w:rPr>
      </w:pPr>
    </w:p>
    <w:p w:rsidR="00AD6D6B" w:rsidRPr="00AB3AB9" w:rsidRDefault="00AD6D6B" w:rsidP="00AB3AB9">
      <w:pPr>
        <w:pStyle w:val="Ttulo3"/>
      </w:pPr>
      <w:r w:rsidRPr="00AB3AB9">
        <w:t>Redes sociales</w:t>
      </w:r>
    </w:p>
    <w:p w:rsidR="006B48AF" w:rsidRDefault="006B48AF" w:rsidP="006B48AF">
      <w:pPr>
        <w:rPr>
          <w:rFonts w:cs="Arial"/>
          <w:bCs/>
          <w:szCs w:val="20"/>
          <w:lang w:val="es-ES_tradnl"/>
        </w:rPr>
      </w:pPr>
      <w:r w:rsidRPr="00A71B61">
        <w:rPr>
          <w:rFonts w:cs="Arial"/>
          <w:bCs/>
          <w:szCs w:val="20"/>
          <w:lang w:val="es-ES_tradnl"/>
        </w:rPr>
        <w:t>Contamos con tres perfiles en RRSS que se abrieron con la presentación de la campaña “Equipo médula” en septiembre de 2018. En 2020 se añade Linkedin por ser una red que permite estar presente en el mundo de la empresa. Estas RRSS permiten, además de informar y promocionar, mantener interacción con los donantes resolviendo dudas y sumándolos como promotores de la donación de médula.</w:t>
      </w:r>
    </w:p>
    <w:p w:rsidR="00AB3790" w:rsidRPr="00A71B61" w:rsidRDefault="00AB3790" w:rsidP="006B48AF">
      <w:pPr>
        <w:rPr>
          <w:rFonts w:cs="Arial"/>
          <w:bCs/>
          <w:szCs w:val="20"/>
          <w:lang w:val="es-ES_tradnl"/>
        </w:rPr>
      </w:pPr>
      <w:r w:rsidRPr="00B52CF8">
        <w:rPr>
          <w:rFonts w:ascii="Montserrat" w:hAnsi="Montserrat"/>
          <w:noProof/>
          <w:sz w:val="22"/>
        </w:rPr>
        <w:drawing>
          <wp:inline distT="0" distB="0" distL="0" distR="0" wp14:anchorId="337F9135" wp14:editId="3FF25EFE">
            <wp:extent cx="5039995" cy="1092736"/>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screen">
                      <a:extLst>
                        <a:ext uri="{28A0092B-C50C-407E-A947-70E740481C1C}">
                          <a14:useLocalDpi xmlns:a14="http://schemas.microsoft.com/office/drawing/2010/main" val="0"/>
                        </a:ext>
                      </a:extLst>
                    </a:blip>
                    <a:srcRect/>
                    <a:stretch>
                      <a:fillRect/>
                    </a:stretch>
                  </pic:blipFill>
                  <pic:spPr bwMode="auto">
                    <a:xfrm>
                      <a:off x="0" y="0"/>
                      <a:ext cx="5039995" cy="1092736"/>
                    </a:xfrm>
                    <a:prstGeom prst="rect">
                      <a:avLst/>
                    </a:prstGeom>
                    <a:noFill/>
                    <a:ln>
                      <a:noFill/>
                    </a:ln>
                  </pic:spPr>
                </pic:pic>
              </a:graphicData>
            </a:graphic>
          </wp:inline>
        </w:drawing>
      </w:r>
    </w:p>
    <w:p w:rsidR="006B48AF" w:rsidRPr="00A71B61" w:rsidRDefault="006B48AF" w:rsidP="006B48AF">
      <w:pPr>
        <w:rPr>
          <w:szCs w:val="20"/>
        </w:rPr>
      </w:pPr>
    </w:p>
    <w:p w:rsidR="00AD6D6B" w:rsidRDefault="00AD6D6B" w:rsidP="00B51AC6">
      <w:pPr>
        <w:pStyle w:val="Ttulo3"/>
      </w:pPr>
      <w:r w:rsidRPr="00B51AC6">
        <w:t>Carnés de Equipo Médula para donantes registrados</w:t>
      </w:r>
    </w:p>
    <w:p w:rsidR="00AB3790" w:rsidRPr="00AB3790" w:rsidRDefault="00AB3790" w:rsidP="00AB3790">
      <w:r w:rsidRPr="00B52CF8">
        <w:rPr>
          <w:rFonts w:ascii="Montserrat" w:hAnsi="Montserrat"/>
          <w:noProof/>
          <w:sz w:val="22"/>
        </w:rPr>
        <w:drawing>
          <wp:anchor distT="0" distB="0" distL="114300" distR="114300" simplePos="0" relativeHeight="251766784" behindDoc="0" locked="0" layoutInCell="1" allowOverlap="1" wp14:anchorId="4EA76024" wp14:editId="06202DAF">
            <wp:simplePos x="0" y="0"/>
            <wp:positionH relativeFrom="margin">
              <wp:align>left</wp:align>
            </wp:positionH>
            <wp:positionV relativeFrom="paragraph">
              <wp:posOffset>292100</wp:posOffset>
            </wp:positionV>
            <wp:extent cx="5116830" cy="1009015"/>
            <wp:effectExtent l="0" t="0" r="7620" b="63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683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48AF" w:rsidRPr="00A71B61" w:rsidRDefault="006B48AF" w:rsidP="006B48AF">
      <w:pPr>
        <w:rPr>
          <w:szCs w:val="20"/>
        </w:rPr>
      </w:pPr>
    </w:p>
    <w:p w:rsidR="00AB3790" w:rsidRDefault="00AB3790">
      <w:pPr>
        <w:jc w:val="left"/>
        <w:rPr>
          <w:rFonts w:ascii="Montserrat SemiBold" w:eastAsia="Times New Roman" w:hAnsi="Montserrat SemiBold" w:cs="Times New Roman"/>
          <w:b/>
          <w:bCs/>
          <w:color w:val="0099CC"/>
          <w:szCs w:val="26"/>
          <w:lang w:val="x-none" w:eastAsia="x-none"/>
        </w:rPr>
      </w:pPr>
      <w:bookmarkStart w:id="22" w:name="_Toc90584864"/>
      <w:r>
        <w:br w:type="page"/>
      </w:r>
    </w:p>
    <w:p w:rsidR="00AD6D6B" w:rsidRPr="00AB3AB9" w:rsidRDefault="00AD6D6B" w:rsidP="00AB3AB9">
      <w:pPr>
        <w:pStyle w:val="Ttulo2"/>
      </w:pPr>
      <w:r w:rsidRPr="00AB3AB9">
        <w:lastRenderedPageBreak/>
        <w:t>Actividad del Departamento de Reprografía</w:t>
      </w:r>
      <w:bookmarkEnd w:id="22"/>
    </w:p>
    <w:p w:rsidR="006B48AF" w:rsidRPr="00A71B61" w:rsidRDefault="006B48AF" w:rsidP="006B48AF">
      <w:pPr>
        <w:rPr>
          <w:rFonts w:cs="Arial"/>
          <w:bCs/>
          <w:szCs w:val="20"/>
        </w:rPr>
      </w:pPr>
      <w:r w:rsidRPr="00A71B61">
        <w:rPr>
          <w:rFonts w:cs="Arial"/>
          <w:bCs/>
          <w:szCs w:val="20"/>
        </w:rPr>
        <w:t>Desde el departamento de reprografía se envían o preparan:</w:t>
      </w:r>
    </w:p>
    <w:p w:rsidR="006B48AF" w:rsidRPr="00A71B61" w:rsidRDefault="006B48AF" w:rsidP="00846064">
      <w:pPr>
        <w:pStyle w:val="Prrafodelista"/>
        <w:numPr>
          <w:ilvl w:val="0"/>
          <w:numId w:val="20"/>
        </w:numPr>
        <w:spacing w:after="0" w:line="240" w:lineRule="auto"/>
        <w:rPr>
          <w:rFonts w:cs="Arial"/>
          <w:bCs/>
          <w:szCs w:val="20"/>
        </w:rPr>
      </w:pPr>
      <w:r w:rsidRPr="00A71B61">
        <w:rPr>
          <w:rFonts w:cs="Arial"/>
          <w:bCs/>
          <w:szCs w:val="20"/>
        </w:rPr>
        <w:t>SMS de convocatoria a donantes de hospitales y CTCM en momentos de bajo stock y en maratones, además de un envío periódico mensual de recordatorio a los 4 meses de la donación y 1 año y 4 meses, si no ha habido donación. Desde el mes de marzo se hace necesario revisar el sistema de convocatoria por sms a donantes para hospitales y Centro de Transfusión y pasar a una convocatoria semanal de un número suficiente de donantes que nos pueda asegurar un nivel necesario de donaciones para abastecer las necesidades de los hospitales (muy cambiantes a lo largo de toda la pandemia)</w:t>
      </w:r>
      <w:r w:rsidR="00A94115" w:rsidRPr="00A71B61">
        <w:rPr>
          <w:rFonts w:cs="Arial"/>
          <w:bCs/>
          <w:szCs w:val="20"/>
        </w:rPr>
        <w:t>.</w:t>
      </w:r>
    </w:p>
    <w:p w:rsidR="006B48AF" w:rsidRPr="00A71B61" w:rsidRDefault="006B48AF" w:rsidP="00846064">
      <w:pPr>
        <w:pStyle w:val="Prrafodelista"/>
        <w:numPr>
          <w:ilvl w:val="0"/>
          <w:numId w:val="20"/>
        </w:numPr>
        <w:spacing w:after="0" w:line="240" w:lineRule="auto"/>
        <w:rPr>
          <w:rFonts w:cs="Arial"/>
          <w:bCs/>
          <w:szCs w:val="20"/>
        </w:rPr>
      </w:pPr>
      <w:r w:rsidRPr="00A71B61">
        <w:rPr>
          <w:rFonts w:cs="Arial"/>
          <w:bCs/>
          <w:szCs w:val="20"/>
        </w:rPr>
        <w:t xml:space="preserve"> Cartas de agradecimiento con la analítica realizada en la última donación. (a través de empresa externa GUPOST )</w:t>
      </w:r>
      <w:r w:rsidR="00A94115" w:rsidRPr="00A71B61">
        <w:rPr>
          <w:rFonts w:cs="Arial"/>
          <w:bCs/>
          <w:szCs w:val="20"/>
        </w:rPr>
        <w:t>.</w:t>
      </w:r>
    </w:p>
    <w:p w:rsidR="006B48AF" w:rsidRPr="00A71B61" w:rsidRDefault="006B48AF" w:rsidP="00846064">
      <w:pPr>
        <w:pStyle w:val="Prrafodelista"/>
        <w:numPr>
          <w:ilvl w:val="0"/>
          <w:numId w:val="20"/>
        </w:numPr>
        <w:spacing w:after="0" w:line="240" w:lineRule="auto"/>
        <w:rPr>
          <w:rFonts w:cs="Arial"/>
          <w:bCs/>
          <w:szCs w:val="20"/>
        </w:rPr>
      </w:pPr>
      <w:r w:rsidRPr="00A71B61">
        <w:rPr>
          <w:rFonts w:cs="Arial"/>
          <w:bCs/>
          <w:szCs w:val="20"/>
        </w:rPr>
        <w:t>SMS de agradecimiento previa al envío de la carta.</w:t>
      </w:r>
    </w:p>
    <w:p w:rsidR="006B48AF" w:rsidRPr="00A71B61" w:rsidRDefault="006B48AF" w:rsidP="00846064">
      <w:pPr>
        <w:pStyle w:val="Prrafodelista"/>
        <w:numPr>
          <w:ilvl w:val="0"/>
          <w:numId w:val="20"/>
        </w:numPr>
        <w:spacing w:after="0" w:line="240" w:lineRule="auto"/>
        <w:rPr>
          <w:rFonts w:cs="Arial"/>
          <w:bCs/>
          <w:szCs w:val="20"/>
        </w:rPr>
      </w:pPr>
      <w:r w:rsidRPr="00A71B61">
        <w:rPr>
          <w:rFonts w:cs="Arial"/>
          <w:bCs/>
          <w:szCs w:val="20"/>
        </w:rPr>
        <w:t>Carnés a donantes nuevos o a aquellos que lo solicitan para reposición.</w:t>
      </w:r>
    </w:p>
    <w:p w:rsidR="00A94115" w:rsidRPr="00A71B61" w:rsidRDefault="00A94115" w:rsidP="00A94115">
      <w:pPr>
        <w:pStyle w:val="Prrafodelista"/>
        <w:spacing w:after="0" w:line="240" w:lineRule="auto"/>
        <w:rPr>
          <w:rFonts w:cs="Arial"/>
          <w:bCs/>
          <w:szCs w:val="20"/>
        </w:rPr>
      </w:pPr>
    </w:p>
    <w:p w:rsidR="006B48AF" w:rsidRPr="00A71B61" w:rsidRDefault="006B48AF" w:rsidP="00A94115">
      <w:pPr>
        <w:rPr>
          <w:rFonts w:cs="Arial"/>
          <w:bCs/>
          <w:szCs w:val="20"/>
        </w:rPr>
      </w:pPr>
      <w:r w:rsidRPr="00A71B61">
        <w:rPr>
          <w:rFonts w:cs="Arial"/>
          <w:bCs/>
          <w:szCs w:val="20"/>
        </w:rPr>
        <w:t>Se generan, preparan y depositan en la carpeta en la “nube” los ficheros para las colectas externas a los que la UCRE no puede acceder</w:t>
      </w:r>
      <w:r w:rsidR="00A94115" w:rsidRPr="00A71B61">
        <w:rPr>
          <w:rFonts w:cs="Arial"/>
          <w:bCs/>
          <w:szCs w:val="20"/>
        </w:rPr>
        <w:t>.</w:t>
      </w:r>
    </w:p>
    <w:tbl>
      <w:tblPr>
        <w:tblStyle w:val="Tabladecuadrcula5oscura-nfasis1"/>
        <w:tblW w:w="5183" w:type="pct"/>
        <w:tblLayout w:type="fixed"/>
        <w:tblLook w:val="06E0" w:firstRow="1" w:lastRow="1" w:firstColumn="1" w:lastColumn="0" w:noHBand="1" w:noVBand="1"/>
      </w:tblPr>
      <w:tblGrid>
        <w:gridCol w:w="1708"/>
        <w:gridCol w:w="1008"/>
        <w:gridCol w:w="772"/>
        <w:gridCol w:w="902"/>
        <w:gridCol w:w="1006"/>
        <w:gridCol w:w="884"/>
        <w:gridCol w:w="810"/>
        <w:gridCol w:w="1127"/>
      </w:tblGrid>
      <w:tr w:rsidR="00EA016A" w:rsidRPr="00FD1BAB" w:rsidTr="00B51AC6">
        <w:trPr>
          <w:cnfStyle w:val="100000000000" w:firstRow="1" w:lastRow="0" w:firstColumn="0" w:lastColumn="0" w:oddVBand="0" w:evenVBand="0" w:oddHBand="0"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tbl>
            <w:tblPr>
              <w:tblW w:w="7621" w:type="dxa"/>
              <w:tblCellSpacing w:w="0" w:type="dxa"/>
              <w:tblLayout w:type="fixed"/>
              <w:tblCellMar>
                <w:left w:w="0" w:type="dxa"/>
                <w:right w:w="0" w:type="dxa"/>
              </w:tblCellMar>
              <w:tblLook w:val="04A0" w:firstRow="1" w:lastRow="0" w:firstColumn="1" w:lastColumn="0" w:noHBand="0" w:noVBand="1"/>
            </w:tblPr>
            <w:tblGrid>
              <w:gridCol w:w="7621"/>
            </w:tblGrid>
            <w:tr w:rsidR="00A94115" w:rsidRPr="00FD1BAB" w:rsidTr="00EA016A">
              <w:trPr>
                <w:trHeight w:val="194"/>
                <w:tblCellSpacing w:w="0" w:type="dxa"/>
              </w:trPr>
              <w:tc>
                <w:tcPr>
                  <w:tcW w:w="7621" w:type="dxa"/>
                  <w:tcBorders>
                    <w:top w:val="nil"/>
                    <w:left w:val="nil"/>
                    <w:bottom w:val="nil"/>
                    <w:right w:val="nil"/>
                  </w:tcBorders>
                  <w:shd w:val="clear" w:color="auto" w:fill="auto"/>
                  <w:vAlign w:val="center"/>
                  <w:hideMark/>
                </w:tcPr>
                <w:p w:rsidR="00A94115" w:rsidRPr="00FD1BAB" w:rsidRDefault="00A94115" w:rsidP="003B7974">
                  <w:pPr>
                    <w:jc w:val="center"/>
                    <w:rPr>
                      <w:rFonts w:cs="Arial"/>
                      <w:b/>
                      <w:bCs/>
                      <w:color w:val="FFFFFF" w:themeColor="background1"/>
                      <w:sz w:val="18"/>
                      <w:szCs w:val="18"/>
                    </w:rPr>
                  </w:pPr>
                  <w:r w:rsidRPr="00FD1BAB">
                    <w:rPr>
                      <w:rFonts w:cs="Arial"/>
                      <w:b/>
                      <w:bCs/>
                      <w:color w:val="FFFFFF" w:themeColor="background1"/>
                      <w:sz w:val="18"/>
                      <w:szCs w:val="18"/>
                    </w:rPr>
                    <w:t>INFORME DEL DEPARTAMENTO DE REPROGRAFÍA - REGISTROS PROCESADOS 2020</w:t>
                  </w:r>
                </w:p>
              </w:tc>
            </w:tr>
          </w:tbl>
          <w:p w:rsidR="00A94115" w:rsidRPr="00FD1BAB" w:rsidRDefault="00A94115" w:rsidP="003B7974">
            <w:pPr>
              <w:rPr>
                <w:rFonts w:cs="Arial"/>
                <w:sz w:val="18"/>
                <w:szCs w:val="18"/>
              </w:rPr>
            </w:pPr>
          </w:p>
        </w:tc>
      </w:tr>
      <w:tr w:rsidR="00EA016A" w:rsidRPr="00FD1BAB" w:rsidTr="00AB3790">
        <w:trPr>
          <w:trHeight w:val="295"/>
        </w:trPr>
        <w:tc>
          <w:tcPr>
            <w:cnfStyle w:val="001000000000" w:firstRow="0" w:lastRow="0" w:firstColumn="1" w:lastColumn="0" w:oddVBand="0" w:evenVBand="0" w:oddHBand="0" w:evenHBand="0" w:firstRowFirstColumn="0" w:firstRowLastColumn="0" w:lastRowFirstColumn="0" w:lastRowLastColumn="0"/>
            <w:tcW w:w="1039" w:type="pct"/>
            <w:vMerge w:val="restart"/>
            <w:hideMark/>
          </w:tcPr>
          <w:p w:rsidR="00A94115" w:rsidRPr="00FD1BAB" w:rsidRDefault="00A94115" w:rsidP="003B7974">
            <w:pPr>
              <w:jc w:val="center"/>
              <w:rPr>
                <w:rFonts w:cstheme="minorHAnsi"/>
                <w:b w:val="0"/>
                <w:bCs w:val="0"/>
                <w:sz w:val="18"/>
                <w:szCs w:val="18"/>
              </w:rPr>
            </w:pPr>
            <w:r w:rsidRPr="00FD1BAB">
              <w:rPr>
                <w:rFonts w:cstheme="minorHAnsi"/>
                <w:b w:val="0"/>
                <w:bCs w:val="0"/>
                <w:sz w:val="18"/>
                <w:szCs w:val="18"/>
              </w:rPr>
              <w:t>2020</w:t>
            </w:r>
          </w:p>
        </w:tc>
        <w:tc>
          <w:tcPr>
            <w:tcW w:w="613"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GUPOST</w:t>
            </w:r>
          </w:p>
        </w:tc>
        <w:tc>
          <w:tcPr>
            <w:tcW w:w="1019" w:type="pct"/>
            <w:gridSpan w:val="2"/>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CTCM (Correos)</w:t>
            </w:r>
          </w:p>
        </w:tc>
        <w:tc>
          <w:tcPr>
            <w:tcW w:w="1150" w:type="pct"/>
            <w:gridSpan w:val="2"/>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SMS- CITADOS</w:t>
            </w:r>
          </w:p>
        </w:tc>
        <w:tc>
          <w:tcPr>
            <w:tcW w:w="493"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SMS</w:t>
            </w:r>
          </w:p>
        </w:tc>
        <w:tc>
          <w:tcPr>
            <w:tcW w:w="687"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CRUZ ROJA</w:t>
            </w:r>
          </w:p>
        </w:tc>
      </w:tr>
      <w:tr w:rsidR="00EA016A" w:rsidRPr="00FD1BAB" w:rsidTr="00AB3790">
        <w:trPr>
          <w:cantSplit/>
          <w:trHeight w:val="1874"/>
        </w:trPr>
        <w:tc>
          <w:tcPr>
            <w:cnfStyle w:val="001000000000" w:firstRow="0" w:lastRow="0" w:firstColumn="1" w:lastColumn="0" w:oddVBand="0" w:evenVBand="0" w:oddHBand="0" w:evenHBand="0" w:firstRowFirstColumn="0" w:firstRowLastColumn="0" w:lastRowFirstColumn="0" w:lastRowLastColumn="0"/>
            <w:tcW w:w="1039" w:type="pct"/>
            <w:vMerge/>
            <w:hideMark/>
          </w:tcPr>
          <w:p w:rsidR="00A94115" w:rsidRPr="00FD1BAB" w:rsidRDefault="00A94115" w:rsidP="003B7974">
            <w:pPr>
              <w:rPr>
                <w:rFonts w:cs="Arial"/>
                <w:b w:val="0"/>
                <w:bCs w:val="0"/>
                <w:sz w:val="18"/>
                <w:szCs w:val="18"/>
              </w:rPr>
            </w:pPr>
          </w:p>
        </w:tc>
        <w:tc>
          <w:tcPr>
            <w:tcW w:w="613" w:type="pct"/>
            <w:noWrap/>
            <w:textDirection w:val="btLr"/>
            <w:hideMark/>
          </w:tcPr>
          <w:p w:rsidR="00A94115" w:rsidRPr="00FD1BAB" w:rsidRDefault="00A94115" w:rsidP="00EA016A">
            <w:pPr>
              <w:ind w:left="113" w:right="113"/>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FD1BAB">
              <w:rPr>
                <w:rFonts w:cstheme="minorHAnsi"/>
                <w:b/>
                <w:bCs/>
                <w:sz w:val="18"/>
                <w:szCs w:val="18"/>
              </w:rPr>
              <w:t>Analíticas</w:t>
            </w:r>
          </w:p>
        </w:tc>
        <w:tc>
          <w:tcPr>
            <w:tcW w:w="470" w:type="pct"/>
            <w:noWrap/>
            <w:textDirection w:val="btLr"/>
            <w:hideMark/>
          </w:tcPr>
          <w:p w:rsidR="00A94115" w:rsidRPr="00FD1BAB" w:rsidRDefault="00A94115" w:rsidP="00EA016A">
            <w:pPr>
              <w:ind w:left="113" w:right="113"/>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FD1BAB">
              <w:rPr>
                <w:rFonts w:cstheme="minorHAnsi"/>
                <w:b/>
                <w:bCs/>
                <w:sz w:val="18"/>
                <w:szCs w:val="18"/>
              </w:rPr>
              <w:t>Resto</w:t>
            </w:r>
          </w:p>
        </w:tc>
        <w:tc>
          <w:tcPr>
            <w:tcW w:w="549" w:type="pct"/>
            <w:noWrap/>
            <w:textDirection w:val="btLr"/>
            <w:hideMark/>
          </w:tcPr>
          <w:p w:rsidR="00A94115" w:rsidRPr="00FD1BAB" w:rsidRDefault="00A94115" w:rsidP="00EA016A">
            <w:pPr>
              <w:ind w:left="113" w:right="113"/>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FD1BAB">
              <w:rPr>
                <w:rFonts w:cstheme="minorHAnsi"/>
                <w:b/>
                <w:bCs/>
                <w:sz w:val="18"/>
                <w:szCs w:val="18"/>
              </w:rPr>
              <w:t>Carnés</w:t>
            </w:r>
          </w:p>
        </w:tc>
        <w:tc>
          <w:tcPr>
            <w:tcW w:w="612" w:type="pct"/>
            <w:noWrap/>
            <w:textDirection w:val="btLr"/>
            <w:hideMark/>
          </w:tcPr>
          <w:p w:rsidR="00A94115" w:rsidRPr="00FD1BAB" w:rsidRDefault="00A94115" w:rsidP="00EA016A">
            <w:pPr>
              <w:ind w:left="113" w:right="113"/>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FD1BAB">
              <w:rPr>
                <w:rFonts w:cstheme="minorHAnsi"/>
                <w:b/>
                <w:bCs/>
                <w:sz w:val="18"/>
                <w:szCs w:val="18"/>
              </w:rPr>
              <w:t>CTCM</w:t>
            </w:r>
          </w:p>
        </w:tc>
        <w:tc>
          <w:tcPr>
            <w:tcW w:w="538" w:type="pct"/>
            <w:noWrap/>
            <w:textDirection w:val="btLr"/>
            <w:hideMark/>
          </w:tcPr>
          <w:p w:rsidR="00A94115" w:rsidRPr="00FD1BAB" w:rsidRDefault="00A94115" w:rsidP="00EA016A">
            <w:pPr>
              <w:ind w:left="113" w:right="113"/>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FD1BAB">
              <w:rPr>
                <w:rFonts w:cstheme="minorHAnsi"/>
                <w:b/>
                <w:bCs/>
                <w:sz w:val="18"/>
                <w:szCs w:val="18"/>
              </w:rPr>
              <w:t>Hospitales</w:t>
            </w:r>
          </w:p>
        </w:tc>
        <w:tc>
          <w:tcPr>
            <w:tcW w:w="493" w:type="pct"/>
            <w:noWrap/>
            <w:textDirection w:val="btLr"/>
            <w:hideMark/>
          </w:tcPr>
          <w:p w:rsidR="00A94115" w:rsidRPr="00FD1BAB" w:rsidRDefault="00A94115" w:rsidP="00EA016A">
            <w:pPr>
              <w:ind w:left="113" w:right="113"/>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Agradecimientos</w:t>
            </w:r>
          </w:p>
        </w:tc>
        <w:tc>
          <w:tcPr>
            <w:tcW w:w="687" w:type="pct"/>
            <w:textDirection w:val="btLr"/>
            <w:hideMark/>
          </w:tcPr>
          <w:p w:rsidR="00A94115" w:rsidRPr="00FD1BAB" w:rsidRDefault="00A94115" w:rsidP="00EA016A">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Registros enviados para convocatorias</w:t>
            </w:r>
          </w:p>
        </w:tc>
      </w:tr>
      <w:tr w:rsidR="00EA016A" w:rsidRPr="00FD1BAB" w:rsidTr="00AB3790">
        <w:trPr>
          <w:trHeight w:val="616"/>
        </w:trPr>
        <w:tc>
          <w:tcPr>
            <w:cnfStyle w:val="001000000000" w:firstRow="0" w:lastRow="0" w:firstColumn="1" w:lastColumn="0" w:oddVBand="0" w:evenVBand="0" w:oddHBand="0" w:evenHBand="0" w:firstRowFirstColumn="0" w:firstRowLastColumn="0" w:lastRowFirstColumn="0" w:lastRowLastColumn="0"/>
            <w:tcW w:w="1039" w:type="pct"/>
            <w:noWrap/>
            <w:hideMark/>
          </w:tcPr>
          <w:p w:rsidR="00A94115" w:rsidRPr="00FD1BAB" w:rsidRDefault="00A94115" w:rsidP="003B7974">
            <w:pPr>
              <w:jc w:val="right"/>
              <w:rPr>
                <w:rFonts w:cstheme="minorHAnsi"/>
                <w:sz w:val="18"/>
                <w:szCs w:val="18"/>
              </w:rPr>
            </w:pPr>
            <w:r w:rsidRPr="00FD1BAB">
              <w:rPr>
                <w:rFonts w:cstheme="minorHAnsi"/>
                <w:sz w:val="18"/>
                <w:szCs w:val="18"/>
              </w:rPr>
              <w:t>Totales parciales</w:t>
            </w:r>
          </w:p>
        </w:tc>
        <w:tc>
          <w:tcPr>
            <w:tcW w:w="613"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232.878</w:t>
            </w:r>
          </w:p>
        </w:tc>
        <w:tc>
          <w:tcPr>
            <w:tcW w:w="470"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8.734</w:t>
            </w:r>
          </w:p>
        </w:tc>
        <w:tc>
          <w:tcPr>
            <w:tcW w:w="549"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47.040</w:t>
            </w:r>
          </w:p>
        </w:tc>
        <w:tc>
          <w:tcPr>
            <w:tcW w:w="612"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1.922.764</w:t>
            </w:r>
          </w:p>
        </w:tc>
        <w:tc>
          <w:tcPr>
            <w:tcW w:w="538"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381.094</w:t>
            </w:r>
          </w:p>
        </w:tc>
        <w:tc>
          <w:tcPr>
            <w:tcW w:w="493" w:type="pct"/>
            <w:noWrap/>
            <w:hideMark/>
          </w:tcPr>
          <w:p w:rsidR="00A94115" w:rsidRPr="00FD1BAB" w:rsidRDefault="00A94115" w:rsidP="003B7974">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221.154</w:t>
            </w:r>
          </w:p>
        </w:tc>
        <w:tc>
          <w:tcPr>
            <w:tcW w:w="687"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D1BAB">
              <w:rPr>
                <w:rFonts w:cstheme="minorHAnsi"/>
                <w:sz w:val="18"/>
                <w:szCs w:val="18"/>
              </w:rPr>
              <w:t>754.713</w:t>
            </w:r>
          </w:p>
        </w:tc>
      </w:tr>
      <w:tr w:rsidR="00A94115" w:rsidRPr="00FD1BAB" w:rsidTr="00AB3790">
        <w:trPr>
          <w:trHeight w:val="380"/>
        </w:trPr>
        <w:tc>
          <w:tcPr>
            <w:cnfStyle w:val="001000000000" w:firstRow="0" w:lastRow="0" w:firstColumn="1" w:lastColumn="0" w:oddVBand="0" w:evenVBand="0" w:oddHBand="0" w:evenHBand="0" w:firstRowFirstColumn="0" w:firstRowLastColumn="0" w:lastRowFirstColumn="0" w:lastRowLastColumn="0"/>
            <w:tcW w:w="1039" w:type="pct"/>
            <w:noWrap/>
            <w:hideMark/>
          </w:tcPr>
          <w:p w:rsidR="00A94115" w:rsidRPr="00AB3790" w:rsidRDefault="00A94115" w:rsidP="003B7974">
            <w:pPr>
              <w:jc w:val="right"/>
              <w:rPr>
                <w:rFonts w:cstheme="minorHAnsi"/>
                <w:bCs w:val="0"/>
                <w:sz w:val="18"/>
                <w:szCs w:val="18"/>
              </w:rPr>
            </w:pPr>
            <w:r w:rsidRPr="00AB3790">
              <w:rPr>
                <w:rFonts w:cstheme="minorHAnsi"/>
                <w:bCs w:val="0"/>
                <w:sz w:val="18"/>
                <w:szCs w:val="18"/>
              </w:rPr>
              <w:t>TOTALES</w:t>
            </w:r>
          </w:p>
        </w:tc>
        <w:tc>
          <w:tcPr>
            <w:tcW w:w="613"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232.878</w:t>
            </w:r>
          </w:p>
        </w:tc>
        <w:tc>
          <w:tcPr>
            <w:tcW w:w="1019" w:type="pct"/>
            <w:gridSpan w:val="2"/>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55.774</w:t>
            </w:r>
          </w:p>
        </w:tc>
        <w:tc>
          <w:tcPr>
            <w:tcW w:w="1643" w:type="pct"/>
            <w:gridSpan w:val="3"/>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2.525.012</w:t>
            </w:r>
          </w:p>
        </w:tc>
        <w:tc>
          <w:tcPr>
            <w:tcW w:w="687" w:type="pct"/>
            <w:noWrap/>
            <w:hideMark/>
          </w:tcPr>
          <w:p w:rsidR="00A94115" w:rsidRPr="00FD1BAB" w:rsidRDefault="00A94115" w:rsidP="003B7974">
            <w:pPr>
              <w:jc w:val="center"/>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FD1BAB">
              <w:rPr>
                <w:rFonts w:cstheme="minorHAnsi"/>
                <w:b/>
                <w:bCs/>
                <w:sz w:val="18"/>
                <w:szCs w:val="18"/>
              </w:rPr>
              <w:t>754.713</w:t>
            </w:r>
          </w:p>
        </w:tc>
      </w:tr>
      <w:tr w:rsidR="00EA016A" w:rsidRPr="00FD1BAB" w:rsidTr="00AB3790">
        <w:trPr>
          <w:cnfStyle w:val="010000000000" w:firstRow="0" w:lastRow="1" w:firstColumn="0" w:lastColumn="0" w:oddVBand="0" w:evenVBand="0" w:oddHBand="0"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1039" w:type="pct"/>
            <w:hideMark/>
          </w:tcPr>
          <w:p w:rsidR="00A94115" w:rsidRPr="00FD1BAB" w:rsidRDefault="00A94115" w:rsidP="003B7974">
            <w:pPr>
              <w:jc w:val="right"/>
              <w:rPr>
                <w:rFonts w:cstheme="minorHAnsi"/>
                <w:bCs w:val="0"/>
                <w:sz w:val="18"/>
                <w:szCs w:val="18"/>
              </w:rPr>
            </w:pPr>
            <w:r w:rsidRPr="00FD1BAB">
              <w:rPr>
                <w:rFonts w:cstheme="minorHAnsi"/>
                <w:bCs w:val="0"/>
                <w:sz w:val="18"/>
                <w:szCs w:val="18"/>
              </w:rPr>
              <w:t>Total registros</w:t>
            </w:r>
            <w:r w:rsidRPr="00FD1BAB">
              <w:rPr>
                <w:rFonts w:cstheme="minorHAnsi"/>
                <w:bCs w:val="0"/>
                <w:sz w:val="18"/>
                <w:szCs w:val="18"/>
              </w:rPr>
              <w:br/>
              <w:t xml:space="preserve">procesados </w:t>
            </w:r>
          </w:p>
        </w:tc>
        <w:tc>
          <w:tcPr>
            <w:tcW w:w="3961" w:type="pct"/>
            <w:gridSpan w:val="7"/>
            <w:noWrap/>
            <w:hideMark/>
          </w:tcPr>
          <w:p w:rsidR="00A94115" w:rsidRPr="00FD1BAB" w:rsidRDefault="00A94115" w:rsidP="003B7974">
            <w:pPr>
              <w:jc w:val="center"/>
              <w:cnfStyle w:val="010000000000" w:firstRow="0" w:lastRow="1" w:firstColumn="0" w:lastColumn="0" w:oddVBand="0" w:evenVBand="0" w:oddHBand="0" w:evenHBand="0" w:firstRowFirstColumn="0" w:firstRowLastColumn="0" w:lastRowFirstColumn="0" w:lastRowLastColumn="0"/>
              <w:rPr>
                <w:rFonts w:cstheme="minorHAnsi"/>
                <w:bCs w:val="0"/>
                <w:sz w:val="18"/>
                <w:szCs w:val="18"/>
              </w:rPr>
            </w:pPr>
            <w:r w:rsidRPr="00FD1BAB">
              <w:rPr>
                <w:rFonts w:cstheme="minorHAnsi"/>
                <w:bCs w:val="0"/>
                <w:sz w:val="18"/>
                <w:szCs w:val="18"/>
              </w:rPr>
              <w:t>3.568.377</w:t>
            </w:r>
          </w:p>
        </w:tc>
      </w:tr>
    </w:tbl>
    <w:p w:rsidR="00AB3790" w:rsidRDefault="00AB3790" w:rsidP="00B51AC6">
      <w:pPr>
        <w:pStyle w:val="Ttulo2"/>
      </w:pPr>
      <w:bookmarkStart w:id="23" w:name="_Toc90584865"/>
    </w:p>
    <w:p w:rsidR="00AB3790" w:rsidRDefault="00AB3790">
      <w:pPr>
        <w:jc w:val="left"/>
        <w:rPr>
          <w:rFonts w:ascii="Montserrat SemiBold" w:eastAsia="Times New Roman" w:hAnsi="Montserrat SemiBold" w:cs="Times New Roman"/>
          <w:b/>
          <w:bCs/>
          <w:color w:val="0099CC"/>
          <w:szCs w:val="26"/>
          <w:lang w:val="x-none" w:eastAsia="x-none"/>
        </w:rPr>
      </w:pPr>
      <w:r>
        <w:br w:type="page"/>
      </w:r>
    </w:p>
    <w:p w:rsidR="00A94115" w:rsidRPr="00B51AC6" w:rsidRDefault="00A94115" w:rsidP="00B51AC6">
      <w:pPr>
        <w:pStyle w:val="Ttulo2"/>
      </w:pPr>
      <w:r w:rsidRPr="00B51AC6">
        <w:lastRenderedPageBreak/>
        <w:t>Navidad 2020</w:t>
      </w:r>
      <w:bookmarkEnd w:id="23"/>
    </w:p>
    <w:p w:rsidR="00AB3790" w:rsidRDefault="00AB3790" w:rsidP="00A94115">
      <w:pPr>
        <w:jc w:val="center"/>
        <w:rPr>
          <w:szCs w:val="20"/>
          <w:lang w:eastAsia="x-none"/>
        </w:rPr>
      </w:pPr>
    </w:p>
    <w:p w:rsidR="00A94115" w:rsidRPr="00A71B61" w:rsidRDefault="00A94115" w:rsidP="00A94115">
      <w:pPr>
        <w:jc w:val="center"/>
        <w:rPr>
          <w:szCs w:val="20"/>
          <w:lang w:eastAsia="x-none"/>
        </w:rPr>
      </w:pPr>
      <w:r w:rsidRPr="00A71B61">
        <w:rPr>
          <w:rFonts w:ascii="Montserrat" w:hAnsi="Montserrat"/>
          <w:noProof/>
          <w:szCs w:val="20"/>
          <w:lang w:eastAsia="es-ES"/>
        </w:rPr>
        <w:drawing>
          <wp:inline distT="0" distB="0" distL="0" distR="0" wp14:anchorId="41CCFE5E" wp14:editId="7047264A">
            <wp:extent cx="3757174" cy="2660072"/>
            <wp:effectExtent l="0" t="0" r="0"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jeta Navidad 2020 Fda.jpg"/>
                    <pic:cNvPicPr/>
                  </pic:nvPicPr>
                  <pic:blipFill>
                    <a:blip r:embed="rId33" cstate="screen">
                      <a:extLst>
                        <a:ext uri="{28A0092B-C50C-407E-A947-70E740481C1C}">
                          <a14:useLocalDpi xmlns:a14="http://schemas.microsoft.com/office/drawing/2010/main" val="0"/>
                        </a:ext>
                      </a:extLst>
                    </a:blip>
                    <a:stretch>
                      <a:fillRect/>
                    </a:stretch>
                  </pic:blipFill>
                  <pic:spPr>
                    <a:xfrm>
                      <a:off x="0" y="0"/>
                      <a:ext cx="3820592" cy="2704972"/>
                    </a:xfrm>
                    <a:prstGeom prst="rect">
                      <a:avLst/>
                    </a:prstGeom>
                  </pic:spPr>
                </pic:pic>
              </a:graphicData>
            </a:graphic>
          </wp:inline>
        </w:drawing>
      </w:r>
    </w:p>
    <w:p w:rsidR="00AB3790" w:rsidRDefault="00AB3790">
      <w:pPr>
        <w:jc w:val="left"/>
        <w:rPr>
          <w:rFonts w:ascii="Montserrat SemiBold" w:eastAsia="Times New Roman" w:hAnsi="Montserrat SemiBold" w:cs="Times New Roman"/>
          <w:b/>
          <w:bCs/>
          <w:color w:val="0099CC"/>
          <w:sz w:val="24"/>
          <w:szCs w:val="28"/>
          <w:lang w:val="x-none" w:eastAsia="x-none"/>
        </w:rPr>
      </w:pPr>
      <w:bookmarkStart w:id="24" w:name="_Toc90584866"/>
      <w:r>
        <w:br w:type="page"/>
      </w:r>
    </w:p>
    <w:p w:rsidR="004918DB" w:rsidRPr="00B51AC6" w:rsidRDefault="004918DB" w:rsidP="00B51AC6">
      <w:pPr>
        <w:pStyle w:val="Ttulo1"/>
      </w:pPr>
      <w:r w:rsidRPr="00B51AC6">
        <w:lastRenderedPageBreak/>
        <w:t>Comunicación</w:t>
      </w:r>
      <w:bookmarkEnd w:id="24"/>
    </w:p>
    <w:p w:rsidR="003B7974" w:rsidRDefault="003B7974" w:rsidP="00A94115">
      <w:pPr>
        <w:rPr>
          <w:noProof/>
          <w:szCs w:val="20"/>
          <w:lang w:eastAsia="es-ES"/>
        </w:rPr>
      </w:pPr>
    </w:p>
    <w:p w:rsidR="00FD1BAB" w:rsidRDefault="00FD1BAB" w:rsidP="00546058">
      <w:r>
        <w:t>La comunicación durante el año 2020 y muy especialmente durante el confinamiento fue comunicación de crisis y centrada muy especialmente en la donación de sangre y en el objetivo del Centro de Transfusión en ese momento, que era que no faltaran donaciones. Dirigida a informar a través de todos los canales, medios, redes, webs de la situación de las reservas y de las necesidades, las medidas de protección y de seguridad y las decisiones que en cada momento se tomaban en función de la situación, así como a coordinar mensajes entre los distintos espacios y profesionales implicados en la donación. La mayoría de los medios de comunicación cubrieron casi todos nuestros llamamientos y convocatorias haciendo una perfecta labor de información de servicio público. La información en las redes tuvo un protagonismo destacado. Tan solo en el mes de marzo @Madridonasangre sumó más de 2.200 seguidores nuevos (el mes anterior 250). La web de donación de sangre pasó de 5.000 a 50.000 páginas vistas ese mismo mes de marzo.</w:t>
      </w:r>
    </w:p>
    <w:p w:rsidR="00FD1BAB" w:rsidRDefault="00FD1BAB" w:rsidP="00FD1BAB">
      <w:pPr>
        <w:rPr>
          <w:rFonts w:ascii="Calibri" w:hAnsi="Calibri"/>
        </w:rPr>
      </w:pPr>
    </w:p>
    <w:p w:rsidR="00FD1BAB" w:rsidRDefault="00FD1BAB" w:rsidP="00FD1BAB">
      <w:pPr>
        <w:rPr>
          <w:rFonts w:ascii="Calibri" w:hAnsi="Calibri"/>
        </w:rPr>
      </w:pPr>
    </w:p>
    <w:p w:rsidR="00FD1BAB" w:rsidRDefault="00FD1BAB" w:rsidP="00FD1BAB">
      <w:pPr>
        <w:jc w:val="center"/>
        <w:rPr>
          <w:rFonts w:ascii="Calibri" w:hAnsi="Calibri"/>
          <w:b/>
          <w:sz w:val="28"/>
          <w:szCs w:val="28"/>
        </w:rPr>
      </w:pPr>
      <w:r>
        <w:rPr>
          <w:noProof/>
        </w:rPr>
        <w:drawing>
          <wp:inline distT="0" distB="0" distL="0" distR="0" wp14:anchorId="21953325" wp14:editId="73D7E456">
            <wp:extent cx="4572000" cy="2743200"/>
            <wp:effectExtent l="0" t="0" r="0" b="0"/>
            <wp:docPr id="95" name="Grá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D1BAB" w:rsidRDefault="00FD1BAB" w:rsidP="00FD1BAB">
      <w:pPr>
        <w:rPr>
          <w:rFonts w:ascii="Calibri" w:hAnsi="Calibri"/>
          <w:b/>
          <w:sz w:val="28"/>
          <w:szCs w:val="28"/>
        </w:rPr>
      </w:pPr>
    </w:p>
    <w:p w:rsidR="00FD1BAB" w:rsidRDefault="00FD1BAB" w:rsidP="00FD1BAB">
      <w:pPr>
        <w:rPr>
          <w:rFonts w:ascii="Calibri" w:hAnsi="Calibri"/>
          <w:b/>
          <w:sz w:val="28"/>
          <w:szCs w:val="28"/>
        </w:rPr>
      </w:pPr>
    </w:p>
    <w:p w:rsidR="00546058" w:rsidRDefault="00546058" w:rsidP="00546058">
      <w:pPr>
        <w:rPr>
          <w:rFonts w:ascii="Calibri" w:hAnsi="Calibri"/>
          <w:b/>
          <w:sz w:val="28"/>
          <w:szCs w:val="28"/>
        </w:rPr>
      </w:pPr>
      <w:r>
        <w:rPr>
          <w:noProof/>
        </w:rPr>
        <w:lastRenderedPageBreak/>
        <w:drawing>
          <wp:inline distT="0" distB="0" distL="0" distR="0" wp14:anchorId="418ACB50" wp14:editId="04A69DFF">
            <wp:extent cx="2498090" cy="1822391"/>
            <wp:effectExtent l="0" t="0" r="16510" b="6985"/>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rPr>
        <w:drawing>
          <wp:inline distT="0" distB="0" distL="0" distR="0" wp14:anchorId="070802A0" wp14:editId="5959766F">
            <wp:extent cx="2482850" cy="1841500"/>
            <wp:effectExtent l="0" t="0" r="12700" b="6350"/>
            <wp:docPr id="105" name="Gráfico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D1BAB" w:rsidRDefault="00FD1BAB" w:rsidP="00FD1BAB">
      <w:pPr>
        <w:rPr>
          <w:rFonts w:ascii="Calibri" w:hAnsi="Calibri"/>
          <w:b/>
          <w:sz w:val="28"/>
          <w:szCs w:val="28"/>
        </w:rPr>
      </w:pPr>
    </w:p>
    <w:p w:rsidR="00FD1BAB" w:rsidRDefault="00546058" w:rsidP="00A94115">
      <w:pPr>
        <w:rPr>
          <w:szCs w:val="20"/>
          <w:lang w:val="x-none" w:eastAsia="x-none"/>
        </w:rPr>
      </w:pPr>
      <w:r>
        <w:rPr>
          <w:noProof/>
          <w:szCs w:val="20"/>
          <w:lang w:eastAsia="es-ES"/>
        </w:rPr>
        <w:drawing>
          <wp:inline distT="0" distB="0" distL="0" distR="0" wp14:anchorId="6880B22C">
            <wp:extent cx="5324475" cy="5486400"/>
            <wp:effectExtent l="0" t="0" r="952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4475" cy="5486400"/>
                    </a:xfrm>
                    <a:prstGeom prst="rect">
                      <a:avLst/>
                    </a:prstGeom>
                    <a:noFill/>
                  </pic:spPr>
                </pic:pic>
              </a:graphicData>
            </a:graphic>
          </wp:inline>
        </w:drawing>
      </w:r>
    </w:p>
    <w:p w:rsidR="00546058" w:rsidRDefault="00546058">
      <w:pPr>
        <w:rPr>
          <w:szCs w:val="20"/>
          <w:lang w:val="x-none" w:eastAsia="x-none"/>
        </w:rPr>
      </w:pPr>
      <w:r>
        <w:rPr>
          <w:szCs w:val="20"/>
          <w:lang w:val="x-none" w:eastAsia="x-none"/>
        </w:rPr>
        <w:br w:type="page"/>
      </w:r>
    </w:p>
    <w:p w:rsidR="00546058" w:rsidRPr="001943A3" w:rsidRDefault="00546058" w:rsidP="00546058">
      <w:pPr>
        <w:pStyle w:val="Ttulo3"/>
      </w:pPr>
      <w:r>
        <w:lastRenderedPageBreak/>
        <w:t>Comunicado urgente día 12 de marzo</w:t>
      </w:r>
    </w:p>
    <w:p w:rsidR="00546058" w:rsidRDefault="00546058" w:rsidP="00546058">
      <w:pPr>
        <w:rPr>
          <w:rFonts w:ascii="Calibri" w:hAnsi="Calibri"/>
        </w:rPr>
      </w:pPr>
      <w:r>
        <w:rPr>
          <w:rFonts w:ascii="Calibri" w:hAnsi="Calibri"/>
        </w:rPr>
        <w:t xml:space="preserve"> </w:t>
      </w:r>
    </w:p>
    <w:p w:rsidR="00546058" w:rsidRDefault="00546058" w:rsidP="00546058">
      <w:r>
        <w:t xml:space="preserve">El 12 de marzo ante la caída de las donaciones de sangre a consecuencia de las primeras medidas restrictivas por la pandemia, cierre de universidad, teletrabajo y dificultades de acceso a los hospitales, se difunde un comunicado urgente desde Sanidad llamando a los madrileños a la donación de sangre. El llamamiento lo cubrieron la mayoría de los medios más importantes tanto a nivel nacional como regional, también locales. En total 32 impactos. </w:t>
      </w:r>
    </w:p>
    <w:p w:rsidR="00546058" w:rsidRDefault="00546058" w:rsidP="00546058"/>
    <w:p w:rsidR="00546058" w:rsidRDefault="00546058" w:rsidP="00546058">
      <w:r>
        <w:t>Entre el día 12 y el 14 de marzo entraron 4.400 donaciones de sangre lo que obligó el mismo día 14 a emitir un nuevo comunicado de stop a la donación urgente, dando las gracias a los donantes y pidiendo que en adelante solo acudieran a donar las personas que recibieran un sms convocándoles. Se trataba así de controlar el flujo de donaciones, de forma que no faltara ni sobrara sangre, dada la incertidumbre provocada por la situación.</w:t>
      </w:r>
    </w:p>
    <w:p w:rsidR="00546058" w:rsidRDefault="00546058">
      <w:pPr>
        <w:jc w:val="left"/>
        <w:rPr>
          <w:rFonts w:ascii="Calibri" w:hAnsi="Calibri"/>
        </w:rPr>
      </w:pPr>
      <w:r>
        <w:rPr>
          <w:rFonts w:ascii="Calibri" w:hAnsi="Calibri"/>
        </w:rPr>
        <w:br w:type="page"/>
      </w:r>
    </w:p>
    <w:p w:rsidR="00546058" w:rsidRDefault="00546058" w:rsidP="00546058">
      <w:pPr>
        <w:rPr>
          <w:rFonts w:ascii="Calibri" w:hAnsi="Calibri"/>
        </w:rPr>
      </w:pPr>
      <w:r w:rsidRPr="00DA3BC6">
        <w:rPr>
          <w:rFonts w:ascii="Calibri" w:hAnsi="Calibri"/>
          <w:noProof/>
        </w:rPr>
        <w:lastRenderedPageBreak/>
        <mc:AlternateContent>
          <mc:Choice Requires="wpg">
            <w:drawing>
              <wp:anchor distT="0" distB="0" distL="114300" distR="114300" simplePos="0" relativeHeight="251738112" behindDoc="0" locked="0" layoutInCell="1" allowOverlap="1" wp14:anchorId="2CBEE047" wp14:editId="31AEBFA9">
                <wp:simplePos x="0" y="0"/>
                <wp:positionH relativeFrom="margin">
                  <wp:posOffset>0</wp:posOffset>
                </wp:positionH>
                <wp:positionV relativeFrom="margin">
                  <wp:posOffset>285115</wp:posOffset>
                </wp:positionV>
                <wp:extent cx="5619750" cy="1009650"/>
                <wp:effectExtent l="0" t="0" r="0" b="0"/>
                <wp:wrapSquare wrapText="bothSides"/>
                <wp:docPr id="298" name="Grupo 298"/>
                <wp:cNvGraphicFramePr/>
                <a:graphic xmlns:a="http://schemas.openxmlformats.org/drawingml/2006/main">
                  <a:graphicData uri="http://schemas.microsoft.com/office/word/2010/wordprocessingGroup">
                    <wpg:wgp>
                      <wpg:cNvGrpSpPr/>
                      <wpg:grpSpPr>
                        <a:xfrm>
                          <a:off x="0" y="0"/>
                          <a:ext cx="5619750" cy="1009650"/>
                          <a:chOff x="2857" y="-1334027"/>
                          <a:chExt cx="5885416" cy="10761158"/>
                        </a:xfrm>
                      </wpg:grpSpPr>
                      <wps:wsp>
                        <wps:cNvPr id="300" name="Autoforma 14"/>
                        <wps:cNvSpPr>
                          <a:spLocks noChangeArrowheads="1"/>
                        </wps:cNvSpPr>
                        <wps:spPr bwMode="auto">
                          <a:xfrm>
                            <a:off x="2857" y="-1334027"/>
                            <a:ext cx="5885416" cy="9378307"/>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C0248F" w:rsidRDefault="00E87599" w:rsidP="00546058">
                              <w:pPr>
                                <w:rPr>
                                  <w:color w:val="44546A" w:themeColor="text2"/>
                                  <w:szCs w:val="20"/>
                                </w:rPr>
                              </w:pPr>
                              <w:r w:rsidRPr="00645F3C">
                                <w:rPr>
                                  <w:rFonts w:ascii="Calibri" w:hAnsi="Calibri"/>
                                  <w:b/>
                                  <w:szCs w:val="20"/>
                                </w:rPr>
                                <w:t>IMPACTOS</w:t>
                              </w:r>
                              <w:r>
                                <w:rPr>
                                  <w:rFonts w:ascii="Calibri" w:hAnsi="Calibri"/>
                                  <w:szCs w:val="20"/>
                                </w:rPr>
                                <w:t xml:space="preserve">: </w:t>
                              </w:r>
                              <w:r w:rsidRPr="00C0248F">
                                <w:rPr>
                                  <w:rFonts w:ascii="Calibri" w:hAnsi="Calibri"/>
                                  <w:szCs w:val="20"/>
                                </w:rPr>
                                <w:t>TVE, Telemadrid, La Sexta, Tele 5, Antena 3, Cadena Ser, Onda Cero, Cadena Cope, RNE, El País, El Mundo, El Diario, El Plural, ABC, La Razón, 20 Minutos, Ok Diario entre otros medios.</w:t>
                              </w:r>
                            </w:p>
                          </w:txbxContent>
                        </wps:txbx>
                        <wps:bodyPr rot="0" vert="horz" wrap="square" lIns="182880" tIns="457200" rIns="182880" bIns="73152" anchor="t" anchorCtr="0" upright="1">
                          <a:noAutofit/>
                        </wps:bodyPr>
                      </wps:wsp>
                      <wps:wsp>
                        <wps:cNvPr id="301" name="Rectángulo 301"/>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03" name="Rectángulo 303"/>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BEE047" id="Grupo 298" o:spid="_x0000_s1028" style="position:absolute;left:0;text-align:left;margin-left:0;margin-top:22.45pt;width:442.5pt;height:79.5pt;z-index:251738112;mso-position-horizontal-relative:margin;mso-position-vertical-relative:margin" coordorigin="28,-13340" coordsize="58854,107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">
                <v:rect id="Autoforma 14" o:spid="_x0000_s1029" style="position:absolute;left:28;top:-13340;width:58854;height:93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" fillcolor="white [3212]" stroked="f" strokeweight="1.25pt">
                  <v:textbox inset="14.4pt,36pt,14.4pt,5.76pt">
                    <w:txbxContent>
                      <w:p w:rsidR="00E87599" w:rsidRPr="00C0248F" w:rsidRDefault="00E87599" w:rsidP="00546058">
                        <w:pPr>
                          <w:rPr>
                            <w:color w:val="44546A" w:themeColor="text2"/>
                            <w:szCs w:val="20"/>
                          </w:rPr>
                        </w:pPr>
                        <w:r w:rsidRPr="00645F3C">
                          <w:rPr>
                            <w:rFonts w:ascii="Calibri" w:hAnsi="Calibri"/>
                            <w:b/>
                            <w:szCs w:val="20"/>
                          </w:rPr>
                          <w:t>IMPACTOS</w:t>
                        </w:r>
                        <w:r>
                          <w:rPr>
                            <w:rFonts w:ascii="Calibri" w:hAnsi="Calibri"/>
                            <w:szCs w:val="20"/>
                          </w:rPr>
                          <w:t xml:space="preserve">: </w:t>
                        </w:r>
                        <w:r w:rsidRPr="00C0248F">
                          <w:rPr>
                            <w:rFonts w:ascii="Calibri" w:hAnsi="Calibri"/>
                            <w:szCs w:val="20"/>
                          </w:rPr>
                          <w:t>TVE, Telemadrid, La Sexta, Tele 5, Antena 3, Cadena Ser, Onda Cero, Cadena Cope, RNE, El País, El Mundo, El Diario, El Plural, ABC, La Razón, 20 Minutos, Ok Diario entre otros medios.</w:t>
                        </w:r>
                      </w:p>
                    </w:txbxContent>
                  </v:textbox>
                </v:rect>
                <v:rect id="Rectángulo 301" o:spid="_x0000_s103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303" o:spid="_x0000_s103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" fillcolor="#5b9bd5 [3204]" stroked="f" strokeweight="1pt">
                  <v:textbox inset="14.4pt,14.4pt,14.4pt,28.8pt">
                    <w:txbxContent>
                      <w:p w:rsidR="00E87599" w:rsidRDefault="00E87599" w:rsidP="00546058">
                        <w:pPr>
                          <w:spacing w:before="240"/>
                          <w:rPr>
                            <w:color w:val="FFFFFF" w:themeColor="background1"/>
                          </w:rPr>
                        </w:pPr>
                      </w:p>
                    </w:txbxContent>
                  </v:textbox>
                </v:rect>
                <w10:wrap type="square" anchorx="margin" anchory="margin"/>
              </v:group>
            </w:pict>
          </mc:Fallback>
        </mc:AlternateContent>
      </w:r>
    </w:p>
    <w:p w:rsidR="00546058" w:rsidRDefault="00546058" w:rsidP="00546058">
      <w:pPr>
        <w:rPr>
          <w:rFonts w:ascii="Calibri" w:hAnsi="Calibri"/>
        </w:rPr>
      </w:pPr>
    </w:p>
    <w:p w:rsidR="00546058" w:rsidRDefault="00546058" w:rsidP="00546058">
      <w:pPr>
        <w:rPr>
          <w:rFonts w:ascii="Calibri" w:hAnsi="Calibri"/>
        </w:rPr>
      </w:pPr>
    </w:p>
    <w:p w:rsidR="00546058" w:rsidRDefault="00546058" w:rsidP="00546058">
      <w:pPr>
        <w:rPr>
          <w:rFonts w:ascii="Calibri" w:hAnsi="Calibri"/>
        </w:rPr>
      </w:pPr>
      <w:r>
        <w:rPr>
          <w:rFonts w:ascii="Calibri" w:hAnsi="Calibri"/>
          <w:noProof/>
        </w:rPr>
        <w:drawing>
          <wp:anchor distT="0" distB="0" distL="114300" distR="114300" simplePos="0" relativeHeight="251685888" behindDoc="0" locked="0" layoutInCell="1" allowOverlap="1" wp14:anchorId="3E3B2EA9" wp14:editId="7F79E507">
            <wp:simplePos x="0" y="0"/>
            <wp:positionH relativeFrom="margin">
              <wp:posOffset>42545</wp:posOffset>
            </wp:positionH>
            <wp:positionV relativeFrom="paragraph">
              <wp:posOffset>13335</wp:posOffset>
            </wp:positionV>
            <wp:extent cx="2082800" cy="2804160"/>
            <wp:effectExtent l="0" t="0" r="0" b="0"/>
            <wp:wrapSquare wrapText="bothSides"/>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00311-WA0042.jpg"/>
                    <pic:cNvPicPr/>
                  </pic:nvPicPr>
                  <pic:blipFill rotWithShape="1">
                    <a:blip r:embed="rId38" cstate="screen">
                      <a:extLst>
                        <a:ext uri="{BEBA8EAE-BF5A-486C-A8C5-ECC9F3942E4B}">
                          <a14:imgProps xmlns:a14="http://schemas.microsoft.com/office/drawing/2010/main">
                            <a14:imgLayer r:embed="rId39">
                              <a14:imgEffect>
                                <a14:sharpenSoften amount="55000"/>
                              </a14:imgEffect>
                            </a14:imgLayer>
                          </a14:imgProps>
                        </a:ext>
                        <a:ext uri="{28A0092B-C50C-407E-A947-70E740481C1C}">
                          <a14:useLocalDpi xmlns:a14="http://schemas.microsoft.com/office/drawing/2010/main" val="0"/>
                        </a:ext>
                      </a:extLst>
                    </a:blip>
                    <a:srcRect b="24252"/>
                    <a:stretch/>
                  </pic:blipFill>
                  <pic:spPr bwMode="auto">
                    <a:xfrm>
                      <a:off x="0" y="0"/>
                      <a:ext cx="2082800" cy="2804160"/>
                    </a:xfrm>
                    <a:prstGeom prst="rect">
                      <a:avLst/>
                    </a:prstGeom>
                    <a:ln>
                      <a:noFill/>
                    </a:ln>
                    <a:extLst>
                      <a:ext uri="{53640926-AAD7-44D8-BBD7-CCE9431645EC}">
                        <a14:shadowObscured xmlns:a14="http://schemas.microsoft.com/office/drawing/2010/main"/>
                      </a:ext>
                    </a:extLst>
                  </pic:spPr>
                </pic:pic>
              </a:graphicData>
            </a:graphic>
          </wp:anchor>
        </w:drawing>
      </w:r>
      <w:r w:rsidRPr="0009630C">
        <w:rPr>
          <w:rFonts w:ascii="Calibri" w:hAnsi="Calibri"/>
          <w:sz w:val="18"/>
          <w:szCs w:val="18"/>
        </w:rPr>
        <w:t xml:space="preserve">Imagen del pasillo del Centro de Transfusión el día </w:t>
      </w:r>
      <w:r>
        <w:rPr>
          <w:rFonts w:ascii="Calibri" w:hAnsi="Calibri"/>
          <w:sz w:val="18"/>
          <w:szCs w:val="18"/>
        </w:rPr>
        <w:t xml:space="preserve">  </w:t>
      </w:r>
      <w:r w:rsidRPr="0009630C">
        <w:rPr>
          <w:rFonts w:ascii="Calibri" w:hAnsi="Calibri"/>
          <w:sz w:val="18"/>
          <w:szCs w:val="18"/>
        </w:rPr>
        <w:t xml:space="preserve">12. Abajo cola </w:t>
      </w:r>
      <w:r>
        <w:rPr>
          <w:rFonts w:ascii="Calibri" w:hAnsi="Calibri"/>
          <w:sz w:val="18"/>
          <w:szCs w:val="18"/>
        </w:rPr>
        <w:t xml:space="preserve">  </w:t>
      </w:r>
      <w:r w:rsidRPr="0009630C">
        <w:rPr>
          <w:rFonts w:ascii="Calibri" w:hAnsi="Calibri"/>
          <w:sz w:val="18"/>
          <w:szCs w:val="18"/>
        </w:rPr>
        <w:t xml:space="preserve">para donar en una unidad móvil. </w:t>
      </w:r>
      <w:r w:rsidRPr="0009630C">
        <w:rPr>
          <w:rFonts w:ascii="Calibri" w:hAnsi="Calibri"/>
          <w:noProof/>
          <w:sz w:val="18"/>
          <w:szCs w:val="18"/>
        </w:rPr>
        <w:t xml:space="preserve">  </w:t>
      </w:r>
    </w:p>
    <w:p w:rsidR="00546058" w:rsidRDefault="00546058" w:rsidP="00546058">
      <w:pPr>
        <w:rPr>
          <w:rFonts w:ascii="Calibri" w:hAnsi="Calibri"/>
          <w:b/>
          <w:sz w:val="28"/>
          <w:szCs w:val="28"/>
        </w:rPr>
      </w:pPr>
    </w:p>
    <w:p w:rsidR="00546058" w:rsidRDefault="00546058" w:rsidP="00546058">
      <w:pPr>
        <w:rPr>
          <w:rFonts w:ascii="Calibri" w:hAnsi="Calibri"/>
          <w:b/>
          <w:sz w:val="28"/>
          <w:szCs w:val="28"/>
        </w:rPr>
      </w:pPr>
      <w:r>
        <w:rPr>
          <w:noProof/>
        </w:rPr>
        <w:drawing>
          <wp:anchor distT="0" distB="0" distL="114300" distR="114300" simplePos="0" relativeHeight="251684864" behindDoc="0" locked="0" layoutInCell="1" allowOverlap="1" wp14:anchorId="0254435E" wp14:editId="75A93082">
            <wp:simplePos x="0" y="0"/>
            <wp:positionH relativeFrom="column">
              <wp:posOffset>2280730</wp:posOffset>
            </wp:positionH>
            <wp:positionV relativeFrom="paragraph">
              <wp:posOffset>270435</wp:posOffset>
            </wp:positionV>
            <wp:extent cx="3124200" cy="1757045"/>
            <wp:effectExtent l="0" t="0" r="0" b="0"/>
            <wp:wrapTopAndBottom/>
            <wp:docPr id="230" name="Imagen 230" descr="Largas colas para donación de sangre en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rgas colas para donación de sangre en Madrid."/>
                    <pic:cNvPicPr>
                      <a:picLocks noChangeAspect="1" noChangeArrowheads="1"/>
                    </pic:cNvPicPr>
                  </pic:nvPicPr>
                  <pic:blipFill>
                    <a:blip r:embed="rId40" cstate="screen">
                      <a:extLst>
                        <a:ext uri="{28A0092B-C50C-407E-A947-70E740481C1C}">
                          <a14:useLocalDpi xmlns:a14="http://schemas.microsoft.com/office/drawing/2010/main" val="0"/>
                        </a:ext>
                      </a:extLst>
                    </a:blip>
                    <a:srcRect/>
                    <a:stretch>
                      <a:fillRect/>
                    </a:stretch>
                  </pic:blipFill>
                  <pic:spPr bwMode="auto">
                    <a:xfrm>
                      <a:off x="0" y="0"/>
                      <a:ext cx="3124200" cy="1757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6058" w:rsidRDefault="00546058" w:rsidP="00546058">
      <w:pPr>
        <w:rPr>
          <w:rFonts w:ascii="Calibri" w:hAnsi="Calibri"/>
          <w:b/>
          <w:sz w:val="28"/>
          <w:szCs w:val="28"/>
        </w:rPr>
      </w:pPr>
      <w:r>
        <w:rPr>
          <w:noProof/>
        </w:rPr>
        <w:drawing>
          <wp:anchor distT="0" distB="0" distL="114300" distR="114300" simplePos="0" relativeHeight="251688960" behindDoc="0" locked="0" layoutInCell="1" allowOverlap="1" wp14:anchorId="266AF9A4" wp14:editId="70F7C677">
            <wp:simplePos x="0" y="0"/>
            <wp:positionH relativeFrom="column">
              <wp:posOffset>1999804</wp:posOffset>
            </wp:positionH>
            <wp:positionV relativeFrom="paragraph">
              <wp:posOffset>2304654</wp:posOffset>
            </wp:positionV>
            <wp:extent cx="1459230" cy="1979295"/>
            <wp:effectExtent l="0" t="0" r="7620" b="1905"/>
            <wp:wrapSquare wrapText="bothSides"/>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val="0"/>
                        </a:ext>
                      </a:extLst>
                    </a:blip>
                    <a:srcRect l="30580" t="9611" r="37707" b="13923"/>
                    <a:stretch/>
                  </pic:blipFill>
                  <pic:spPr bwMode="auto">
                    <a:xfrm>
                      <a:off x="0" y="0"/>
                      <a:ext cx="1459230" cy="1979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FD1">
        <w:rPr>
          <w:b/>
          <w:noProof/>
        </w:rPr>
        <mc:AlternateContent>
          <mc:Choice Requires="wpg">
            <w:drawing>
              <wp:anchor distT="0" distB="0" distL="114300" distR="114300" simplePos="0" relativeHeight="251686912" behindDoc="0" locked="0" layoutInCell="1" allowOverlap="1" wp14:anchorId="76B6D061" wp14:editId="5E651265">
                <wp:simplePos x="0" y="0"/>
                <wp:positionH relativeFrom="margin">
                  <wp:posOffset>3610742</wp:posOffset>
                </wp:positionH>
                <wp:positionV relativeFrom="page">
                  <wp:posOffset>5613936</wp:posOffset>
                </wp:positionV>
                <wp:extent cx="1993900" cy="2344420"/>
                <wp:effectExtent l="0" t="0" r="6350" b="0"/>
                <wp:wrapSquare wrapText="bothSides"/>
                <wp:docPr id="112" name="Grupo 112"/>
                <wp:cNvGraphicFramePr/>
                <a:graphic xmlns:a="http://schemas.openxmlformats.org/drawingml/2006/main">
                  <a:graphicData uri="http://schemas.microsoft.com/office/word/2010/wordprocessingGroup">
                    <wpg:wgp>
                      <wpg:cNvGrpSpPr/>
                      <wpg:grpSpPr>
                        <a:xfrm>
                          <a:off x="0" y="0"/>
                          <a:ext cx="1993900" cy="2344420"/>
                          <a:chOff x="-204886" y="-1158363"/>
                          <a:chExt cx="2947144" cy="15774749"/>
                        </a:xfrm>
                      </wpg:grpSpPr>
                      <wps:wsp>
                        <wps:cNvPr id="113" name="Autoforma 14"/>
                        <wps:cNvSpPr>
                          <a:spLocks noChangeArrowheads="1"/>
                        </wps:cNvSpPr>
                        <wps:spPr bwMode="auto">
                          <a:xfrm>
                            <a:off x="-204886" y="-1158363"/>
                            <a:ext cx="2947144" cy="15774749"/>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Default="00E87599" w:rsidP="00546058">
                              <w:pPr>
                                <w:rPr>
                                  <w:rFonts w:ascii="Calibri" w:hAnsi="Calibri"/>
                                  <w:szCs w:val="20"/>
                                </w:rPr>
                              </w:pPr>
                              <w:r>
                                <w:rPr>
                                  <w:noProof/>
                                  <w:color w:val="44546A" w:themeColor="text2"/>
                                </w:rPr>
                                <w:drawing>
                                  <wp:inline distT="0" distB="0" distL="0" distR="0" wp14:anchorId="560E391E" wp14:editId="7AB20651">
                                    <wp:extent cx="351692" cy="282399"/>
                                    <wp:effectExtent l="0" t="0" r="0" b="381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r w:rsidRPr="00645F3C">
                                <w:rPr>
                                  <w:rFonts w:ascii="Calibri" w:hAnsi="Calibri"/>
                                  <w:b/>
                                  <w:szCs w:val="20"/>
                                </w:rPr>
                                <w:t>780.1K IMPRESIONES</w:t>
                              </w:r>
                            </w:p>
                            <w:p w:rsidR="00E87599" w:rsidRPr="00F575E2" w:rsidRDefault="00E87599" w:rsidP="00546058">
                              <w:pPr>
                                <w:rPr>
                                  <w:rFonts w:ascii="Calibri" w:hAnsi="Calibri"/>
                                  <w:szCs w:val="20"/>
                                </w:rPr>
                              </w:pPr>
                              <w:r w:rsidRPr="00D26822">
                                <w:rPr>
                                  <w:rFonts w:ascii="Calibri" w:hAnsi="Calibri"/>
                                  <w:sz w:val="16"/>
                                  <w:szCs w:val="16"/>
                                </w:rPr>
                                <w:t>En tres días solo desde el perfil @Madridonasangre</w:t>
                              </w:r>
                              <w:r>
                                <w:rPr>
                                  <w:rFonts w:ascii="Calibri" w:hAnsi="Calibri"/>
                                  <w:sz w:val="16"/>
                                  <w:szCs w:val="16"/>
                                </w:rPr>
                                <w:t>:</w:t>
                              </w:r>
                              <w:r w:rsidRPr="00D26822">
                                <w:rPr>
                                  <w:rFonts w:ascii="Calibri" w:hAnsi="Calibri"/>
                                  <w:sz w:val="16"/>
                                  <w:szCs w:val="16"/>
                                </w:rPr>
                                <w:t xml:space="preserve"> Casi 4.000 Rt y cerca de medio millón de impresiones con el tuit de stop y gracias. El tuit del perfil @SaludMadrid alcanzó otros 3.333 Rt más los 454 del</w:t>
                              </w:r>
                              <w:r>
                                <w:rPr>
                                  <w:rFonts w:ascii="Calibri" w:hAnsi="Calibri"/>
                                  <w:sz w:val="16"/>
                                  <w:szCs w:val="16"/>
                                </w:rPr>
                                <w:t xml:space="preserve"> </w:t>
                              </w:r>
                              <w:r w:rsidRPr="00D26822">
                                <w:rPr>
                                  <w:rFonts w:ascii="Calibri" w:hAnsi="Calibri"/>
                                  <w:sz w:val="16"/>
                                  <w:szCs w:val="16"/>
                                </w:rPr>
                                <w:t>rt con c</w:t>
                              </w:r>
                              <w:r>
                                <w:rPr>
                                  <w:rFonts w:ascii="Calibri" w:hAnsi="Calibri"/>
                                  <w:sz w:val="16"/>
                                  <w:szCs w:val="16"/>
                                </w:rPr>
                                <w:t>ita</w:t>
                              </w:r>
                              <w:r w:rsidRPr="00D26822">
                                <w:rPr>
                                  <w:rFonts w:ascii="Calibri" w:hAnsi="Calibri"/>
                                  <w:sz w:val="16"/>
                                  <w:szCs w:val="16"/>
                                </w:rPr>
                                <w:t xml:space="preserve"> de @Madridonsang</w:t>
                              </w:r>
                              <w:r>
                                <w:rPr>
                                  <w:rFonts w:ascii="Calibri" w:hAnsi="Calibri"/>
                                  <w:sz w:val="16"/>
                                  <w:szCs w:val="16"/>
                                </w:rPr>
                                <w:t>re, lo que probablemente hizo que los 3 tuits superaran el millón de impresiones en 3 días.</w:t>
                              </w:r>
                            </w:p>
                            <w:p w:rsidR="00E87599" w:rsidRDefault="00E87599" w:rsidP="00546058">
                              <w:pPr>
                                <w:rPr>
                                  <w:noProof/>
                                  <w:color w:val="44546A" w:themeColor="text2"/>
                                </w:rPr>
                              </w:pPr>
                              <w:r>
                                <w:rPr>
                                  <w:noProof/>
                                  <w:color w:val="44546A" w:themeColor="text2"/>
                                </w:rPr>
                                <w:t xml:space="preserve"> </w:t>
                              </w:r>
                            </w:p>
                            <w:p w:rsidR="00E87599" w:rsidRPr="00DB1B2B" w:rsidRDefault="00E87599" w:rsidP="00546058">
                              <w:pPr>
                                <w:rPr>
                                  <w:rFonts w:ascii="Calibri" w:hAnsi="Calibri"/>
                                  <w:szCs w:val="20"/>
                                </w:rPr>
                              </w:pPr>
                              <w:r>
                                <w:rPr>
                                  <w:rFonts w:ascii="Calibri" w:hAnsi="Calibri"/>
                                  <w:szCs w:val="20"/>
                                </w:rPr>
                                <w:t xml:space="preserve"> </w:t>
                              </w:r>
                            </w:p>
                            <w:p w:rsidR="00E87599" w:rsidRPr="00BE0B80" w:rsidRDefault="00E87599" w:rsidP="00546058">
                              <w:pPr>
                                <w:rPr>
                                  <w:rFonts w:ascii="Calibri" w:hAnsi="Calibri"/>
                                  <w:szCs w:val="20"/>
                                </w:rPr>
                              </w:pPr>
                            </w:p>
                            <w:p w:rsidR="00E87599" w:rsidRDefault="00E87599" w:rsidP="00546058">
                              <w:pPr>
                                <w:rPr>
                                  <w:color w:val="44546A" w:themeColor="text2"/>
                                </w:rPr>
                              </w:pPr>
                            </w:p>
                          </w:txbxContent>
                        </wps:txbx>
                        <wps:bodyPr rot="0" vert="horz" wrap="square" lIns="182880" tIns="457200" rIns="182880" bIns="73152" anchor="t" anchorCtr="0" upright="1">
                          <a:noAutofit/>
                        </wps:bodyPr>
                      </wps:wsp>
                      <wps:wsp>
                        <wps:cNvPr id="114" name="Rectángulo 114"/>
                        <wps:cNvSpPr/>
                        <wps:spPr>
                          <a:xfrm>
                            <a:off x="48531" y="384540"/>
                            <a:ext cx="2331719" cy="7042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15" name="Rectángulo 115"/>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B6D061" id="Grupo 112" o:spid="_x0000_s1032" style="position:absolute;left:0;text-align:left;margin-left:284.3pt;margin-top:442.05pt;width:157pt;height:184.6pt;z-index:251686912;mso-position-horizontal-relative:margin;mso-position-vertical-relative:page" coordorigin="-2048,-11583" coordsize="29471,15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">
                <v:rect id="Autoforma 14" o:spid="_x0000_s1033" style="position:absolute;left:-2048;top:-11583;width:29470;height:157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" fillcolor="white [3212]" stroked="f" strokeweight="1.25pt">
                  <v:textbox inset="14.4pt,36pt,14.4pt,5.76pt">
                    <w:txbxContent>
                      <w:p w:rsidR="00E87599" w:rsidRDefault="00E87599" w:rsidP="00546058">
                        <w:pPr>
                          <w:rPr>
                            <w:rFonts w:ascii="Calibri" w:hAnsi="Calibri"/>
                            <w:szCs w:val="20"/>
                          </w:rPr>
                        </w:pPr>
                        <w:r>
                          <w:rPr>
                            <w:noProof/>
                            <w:color w:val="44546A" w:themeColor="text2"/>
                          </w:rPr>
                          <w:drawing>
                            <wp:inline distT="0" distB="0" distL="0" distR="0" wp14:anchorId="560E391E" wp14:editId="7AB20651">
                              <wp:extent cx="351692" cy="282399"/>
                              <wp:effectExtent l="0" t="0" r="0" b="381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r w:rsidRPr="00645F3C">
                          <w:rPr>
                            <w:rFonts w:ascii="Calibri" w:hAnsi="Calibri"/>
                            <w:b/>
                            <w:szCs w:val="20"/>
                          </w:rPr>
                          <w:t>780.1K IMPRESIONES</w:t>
                        </w:r>
                      </w:p>
                      <w:p w:rsidR="00E87599" w:rsidRPr="00F575E2" w:rsidRDefault="00E87599" w:rsidP="00546058">
                        <w:pPr>
                          <w:rPr>
                            <w:rFonts w:ascii="Calibri" w:hAnsi="Calibri"/>
                            <w:szCs w:val="20"/>
                          </w:rPr>
                        </w:pPr>
                        <w:r w:rsidRPr="00D26822">
                          <w:rPr>
                            <w:rFonts w:ascii="Calibri" w:hAnsi="Calibri"/>
                            <w:sz w:val="16"/>
                            <w:szCs w:val="16"/>
                          </w:rPr>
                          <w:t>En tres días solo desde el perfil @Madridonasangre</w:t>
                        </w:r>
                        <w:r>
                          <w:rPr>
                            <w:rFonts w:ascii="Calibri" w:hAnsi="Calibri"/>
                            <w:sz w:val="16"/>
                            <w:szCs w:val="16"/>
                          </w:rPr>
                          <w:t>:</w:t>
                        </w:r>
                        <w:r w:rsidRPr="00D26822">
                          <w:rPr>
                            <w:rFonts w:ascii="Calibri" w:hAnsi="Calibri"/>
                            <w:sz w:val="16"/>
                            <w:szCs w:val="16"/>
                          </w:rPr>
                          <w:t xml:space="preserve"> Casi 4.000 Rt y cerca de medio millón de impresiones con el tuit de stop y gracias. El tuit del perfil @SaludMadrid alcanzó otros 3.333 Rt más los 454 del</w:t>
                        </w:r>
                        <w:r>
                          <w:rPr>
                            <w:rFonts w:ascii="Calibri" w:hAnsi="Calibri"/>
                            <w:sz w:val="16"/>
                            <w:szCs w:val="16"/>
                          </w:rPr>
                          <w:t xml:space="preserve"> </w:t>
                        </w:r>
                        <w:r w:rsidRPr="00D26822">
                          <w:rPr>
                            <w:rFonts w:ascii="Calibri" w:hAnsi="Calibri"/>
                            <w:sz w:val="16"/>
                            <w:szCs w:val="16"/>
                          </w:rPr>
                          <w:t>rt con c</w:t>
                        </w:r>
                        <w:r>
                          <w:rPr>
                            <w:rFonts w:ascii="Calibri" w:hAnsi="Calibri"/>
                            <w:sz w:val="16"/>
                            <w:szCs w:val="16"/>
                          </w:rPr>
                          <w:t>ita</w:t>
                        </w:r>
                        <w:r w:rsidRPr="00D26822">
                          <w:rPr>
                            <w:rFonts w:ascii="Calibri" w:hAnsi="Calibri"/>
                            <w:sz w:val="16"/>
                            <w:szCs w:val="16"/>
                          </w:rPr>
                          <w:t xml:space="preserve"> de @Madridonsang</w:t>
                        </w:r>
                        <w:r>
                          <w:rPr>
                            <w:rFonts w:ascii="Calibri" w:hAnsi="Calibri"/>
                            <w:sz w:val="16"/>
                            <w:szCs w:val="16"/>
                          </w:rPr>
                          <w:t>re, lo que probablemente hizo que los 3 tuits superaran el millón de impresiones en 3 días.</w:t>
                        </w:r>
                      </w:p>
                      <w:p w:rsidR="00E87599" w:rsidRDefault="00E87599" w:rsidP="00546058">
                        <w:pPr>
                          <w:rPr>
                            <w:noProof/>
                            <w:color w:val="44546A" w:themeColor="text2"/>
                          </w:rPr>
                        </w:pPr>
                        <w:r>
                          <w:rPr>
                            <w:noProof/>
                            <w:color w:val="44546A" w:themeColor="text2"/>
                          </w:rPr>
                          <w:t xml:space="preserve"> </w:t>
                        </w:r>
                      </w:p>
                      <w:p w:rsidR="00E87599" w:rsidRPr="00DB1B2B" w:rsidRDefault="00E87599" w:rsidP="00546058">
                        <w:pPr>
                          <w:rPr>
                            <w:rFonts w:ascii="Calibri" w:hAnsi="Calibri"/>
                            <w:szCs w:val="20"/>
                          </w:rPr>
                        </w:pPr>
                        <w:r>
                          <w:rPr>
                            <w:rFonts w:ascii="Calibri" w:hAnsi="Calibri"/>
                            <w:szCs w:val="20"/>
                          </w:rPr>
                          <w:t xml:space="preserve"> </w:t>
                        </w:r>
                      </w:p>
                      <w:p w:rsidR="00E87599" w:rsidRPr="00BE0B80" w:rsidRDefault="00E87599" w:rsidP="00546058">
                        <w:pPr>
                          <w:rPr>
                            <w:rFonts w:ascii="Calibri" w:hAnsi="Calibri"/>
                            <w:szCs w:val="20"/>
                          </w:rPr>
                        </w:pPr>
                      </w:p>
                      <w:p w:rsidR="00E87599" w:rsidRDefault="00E87599" w:rsidP="00546058">
                        <w:pPr>
                          <w:rPr>
                            <w:color w:val="44546A" w:themeColor="text2"/>
                          </w:rPr>
                        </w:pPr>
                      </w:p>
                    </w:txbxContent>
                  </v:textbox>
                </v:rect>
                <v:rect id="Rectángulo 114" o:spid="_x0000_s1034" style="position:absolute;left:485;top:3845;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115" o:spid="_x0000_s103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" fillcolor="#5b9bd5 [3204]" stroked="f" strokeweight="1pt">
                  <v:textbox inset="14.4pt,14.4pt,14.4pt,28.8pt">
                    <w:txbxContent>
                      <w:p w:rsidR="00E87599" w:rsidRDefault="00E87599" w:rsidP="00546058">
                        <w:pPr>
                          <w:spacing w:before="240"/>
                          <w:rPr>
                            <w:color w:val="FFFFFF" w:themeColor="background1"/>
                          </w:rPr>
                        </w:pPr>
                      </w:p>
                    </w:txbxContent>
                  </v:textbox>
                </v:rect>
                <w10:wrap type="square" anchorx="margin" anchory="page"/>
              </v:group>
            </w:pict>
          </mc:Fallback>
        </mc:AlternateContent>
      </w:r>
    </w:p>
    <w:p w:rsidR="00546058" w:rsidRDefault="00546058" w:rsidP="00546058">
      <w:pPr>
        <w:rPr>
          <w:rFonts w:ascii="Calibri" w:hAnsi="Calibri"/>
          <w:b/>
          <w:sz w:val="28"/>
          <w:szCs w:val="28"/>
        </w:rPr>
      </w:pPr>
      <w:r>
        <w:rPr>
          <w:noProof/>
        </w:rPr>
        <w:drawing>
          <wp:anchor distT="0" distB="0" distL="114300" distR="114300" simplePos="0" relativeHeight="251687936" behindDoc="0" locked="0" layoutInCell="1" allowOverlap="1" wp14:anchorId="667FA1F4" wp14:editId="4974F1BF">
            <wp:simplePos x="0" y="0"/>
            <wp:positionH relativeFrom="margin">
              <wp:posOffset>-635</wp:posOffset>
            </wp:positionH>
            <wp:positionV relativeFrom="paragraph">
              <wp:posOffset>170180</wp:posOffset>
            </wp:positionV>
            <wp:extent cx="1828800" cy="1943100"/>
            <wp:effectExtent l="0" t="0" r="0"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val="0"/>
                        </a:ext>
                      </a:extLst>
                    </a:blip>
                    <a:srcRect l="25659" t="9548" r="34240" b="14704"/>
                    <a:stretch/>
                  </pic:blipFill>
                  <pic:spPr bwMode="auto">
                    <a:xfrm>
                      <a:off x="0" y="0"/>
                      <a:ext cx="182880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058" w:rsidRDefault="00546058" w:rsidP="00546058">
      <w:pPr>
        <w:rPr>
          <w:rFonts w:ascii="Calibri" w:hAnsi="Calibri"/>
          <w:b/>
          <w:sz w:val="28"/>
          <w:szCs w:val="28"/>
        </w:rPr>
      </w:pPr>
    </w:p>
    <w:p w:rsidR="00546058" w:rsidRDefault="00546058" w:rsidP="00546058">
      <w:pPr>
        <w:rPr>
          <w:rFonts w:ascii="Calibri" w:hAnsi="Calibri"/>
          <w:b/>
          <w:sz w:val="28"/>
          <w:szCs w:val="28"/>
        </w:rPr>
      </w:pPr>
    </w:p>
    <w:p w:rsidR="00546058" w:rsidRDefault="00546058" w:rsidP="00546058">
      <w:pPr>
        <w:pStyle w:val="Ttulo3"/>
      </w:pPr>
      <w:r>
        <w:t>#ConSMSvoyadonar</w:t>
      </w:r>
    </w:p>
    <w:p w:rsidR="00546058" w:rsidRDefault="00546058" w:rsidP="00546058">
      <w:pPr>
        <w:rPr>
          <w:rFonts w:ascii="Calibri" w:hAnsi="Calibri"/>
        </w:rPr>
      </w:pPr>
    </w:p>
    <w:p w:rsidR="00546058" w:rsidRPr="00DF41EB" w:rsidRDefault="00546058" w:rsidP="00015CEE">
      <w:pPr>
        <w:rPr>
          <w:b/>
          <w:sz w:val="28"/>
          <w:szCs w:val="28"/>
        </w:rPr>
      </w:pPr>
      <w:r>
        <w:t xml:space="preserve">El día 16 de marzo, salimos de nuevo a medios. Si bien las reservas estaban llenas, el problema de la caducidad de las plaquetas obligaba a una entrada regular de sangre. El mismo día 14, fin del llamamiento masivo a la donación, el Gobierno </w:t>
      </w:r>
      <w:r>
        <w:lastRenderedPageBreak/>
        <w:t xml:space="preserve">decretó el confinamiento. A partir de este momento, el sms pasa a ser imprescindible para acudir a donar. A los donantes además les serviría de salvoconducto. Difusión de este mensaje con el hashtag #ConSMSvoyadonar en redes y en medios y con un vídeo explicando cómo ir a donar. </w:t>
      </w:r>
    </w:p>
    <w:p w:rsidR="00546058" w:rsidRDefault="00015CEE" w:rsidP="00546058">
      <w:pPr>
        <w:rPr>
          <w:rFonts w:ascii="Calibri" w:hAnsi="Calibri"/>
          <w:noProof/>
        </w:rPr>
      </w:pPr>
      <w:r>
        <w:rPr>
          <w:noProof/>
        </w:rPr>
        <w:drawing>
          <wp:anchor distT="0" distB="0" distL="114300" distR="114300" simplePos="0" relativeHeight="251739136" behindDoc="0" locked="0" layoutInCell="1" allowOverlap="1">
            <wp:simplePos x="0" y="0"/>
            <wp:positionH relativeFrom="margin">
              <wp:posOffset>-11876</wp:posOffset>
            </wp:positionH>
            <wp:positionV relativeFrom="paragraph">
              <wp:posOffset>280456</wp:posOffset>
            </wp:positionV>
            <wp:extent cx="2708275" cy="2214880"/>
            <wp:effectExtent l="0" t="0" r="0" b="0"/>
            <wp:wrapNone/>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val="0"/>
                        </a:ext>
                      </a:extLst>
                    </a:blip>
                    <a:srcRect l="11056" t="9824" r="38016" b="16138"/>
                    <a:stretch/>
                  </pic:blipFill>
                  <pic:spPr bwMode="auto">
                    <a:xfrm>
                      <a:off x="0" y="0"/>
                      <a:ext cx="2708275" cy="2214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6058" w:rsidRDefault="00546058" w:rsidP="00546058">
      <w:pPr>
        <w:rPr>
          <w:rFonts w:ascii="Calibri" w:hAnsi="Calibri"/>
        </w:rPr>
      </w:pPr>
      <w:r>
        <w:rPr>
          <w:noProof/>
        </w:rPr>
        <w:drawing>
          <wp:anchor distT="0" distB="0" distL="114300" distR="114300" simplePos="0" relativeHeight="251689984" behindDoc="0" locked="0" layoutInCell="1" allowOverlap="1" wp14:anchorId="6C85C4C7" wp14:editId="62DB08BE">
            <wp:simplePos x="0" y="0"/>
            <wp:positionH relativeFrom="column">
              <wp:posOffset>2964815</wp:posOffset>
            </wp:positionH>
            <wp:positionV relativeFrom="paragraph">
              <wp:posOffset>0</wp:posOffset>
            </wp:positionV>
            <wp:extent cx="2341880" cy="2446020"/>
            <wp:effectExtent l="0" t="0" r="1270" b="0"/>
            <wp:wrapSquare wrapText="bothSides"/>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screen">
                      <a:extLst>
                        <a:ext uri="{28A0092B-C50C-407E-A947-70E740481C1C}">
                          <a14:useLocalDpi xmlns:a14="http://schemas.microsoft.com/office/drawing/2010/main" val="0"/>
                        </a:ext>
                      </a:extLst>
                    </a:blip>
                    <a:srcRect t="3775" r="53895" b="6641"/>
                    <a:stretch/>
                  </pic:blipFill>
                  <pic:spPr bwMode="auto">
                    <a:xfrm>
                      <a:off x="0" y="0"/>
                      <a:ext cx="2341880"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058" w:rsidRDefault="00546058" w:rsidP="00546058">
      <w:pPr>
        <w:rPr>
          <w:rFonts w:ascii="Calibri" w:hAnsi="Calibri"/>
          <w:noProof/>
        </w:rPr>
      </w:pPr>
    </w:p>
    <w:p w:rsidR="00546058" w:rsidRDefault="00546058" w:rsidP="00546058">
      <w:pPr>
        <w:rPr>
          <w:rFonts w:ascii="Calibri" w:hAnsi="Calibri"/>
          <w:noProof/>
        </w:rPr>
      </w:pPr>
    </w:p>
    <w:p w:rsidR="00546058" w:rsidRDefault="00546058" w:rsidP="00546058">
      <w:pPr>
        <w:rPr>
          <w:rFonts w:ascii="Calibri" w:hAnsi="Calibri"/>
          <w:b/>
          <w:sz w:val="28"/>
          <w:szCs w:val="28"/>
        </w:rPr>
      </w:pPr>
    </w:p>
    <w:p w:rsidR="00546058" w:rsidRDefault="00546058" w:rsidP="00546058">
      <w:pPr>
        <w:rPr>
          <w:rFonts w:ascii="Calibri" w:hAnsi="Calibri"/>
          <w:b/>
          <w:sz w:val="28"/>
          <w:szCs w:val="28"/>
        </w:rPr>
      </w:pPr>
    </w:p>
    <w:p w:rsidR="00546058" w:rsidRDefault="00546058" w:rsidP="00546058">
      <w:pPr>
        <w:rPr>
          <w:rFonts w:ascii="Calibri" w:hAnsi="Calibri"/>
          <w:b/>
          <w:sz w:val="28"/>
          <w:szCs w:val="28"/>
        </w:rPr>
      </w:pPr>
    </w:p>
    <w:p w:rsidR="00546058" w:rsidRDefault="00546058" w:rsidP="00546058">
      <w:pPr>
        <w:rPr>
          <w:rFonts w:ascii="Calibri" w:hAnsi="Calibri"/>
          <w:b/>
          <w:sz w:val="28"/>
          <w:szCs w:val="28"/>
        </w:rPr>
      </w:pPr>
    </w:p>
    <w:p w:rsidR="00546058" w:rsidRDefault="00546058" w:rsidP="00546058">
      <w:pPr>
        <w:rPr>
          <w:rFonts w:ascii="Calibri" w:hAnsi="Calibri"/>
          <w:b/>
          <w:sz w:val="28"/>
          <w:szCs w:val="28"/>
        </w:rPr>
      </w:pPr>
    </w:p>
    <w:p w:rsidR="00546058" w:rsidRDefault="00015CEE" w:rsidP="00546058">
      <w:pPr>
        <w:rPr>
          <w:rFonts w:ascii="Calibri" w:hAnsi="Calibri"/>
          <w:b/>
          <w:sz w:val="28"/>
          <w:szCs w:val="28"/>
        </w:rPr>
      </w:pPr>
      <w:r w:rsidRPr="00F4434C">
        <w:rPr>
          <w:rFonts w:ascii="Calibri" w:hAnsi="Calibri"/>
          <w:noProof/>
        </w:rPr>
        <mc:AlternateContent>
          <mc:Choice Requires="wpg">
            <w:drawing>
              <wp:anchor distT="0" distB="0" distL="114300" distR="114300" simplePos="0" relativeHeight="251680768" behindDoc="0" locked="0" layoutInCell="1" allowOverlap="1" wp14:anchorId="016C640F" wp14:editId="364742A8">
                <wp:simplePos x="0" y="0"/>
                <wp:positionH relativeFrom="margin">
                  <wp:posOffset>0</wp:posOffset>
                </wp:positionH>
                <wp:positionV relativeFrom="page">
                  <wp:posOffset>4996815</wp:posOffset>
                </wp:positionV>
                <wp:extent cx="2663825" cy="1678305"/>
                <wp:effectExtent l="0" t="0" r="3175" b="0"/>
                <wp:wrapSquare wrapText="bothSides"/>
                <wp:docPr id="116" name="Grupo 116"/>
                <wp:cNvGraphicFramePr/>
                <a:graphic xmlns:a="http://schemas.openxmlformats.org/drawingml/2006/main">
                  <a:graphicData uri="http://schemas.microsoft.com/office/word/2010/wordprocessingGroup">
                    <wpg:wgp>
                      <wpg:cNvGrpSpPr/>
                      <wpg:grpSpPr>
                        <a:xfrm flipV="1">
                          <a:off x="0" y="0"/>
                          <a:ext cx="2663825" cy="1678305"/>
                          <a:chOff x="27409" y="-1193361"/>
                          <a:chExt cx="2475865" cy="10620492"/>
                        </a:xfrm>
                      </wpg:grpSpPr>
                      <wps:wsp>
                        <wps:cNvPr id="117" name="Autoforma 14"/>
                        <wps:cNvSpPr>
                          <a:spLocks noChangeArrowheads="1"/>
                        </wps:cNvSpPr>
                        <wps:spPr bwMode="auto">
                          <a:xfrm>
                            <a:off x="27409" y="-1193361"/>
                            <a:ext cx="2475865" cy="10620492"/>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A30C4A" w:rsidRDefault="00E87599" w:rsidP="00546058">
                              <w:pPr>
                                <w:rPr>
                                  <w:rFonts w:ascii="Calibri" w:hAnsi="Calibri"/>
                                  <w:b/>
                                  <w:szCs w:val="20"/>
                                </w:rPr>
                              </w:pPr>
                              <w:r w:rsidRPr="00A30C4A">
                                <w:rPr>
                                  <w:rFonts w:ascii="Calibri" w:hAnsi="Calibri"/>
                                  <w:b/>
                                  <w:szCs w:val="20"/>
                                </w:rPr>
                                <w:t>Impactos:</w:t>
                              </w:r>
                              <w:r w:rsidRPr="00A30C4A">
                                <w:rPr>
                                  <w:rFonts w:ascii="Calibri" w:hAnsi="Calibri"/>
                                  <w:szCs w:val="20"/>
                                </w:rPr>
                                <w:t xml:space="preserve"> Difundieron Telemadrid, Onda Cero, ABC (un reportaje), medios locales y un medio como Newtral que se ocupó de desmentir bulos e informar con precisión sobre todo lo que estaba ocurriendo.</w:t>
                              </w:r>
                            </w:p>
                            <w:p w:rsidR="00E87599" w:rsidRPr="00F4434C" w:rsidRDefault="00E87599" w:rsidP="00546058">
                              <w:pPr>
                                <w:rPr>
                                  <w:rFonts w:ascii="Calibri" w:hAnsi="Calibri"/>
                                </w:rPr>
                              </w:pPr>
                            </w:p>
                          </w:txbxContent>
                        </wps:txbx>
                        <wps:bodyPr rot="0" vert="horz" wrap="square" lIns="182880" tIns="457200" rIns="182880" bIns="73152" anchor="t" anchorCtr="0" upright="1">
                          <a:noAutofit/>
                        </wps:bodyPr>
                      </wps:wsp>
                      <wps:wsp>
                        <wps:cNvPr id="118" name="Rectángulo 118"/>
                        <wps:cNvSpPr/>
                        <wps:spPr>
                          <a:xfrm>
                            <a:off x="71919" y="2"/>
                            <a:ext cx="2331720" cy="704213"/>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19" name="Rectángulo 119"/>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16C640F" id="Grupo 116" o:spid="_x0000_s1036" style="position:absolute;left:0;text-align:left;margin-left:0;margin-top:393.45pt;width:209.75pt;height:132.15pt;flip:y;z-index:251680768;mso-position-horizontal-relative:margin;mso-position-vertical-relative:page" coordorigin="274,-11933" coordsize="24758,106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">
                <v:rect id="Autoforma 14" o:spid="_x0000_s1037" style="position:absolute;left:274;top:-11933;width:24758;height:10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" fillcolor="white [3212]" stroked="f" strokeweight="1.25pt">
                  <v:textbox inset="14.4pt,36pt,14.4pt,5.76pt">
                    <w:txbxContent>
                      <w:p w:rsidR="00E87599" w:rsidRPr="00A30C4A" w:rsidRDefault="00E87599" w:rsidP="00546058">
                        <w:pPr>
                          <w:rPr>
                            <w:rFonts w:ascii="Calibri" w:hAnsi="Calibri"/>
                            <w:b/>
                            <w:szCs w:val="20"/>
                          </w:rPr>
                        </w:pPr>
                        <w:r w:rsidRPr="00A30C4A">
                          <w:rPr>
                            <w:rFonts w:ascii="Calibri" w:hAnsi="Calibri"/>
                            <w:b/>
                            <w:szCs w:val="20"/>
                          </w:rPr>
                          <w:t>Impactos:</w:t>
                        </w:r>
                        <w:r w:rsidRPr="00A30C4A">
                          <w:rPr>
                            <w:rFonts w:ascii="Calibri" w:hAnsi="Calibri"/>
                            <w:szCs w:val="20"/>
                          </w:rPr>
                          <w:t xml:space="preserve"> Difundieron Telemadrid, Onda Cero, ABC (un reportaje), medios locales y un medio como Newtral que se ocupó de desmentir bulos e informar con precisión sobre todo lo que estaba ocurriendo.</w:t>
                        </w:r>
                      </w:p>
                      <w:p w:rsidR="00E87599" w:rsidRPr="00F4434C" w:rsidRDefault="00E87599" w:rsidP="00546058">
                        <w:pPr>
                          <w:rPr>
                            <w:rFonts w:ascii="Calibri" w:hAnsi="Calibri"/>
                          </w:rPr>
                        </w:pPr>
                      </w:p>
                    </w:txbxContent>
                  </v:textbox>
                </v:rect>
                <v:rect id="Rectángulo 118" o:spid="_x0000_s103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119" o:spid="_x0000_s103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" fillcolor="#5b9bd5 [3204]" stroked="f" strokeweight="1pt">
                  <v:textbox inset="14.4pt,14.4pt,14.4pt,28.8pt">
                    <w:txbxContent>
                      <w:p w:rsidR="00E87599" w:rsidRDefault="00E87599" w:rsidP="00546058">
                        <w:pPr>
                          <w:spacing w:before="240"/>
                          <w:rPr>
                            <w:color w:val="FFFFFF" w:themeColor="background1"/>
                          </w:rPr>
                        </w:pPr>
                      </w:p>
                    </w:txbxContent>
                  </v:textbox>
                </v:rect>
                <w10:wrap type="square" anchorx="margin" anchory="page"/>
              </v:group>
            </w:pict>
          </mc:Fallback>
        </mc:AlternateContent>
      </w:r>
    </w:p>
    <w:p w:rsidR="00015CEE" w:rsidRDefault="00F30515" w:rsidP="00546058">
      <w:pPr>
        <w:rPr>
          <w:rFonts w:ascii="Calibri" w:hAnsi="Calibri"/>
          <w:b/>
          <w:sz w:val="28"/>
          <w:szCs w:val="28"/>
        </w:rPr>
      </w:pPr>
      <w:r w:rsidRPr="00770832">
        <w:rPr>
          <w:rFonts w:ascii="Arial" w:hAnsi="Arial" w:cs="Arial"/>
          <w:noProof/>
          <w:color w:val="000000"/>
        </w:rPr>
        <mc:AlternateContent>
          <mc:Choice Requires="wps">
            <w:drawing>
              <wp:anchor distT="45720" distB="45720" distL="114300" distR="114300" simplePos="0" relativeHeight="251691008" behindDoc="0" locked="0" layoutInCell="1" allowOverlap="1" wp14:anchorId="66D4EB24" wp14:editId="114DADA8">
                <wp:simplePos x="0" y="0"/>
                <wp:positionH relativeFrom="margin">
                  <wp:align>right</wp:align>
                </wp:positionH>
                <wp:positionV relativeFrom="paragraph">
                  <wp:posOffset>151295</wp:posOffset>
                </wp:positionV>
                <wp:extent cx="1987550" cy="1496291"/>
                <wp:effectExtent l="0" t="0" r="0" b="8890"/>
                <wp:wrapSquare wrapText="bothSides"/>
                <wp:docPr id="1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0" cy="1496291"/>
                        </a:xfrm>
                        <a:prstGeom prst="rect">
                          <a:avLst/>
                        </a:prstGeom>
                        <a:solidFill>
                          <a:srgbClr val="FFFFFF"/>
                        </a:solidFill>
                        <a:ln w="9525">
                          <a:noFill/>
                          <a:miter lim="800000"/>
                          <a:headEnd/>
                          <a:tailEnd/>
                        </a:ln>
                      </wps:spPr>
                      <wps:txbx>
                        <w:txbxContent>
                          <w:p w:rsidR="00E87599" w:rsidRDefault="00E87599" w:rsidP="00015CEE">
                            <w:pPr>
                              <w:pStyle w:val="Ttulo3"/>
                              <w:shd w:val="clear" w:color="auto" w:fill="FFFFFF"/>
                              <w:spacing w:before="0" w:line="420" w:lineRule="atLeast"/>
                              <w:ind w:left="360"/>
                            </w:pPr>
                            <w:r>
                              <w:rPr>
                                <w:noProof/>
                                <w:color w:val="44546A" w:themeColor="text2"/>
                              </w:rPr>
                              <w:drawing>
                                <wp:inline distT="0" distB="0" distL="0" distR="0" wp14:anchorId="0C5A9486" wp14:editId="0A008FC1">
                                  <wp:extent cx="351692" cy="282399"/>
                                  <wp:effectExtent l="0" t="0" r="0" b="381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Pr="00A30C4A" w:rsidRDefault="00E87599" w:rsidP="00015CEE">
                            <w:pPr>
                              <w:pStyle w:val="Ttulo3"/>
                              <w:shd w:val="clear" w:color="auto" w:fill="FFFFFF"/>
                              <w:spacing w:before="0" w:line="420" w:lineRule="atLeast"/>
                              <w:rPr>
                                <w:rFonts w:ascii="Arial" w:hAnsi="Arial" w:cs="Arial"/>
                                <w:b/>
                                <w:bCs/>
                                <w:color w:val="292F33"/>
                              </w:rPr>
                            </w:pPr>
                            <w:r w:rsidRPr="00A30C4A">
                              <w:rPr>
                                <w:rFonts w:ascii="Arial" w:hAnsi="Arial" w:cs="Arial"/>
                                <w:color w:val="292F33"/>
                              </w:rPr>
                              <w:t>752.8K impresiones</w:t>
                            </w:r>
                          </w:p>
                          <w:p w:rsidR="00E87599" w:rsidRDefault="00E87599" w:rsidP="00546058">
                            <w:pPr>
                              <w:rPr>
                                <w:rFonts w:cstheme="minorHAnsi"/>
                                <w:szCs w:val="20"/>
                              </w:rPr>
                            </w:pPr>
                            <w:r w:rsidRPr="00A30C4A">
                              <w:rPr>
                                <w:rFonts w:cstheme="minorHAnsi"/>
                                <w:szCs w:val="20"/>
                              </w:rPr>
                              <w:t>en 4 días</w:t>
                            </w:r>
                          </w:p>
                          <w:p w:rsidR="00E87599" w:rsidRPr="00A30C4A" w:rsidRDefault="00E87599" w:rsidP="00015CEE">
                            <w:pPr>
                              <w:jc w:val="left"/>
                              <w:rPr>
                                <w:szCs w:val="20"/>
                              </w:rPr>
                            </w:pPr>
                            <w:r w:rsidRPr="00A30C4A">
                              <w:rPr>
                                <w:rFonts w:ascii="Arial" w:hAnsi="Arial" w:cs="Arial"/>
                                <w:b/>
                                <w:color w:val="292F33"/>
                                <w:szCs w:val="20"/>
                              </w:rPr>
                              <w:t>22.000 reproducciones</w:t>
                            </w:r>
                            <w:r>
                              <w:rPr>
                                <w:rFonts w:ascii="Arial" w:hAnsi="Arial" w:cs="Arial"/>
                                <w:color w:val="292F33"/>
                                <w:szCs w:val="20"/>
                              </w:rPr>
                              <w:t xml:space="preserve">  </w:t>
                            </w:r>
                            <w:r w:rsidRPr="00A30C4A">
                              <w:rPr>
                                <w:rFonts w:ascii="Arial" w:hAnsi="Arial" w:cs="Arial"/>
                                <w:color w:val="292F33"/>
                                <w:szCs w:val="20"/>
                              </w:rPr>
                              <w:t>del vídeo.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4EB24" id="_x0000_s1040" type="#_x0000_t202" style="position:absolute;left:0;text-align:left;margin-left:105.3pt;margin-top:11.9pt;width:156.5pt;height:117.8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" stroked="f">
                <v:textbox>
                  <w:txbxContent>
                    <w:p w:rsidR="00E87599" w:rsidRDefault="00E87599" w:rsidP="00015CEE">
                      <w:pPr>
                        <w:pStyle w:val="Ttulo3"/>
                        <w:shd w:val="clear" w:color="auto" w:fill="FFFFFF"/>
                        <w:spacing w:before="0" w:line="420" w:lineRule="atLeast"/>
                        <w:ind w:left="360"/>
                      </w:pPr>
                      <w:r>
                        <w:rPr>
                          <w:noProof/>
                          <w:color w:val="44546A" w:themeColor="text2"/>
                        </w:rPr>
                        <w:drawing>
                          <wp:inline distT="0" distB="0" distL="0" distR="0" wp14:anchorId="0C5A9486" wp14:editId="0A008FC1">
                            <wp:extent cx="351692" cy="282399"/>
                            <wp:effectExtent l="0" t="0" r="0" b="381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Pr="00A30C4A" w:rsidRDefault="00E87599" w:rsidP="00015CEE">
                      <w:pPr>
                        <w:pStyle w:val="Ttulo3"/>
                        <w:shd w:val="clear" w:color="auto" w:fill="FFFFFF"/>
                        <w:spacing w:before="0" w:line="420" w:lineRule="atLeast"/>
                        <w:rPr>
                          <w:rFonts w:ascii="Arial" w:hAnsi="Arial" w:cs="Arial"/>
                          <w:b/>
                          <w:bCs/>
                          <w:color w:val="292F33"/>
                        </w:rPr>
                      </w:pPr>
                      <w:r w:rsidRPr="00A30C4A">
                        <w:rPr>
                          <w:rFonts w:ascii="Arial" w:hAnsi="Arial" w:cs="Arial"/>
                          <w:color w:val="292F33"/>
                        </w:rPr>
                        <w:t>752.8K impresiones</w:t>
                      </w:r>
                    </w:p>
                    <w:p w:rsidR="00E87599" w:rsidRDefault="00E87599" w:rsidP="00546058">
                      <w:pPr>
                        <w:rPr>
                          <w:rFonts w:cstheme="minorHAnsi"/>
                          <w:szCs w:val="20"/>
                        </w:rPr>
                      </w:pPr>
                      <w:r w:rsidRPr="00A30C4A">
                        <w:rPr>
                          <w:rFonts w:cstheme="minorHAnsi"/>
                          <w:szCs w:val="20"/>
                        </w:rPr>
                        <w:t>en 4 días</w:t>
                      </w:r>
                    </w:p>
                    <w:p w:rsidR="00E87599" w:rsidRPr="00A30C4A" w:rsidRDefault="00E87599" w:rsidP="00015CEE">
                      <w:pPr>
                        <w:jc w:val="left"/>
                        <w:rPr>
                          <w:szCs w:val="20"/>
                        </w:rPr>
                      </w:pPr>
                      <w:r w:rsidRPr="00A30C4A">
                        <w:rPr>
                          <w:rFonts w:ascii="Arial" w:hAnsi="Arial" w:cs="Arial"/>
                          <w:b/>
                          <w:color w:val="292F33"/>
                          <w:szCs w:val="20"/>
                        </w:rPr>
                        <w:t>22.000 reproducciones</w:t>
                      </w:r>
                      <w:r>
                        <w:rPr>
                          <w:rFonts w:ascii="Arial" w:hAnsi="Arial" w:cs="Arial"/>
                          <w:color w:val="292F33"/>
                          <w:szCs w:val="20"/>
                        </w:rPr>
                        <w:t xml:space="preserve">  </w:t>
                      </w:r>
                      <w:r w:rsidRPr="00A30C4A">
                        <w:rPr>
                          <w:rFonts w:ascii="Arial" w:hAnsi="Arial" w:cs="Arial"/>
                          <w:color w:val="292F33"/>
                          <w:szCs w:val="20"/>
                        </w:rPr>
                        <w:t>del vídeo.</w:t>
                      </w:r>
                    </w:p>
                  </w:txbxContent>
                </v:textbox>
                <w10:wrap type="square" anchorx="margin"/>
              </v:shape>
            </w:pict>
          </mc:Fallback>
        </mc:AlternateContent>
      </w:r>
    </w:p>
    <w:p w:rsidR="00015CEE" w:rsidRDefault="00015CEE" w:rsidP="00546058">
      <w:pPr>
        <w:rPr>
          <w:rFonts w:ascii="Calibri" w:hAnsi="Calibri"/>
          <w:b/>
          <w:sz w:val="28"/>
          <w:szCs w:val="28"/>
        </w:rPr>
      </w:pPr>
    </w:p>
    <w:p w:rsidR="00546058" w:rsidRPr="001C1FFC" w:rsidRDefault="00546058" w:rsidP="00546058">
      <w:pPr>
        <w:rPr>
          <w:b/>
          <w:sz w:val="24"/>
          <w:szCs w:val="24"/>
        </w:rPr>
      </w:pPr>
      <w:r w:rsidRPr="001C1FFC">
        <w:rPr>
          <w:b/>
          <w:sz w:val="24"/>
          <w:szCs w:val="24"/>
        </w:rPr>
        <w:t>Aumenta la demanda: Correos para solicitar sms</w:t>
      </w:r>
    </w:p>
    <w:p w:rsidR="00F30515" w:rsidRDefault="00F30515" w:rsidP="00015CEE"/>
    <w:p w:rsidR="00546058" w:rsidRDefault="00546058" w:rsidP="00015CEE">
      <w:r>
        <w:t xml:space="preserve">En abril aumenta la demanda de sangre. El 24 de marzo se había difundido un correo, a través de las redes, con el fin de que aquellas personas que desearan donar y no hubieran recibido un sms, lo solicitaran al centro. Este mensaje tuvo una repercusión significativa, con cerca de 250.000 impresiones en twitter y la entrada de varios cientos de correos solicitando sms para acudir a donar. El 22 de abril ante el crecimiento de la demanda de sangre, se crea un correo </w:t>
      </w:r>
      <w:r w:rsidR="00F30515">
        <w:rPr>
          <w:sz w:val="18"/>
        </w:rPr>
        <w:lastRenderedPageBreak/>
        <w:t>nuevo</w:t>
      </w:r>
      <w:r w:rsidR="00F30515" w:rsidRPr="00F30515">
        <w:rPr>
          <w:sz w:val="18"/>
        </w:rPr>
        <w:t>q</w:t>
      </w:r>
      <w:r w:rsidRPr="00F30515">
        <w:rPr>
          <w:sz w:val="18"/>
        </w:rPr>
        <w:t>ue</w:t>
      </w:r>
      <w:r>
        <w:t xml:space="preserve"> se difunde por redes y medios. Tres días después se habían recibido casi </w:t>
      </w:r>
      <w:r w:rsidR="00015CEE" w:rsidRPr="00BE0E60">
        <w:rPr>
          <w:rFonts w:ascii="Calibri" w:hAnsi="Calibri"/>
          <w:noProof/>
        </w:rPr>
        <mc:AlternateContent>
          <mc:Choice Requires="wpg">
            <w:drawing>
              <wp:anchor distT="0" distB="0" distL="114300" distR="114300" simplePos="0" relativeHeight="251681792" behindDoc="0" locked="0" layoutInCell="1" allowOverlap="1" wp14:anchorId="315BB3D9" wp14:editId="260F53EA">
                <wp:simplePos x="0" y="0"/>
                <wp:positionH relativeFrom="margin">
                  <wp:posOffset>2990850</wp:posOffset>
                </wp:positionH>
                <wp:positionV relativeFrom="page">
                  <wp:posOffset>1492250</wp:posOffset>
                </wp:positionV>
                <wp:extent cx="2207260" cy="1270000"/>
                <wp:effectExtent l="0" t="0" r="2540" b="6350"/>
                <wp:wrapSquare wrapText="bothSides"/>
                <wp:docPr id="290" name="Grupo 290"/>
                <wp:cNvGraphicFramePr/>
                <a:graphic xmlns:a="http://schemas.openxmlformats.org/drawingml/2006/main">
                  <a:graphicData uri="http://schemas.microsoft.com/office/word/2010/wordprocessingGroup">
                    <wpg:wgp>
                      <wpg:cNvGrpSpPr/>
                      <wpg:grpSpPr>
                        <a:xfrm>
                          <a:off x="0" y="0"/>
                          <a:ext cx="2207260" cy="1270000"/>
                          <a:chOff x="-238211" y="-529957"/>
                          <a:chExt cx="2710977" cy="9630133"/>
                        </a:xfrm>
                      </wpg:grpSpPr>
                      <wps:wsp>
                        <wps:cNvPr id="291" name="Autoforma 14"/>
                        <wps:cNvSpPr>
                          <a:spLocks noChangeArrowheads="1"/>
                        </wps:cNvSpPr>
                        <wps:spPr bwMode="auto">
                          <a:xfrm>
                            <a:off x="-238211" y="-529957"/>
                            <a:ext cx="2710977" cy="9406350"/>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F4406F" w:rsidRDefault="00E87599" w:rsidP="00546058">
                              <w:pPr>
                                <w:rPr>
                                  <w:color w:val="44546A" w:themeColor="text2"/>
                                  <w:szCs w:val="20"/>
                                </w:rPr>
                              </w:pPr>
                              <w:r w:rsidRPr="00F4406F">
                                <w:rPr>
                                  <w:rFonts w:ascii="Calibri" w:hAnsi="Calibri"/>
                                  <w:b/>
                                  <w:szCs w:val="20"/>
                                </w:rPr>
                                <w:t>Impactos</w:t>
                              </w:r>
                              <w:r>
                                <w:rPr>
                                  <w:rFonts w:ascii="Calibri" w:hAnsi="Calibri"/>
                                  <w:szCs w:val="20"/>
                                </w:rPr>
                                <w:t xml:space="preserve">: </w:t>
                              </w:r>
                              <w:r w:rsidRPr="00F4406F">
                                <w:rPr>
                                  <w:rFonts w:ascii="Calibri" w:hAnsi="Calibri"/>
                                  <w:szCs w:val="20"/>
                                </w:rPr>
                                <w:t>El Mundo, La Razón, TVE, RNE, Cadena Ser y otros medios locales como Ser Madrid Oeste difundieron.</w:t>
                              </w:r>
                            </w:p>
                          </w:txbxContent>
                        </wps:txbx>
                        <wps:bodyPr rot="0" vert="horz" wrap="square" lIns="182880" tIns="457200" rIns="182880" bIns="73152" anchor="t" anchorCtr="0" upright="1">
                          <a:noAutofit/>
                        </wps:bodyPr>
                      </wps:wsp>
                      <wps:wsp>
                        <wps:cNvPr id="292" name="Rectángulo 292"/>
                        <wps:cNvSpPr/>
                        <wps:spPr>
                          <a:xfrm>
                            <a:off x="-25378" y="848661"/>
                            <a:ext cx="2331720" cy="704213"/>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93" name="Rectángulo 293"/>
                        <wps:cNvSpPr/>
                        <wps:spPr>
                          <a:xfrm>
                            <a:off x="-37077" y="8773220"/>
                            <a:ext cx="2413588" cy="32695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15BB3D9" id="Grupo 290" o:spid="_x0000_s1041" style="position:absolute;left:0;text-align:left;margin-left:235.5pt;margin-top:117.5pt;width:173.8pt;height:100pt;z-index:251681792;mso-position-horizontal-relative:margin;mso-position-vertical-relative:page" coordorigin="-2382,-5299" coordsize="27109,96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">
                <v:rect id="Autoforma 14" o:spid="_x0000_s1042" style="position:absolute;left:-2382;top:-5299;width:27109;height:9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" fillcolor="white [3212]" stroked="f" strokeweight="1.25pt">
                  <v:textbox inset="14.4pt,36pt,14.4pt,5.76pt">
                    <w:txbxContent>
                      <w:p w:rsidR="00E87599" w:rsidRPr="00F4406F" w:rsidRDefault="00E87599" w:rsidP="00546058">
                        <w:pPr>
                          <w:rPr>
                            <w:color w:val="44546A" w:themeColor="text2"/>
                            <w:szCs w:val="20"/>
                          </w:rPr>
                        </w:pPr>
                        <w:r w:rsidRPr="00F4406F">
                          <w:rPr>
                            <w:rFonts w:ascii="Calibri" w:hAnsi="Calibri"/>
                            <w:b/>
                            <w:szCs w:val="20"/>
                          </w:rPr>
                          <w:t>Impactos</w:t>
                        </w:r>
                        <w:r>
                          <w:rPr>
                            <w:rFonts w:ascii="Calibri" w:hAnsi="Calibri"/>
                            <w:szCs w:val="20"/>
                          </w:rPr>
                          <w:t xml:space="preserve">: </w:t>
                        </w:r>
                        <w:r w:rsidRPr="00F4406F">
                          <w:rPr>
                            <w:rFonts w:ascii="Calibri" w:hAnsi="Calibri"/>
                            <w:szCs w:val="20"/>
                          </w:rPr>
                          <w:t>El Mundo, La Razón, TVE, RNE, Cadena Ser y otros medios locales como Ser Madrid Oeste difundieron.</w:t>
                        </w:r>
                      </w:p>
                    </w:txbxContent>
                  </v:textbox>
                </v:rect>
                <v:rect id="Rectángulo 292" o:spid="_x0000_s1043" style="position:absolute;left:-253;top:8486;width:23316;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293" o:spid="_x0000_s1044" style="position:absolute;left:-370;top:87732;width:24135;height:32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" fillcolor="#5b9bd5 [3204]" stroked="f" strokeweight="1pt">
                  <v:textbox inset="14.4pt,14.4pt,14.4pt,28.8pt">
                    <w:txbxContent>
                      <w:p w:rsidR="00E87599" w:rsidRDefault="00E87599" w:rsidP="00546058">
                        <w:pPr>
                          <w:spacing w:before="240"/>
                          <w:rPr>
                            <w:color w:val="FFFFFF" w:themeColor="background1"/>
                          </w:rPr>
                        </w:pPr>
                      </w:p>
                    </w:txbxContent>
                  </v:textbox>
                </v:rect>
                <w10:wrap type="square" anchorx="margin" anchory="page"/>
              </v:group>
            </w:pict>
          </mc:Fallback>
        </mc:AlternateContent>
      </w:r>
      <w:r w:rsidR="00015CEE">
        <w:rPr>
          <w:noProof/>
        </w:rPr>
        <w:drawing>
          <wp:anchor distT="0" distB="0" distL="114300" distR="114300" simplePos="0" relativeHeight="251692032" behindDoc="0" locked="0" layoutInCell="1" allowOverlap="1" wp14:anchorId="6C0BB6E2" wp14:editId="1873E66D">
            <wp:simplePos x="0" y="0"/>
            <wp:positionH relativeFrom="margin">
              <wp:align>left</wp:align>
            </wp:positionH>
            <wp:positionV relativeFrom="paragraph">
              <wp:posOffset>661720</wp:posOffset>
            </wp:positionV>
            <wp:extent cx="2990850" cy="1485900"/>
            <wp:effectExtent l="0" t="0" r="0" b="0"/>
            <wp:wrapSquare wrapText="bothSides"/>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val="0"/>
                        </a:ext>
                      </a:extLst>
                    </a:blip>
                    <a:srcRect t="6577" b="12795"/>
                    <a:stretch/>
                  </pic:blipFill>
                  <pic:spPr bwMode="auto">
                    <a:xfrm>
                      <a:off x="0" y="0"/>
                      <a:ext cx="2990850"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2.000 solicitudes de sms. </w:t>
      </w:r>
    </w:p>
    <w:p w:rsidR="00546058" w:rsidRDefault="00015CEE" w:rsidP="00546058">
      <w:pPr>
        <w:rPr>
          <w:rFonts w:ascii="Calibri" w:hAnsi="Calibri"/>
        </w:rPr>
      </w:pPr>
      <w:r w:rsidRPr="00770832">
        <w:rPr>
          <w:rFonts w:ascii="Arial" w:hAnsi="Arial" w:cs="Arial"/>
          <w:noProof/>
          <w:color w:val="000000"/>
        </w:rPr>
        <mc:AlternateContent>
          <mc:Choice Requires="wps">
            <w:drawing>
              <wp:anchor distT="45720" distB="45720" distL="114300" distR="114300" simplePos="0" relativeHeight="251693056" behindDoc="0" locked="0" layoutInCell="1" allowOverlap="1" wp14:anchorId="6B0657E7" wp14:editId="6D6721AA">
                <wp:simplePos x="0" y="0"/>
                <wp:positionH relativeFrom="margin">
                  <wp:posOffset>3189157</wp:posOffset>
                </wp:positionH>
                <wp:positionV relativeFrom="paragraph">
                  <wp:posOffset>2173160</wp:posOffset>
                </wp:positionV>
                <wp:extent cx="2019300" cy="1092200"/>
                <wp:effectExtent l="0" t="0" r="19050" b="12700"/>
                <wp:wrapSquare wrapText="bothSides"/>
                <wp:docPr id="1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092200"/>
                        </a:xfrm>
                        <a:prstGeom prst="rect">
                          <a:avLst/>
                        </a:prstGeom>
                        <a:solidFill>
                          <a:srgbClr val="FFFFFF"/>
                        </a:solidFill>
                        <a:ln w="9525">
                          <a:solidFill>
                            <a:srgbClr val="000000"/>
                          </a:solidFill>
                          <a:miter lim="800000"/>
                          <a:headEnd/>
                          <a:tailEnd/>
                        </a:ln>
                      </wps:spPr>
                      <wps:txbx>
                        <w:txbxContent>
                          <w:p w:rsidR="00E87599" w:rsidRDefault="00E87599" w:rsidP="00015CEE">
                            <w:pPr>
                              <w:pStyle w:val="Ttulo3"/>
                              <w:shd w:val="clear" w:color="auto" w:fill="FFFFFF"/>
                              <w:spacing w:before="0" w:line="420" w:lineRule="atLeast"/>
                              <w:ind w:left="360"/>
                              <w:rPr>
                                <w:rFonts w:ascii="Arial" w:hAnsi="Arial" w:cs="Arial"/>
                                <w:b/>
                                <w:bCs/>
                                <w:color w:val="292F33"/>
                                <w:sz w:val="32"/>
                                <w:szCs w:val="32"/>
                              </w:rPr>
                            </w:pPr>
                            <w:r>
                              <w:rPr>
                                <w:noProof/>
                                <w:color w:val="44546A" w:themeColor="text2"/>
                              </w:rPr>
                              <w:drawing>
                                <wp:inline distT="0" distB="0" distL="0" distR="0" wp14:anchorId="20AADF3D" wp14:editId="5642FB74">
                                  <wp:extent cx="351692" cy="282399"/>
                                  <wp:effectExtent l="0" t="0" r="0" b="381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r>
                              <w:rPr>
                                <w:rStyle w:val="Textoennegrita"/>
                                <w:rFonts w:ascii="Arial" w:hAnsi="Arial" w:cs="Arial"/>
                                <w:b w:val="0"/>
                                <w:bCs w:val="0"/>
                                <w:color w:val="292F33"/>
                                <w:sz w:val="32"/>
                                <w:szCs w:val="32"/>
                              </w:rPr>
                              <w:t>446.1K</w:t>
                            </w:r>
                          </w:p>
                          <w:p w:rsidR="00E87599" w:rsidRDefault="00E87599" w:rsidP="00015CEE">
                            <w:pPr>
                              <w:pStyle w:val="Ttulo3"/>
                              <w:shd w:val="clear" w:color="auto" w:fill="FFFFFF"/>
                              <w:spacing w:before="0" w:line="420" w:lineRule="atLeast"/>
                              <w:ind w:left="360"/>
                              <w:rPr>
                                <w:rFonts w:ascii="Arial" w:hAnsi="Arial" w:cs="Arial"/>
                                <w:color w:val="292F33"/>
                                <w:sz w:val="18"/>
                                <w:szCs w:val="18"/>
                              </w:rPr>
                            </w:pPr>
                            <w:r>
                              <w:rPr>
                                <w:rFonts w:ascii="Arial" w:hAnsi="Arial" w:cs="Arial"/>
                                <w:color w:val="292F33"/>
                                <w:sz w:val="18"/>
                                <w:szCs w:val="18"/>
                              </w:rPr>
                              <w:t>I</w:t>
                            </w:r>
                            <w:r w:rsidRPr="00336D13">
                              <w:rPr>
                                <w:rFonts w:ascii="Arial" w:hAnsi="Arial" w:cs="Arial"/>
                                <w:color w:val="292F33"/>
                                <w:sz w:val="18"/>
                                <w:szCs w:val="18"/>
                              </w:rPr>
                              <w:t>mpresiones</w:t>
                            </w:r>
                          </w:p>
                          <w:p w:rsidR="00E87599" w:rsidRPr="00645F3C" w:rsidRDefault="00E87599" w:rsidP="00015CEE">
                            <w:pPr>
                              <w:pStyle w:val="Ttulo3"/>
                              <w:shd w:val="clear" w:color="auto" w:fill="FFFFFF"/>
                              <w:spacing w:before="0" w:line="420" w:lineRule="atLeast"/>
                              <w:ind w:left="360"/>
                              <w:rPr>
                                <w:rFonts w:ascii="Arial" w:hAnsi="Arial" w:cs="Arial"/>
                                <w:color w:val="292F33"/>
                                <w:sz w:val="18"/>
                                <w:szCs w:val="18"/>
                              </w:rPr>
                            </w:pPr>
                            <w:r w:rsidRPr="003D37CB">
                              <w:rPr>
                                <w:rFonts w:ascii="Calibri" w:hAnsi="Calibri" w:cs="Calibri"/>
                                <w:sz w:val="18"/>
                                <w:szCs w:val="18"/>
                              </w:rPr>
                              <w:t>En 4 días: 22-26 abr</w:t>
                            </w:r>
                            <w:r>
                              <w:t>.</w:t>
                            </w:r>
                          </w:p>
                          <w:p w:rsidR="00E87599" w:rsidRPr="00336D13" w:rsidRDefault="00E87599" w:rsidP="00546058">
                            <w:pPr>
                              <w:pStyle w:val="Ttulo3"/>
                              <w:shd w:val="clear" w:color="auto" w:fill="FFFFFF"/>
                              <w:spacing w:before="0" w:line="420" w:lineRule="atLeast"/>
                              <w:rPr>
                                <w:rFonts w:ascii="Arial" w:hAnsi="Arial" w:cs="Arial"/>
                                <w:b/>
                                <w:bCs/>
                                <w:color w:val="292F33"/>
                                <w:sz w:val="18"/>
                                <w:szCs w:val="18"/>
                              </w:rPr>
                            </w:pPr>
                          </w:p>
                          <w:p w:rsidR="00E87599" w:rsidRDefault="00E87599" w:rsidP="005460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657E7" id="_x0000_s1045" type="#_x0000_t202" style="position:absolute;left:0;text-align:left;margin-left:251.1pt;margin-top:171.1pt;width:159pt;height:86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">
                <v:textbox>
                  <w:txbxContent>
                    <w:p w:rsidR="00E87599" w:rsidRDefault="00E87599" w:rsidP="00015CEE">
                      <w:pPr>
                        <w:pStyle w:val="Ttulo3"/>
                        <w:shd w:val="clear" w:color="auto" w:fill="FFFFFF"/>
                        <w:spacing w:before="0" w:line="420" w:lineRule="atLeast"/>
                        <w:ind w:left="360"/>
                        <w:rPr>
                          <w:rFonts w:ascii="Arial" w:hAnsi="Arial" w:cs="Arial"/>
                          <w:b/>
                          <w:bCs/>
                          <w:color w:val="292F33"/>
                          <w:sz w:val="32"/>
                          <w:szCs w:val="32"/>
                        </w:rPr>
                      </w:pPr>
                      <w:r>
                        <w:rPr>
                          <w:noProof/>
                          <w:color w:val="44546A" w:themeColor="text2"/>
                        </w:rPr>
                        <w:drawing>
                          <wp:inline distT="0" distB="0" distL="0" distR="0" wp14:anchorId="20AADF3D" wp14:editId="5642FB74">
                            <wp:extent cx="351692" cy="282399"/>
                            <wp:effectExtent l="0" t="0" r="0" b="381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r>
                        <w:rPr>
                          <w:rStyle w:val="Textoennegrita"/>
                          <w:rFonts w:ascii="Arial" w:hAnsi="Arial" w:cs="Arial"/>
                          <w:b w:val="0"/>
                          <w:bCs w:val="0"/>
                          <w:color w:val="292F33"/>
                          <w:sz w:val="32"/>
                          <w:szCs w:val="32"/>
                        </w:rPr>
                        <w:t>446.1K</w:t>
                      </w:r>
                    </w:p>
                    <w:p w:rsidR="00E87599" w:rsidRDefault="00E87599" w:rsidP="00015CEE">
                      <w:pPr>
                        <w:pStyle w:val="Ttulo3"/>
                        <w:shd w:val="clear" w:color="auto" w:fill="FFFFFF"/>
                        <w:spacing w:before="0" w:line="420" w:lineRule="atLeast"/>
                        <w:ind w:left="360"/>
                        <w:rPr>
                          <w:rFonts w:ascii="Arial" w:hAnsi="Arial" w:cs="Arial"/>
                          <w:color w:val="292F33"/>
                          <w:sz w:val="18"/>
                          <w:szCs w:val="18"/>
                        </w:rPr>
                      </w:pPr>
                      <w:r>
                        <w:rPr>
                          <w:rFonts w:ascii="Arial" w:hAnsi="Arial" w:cs="Arial"/>
                          <w:color w:val="292F33"/>
                          <w:sz w:val="18"/>
                          <w:szCs w:val="18"/>
                        </w:rPr>
                        <w:t>I</w:t>
                      </w:r>
                      <w:r w:rsidRPr="00336D13">
                        <w:rPr>
                          <w:rFonts w:ascii="Arial" w:hAnsi="Arial" w:cs="Arial"/>
                          <w:color w:val="292F33"/>
                          <w:sz w:val="18"/>
                          <w:szCs w:val="18"/>
                        </w:rPr>
                        <w:t>mpresiones</w:t>
                      </w:r>
                    </w:p>
                    <w:p w:rsidR="00E87599" w:rsidRPr="00645F3C" w:rsidRDefault="00E87599" w:rsidP="00015CEE">
                      <w:pPr>
                        <w:pStyle w:val="Ttulo3"/>
                        <w:shd w:val="clear" w:color="auto" w:fill="FFFFFF"/>
                        <w:spacing w:before="0" w:line="420" w:lineRule="atLeast"/>
                        <w:ind w:left="360"/>
                        <w:rPr>
                          <w:rFonts w:ascii="Arial" w:hAnsi="Arial" w:cs="Arial"/>
                          <w:color w:val="292F33"/>
                          <w:sz w:val="18"/>
                          <w:szCs w:val="18"/>
                        </w:rPr>
                      </w:pPr>
                      <w:r w:rsidRPr="003D37CB">
                        <w:rPr>
                          <w:rFonts w:ascii="Calibri" w:hAnsi="Calibri" w:cs="Calibri"/>
                          <w:sz w:val="18"/>
                          <w:szCs w:val="18"/>
                        </w:rPr>
                        <w:t>En 4 días: 22-26 abr</w:t>
                      </w:r>
                      <w:r>
                        <w:t>.</w:t>
                      </w:r>
                    </w:p>
                    <w:p w:rsidR="00E87599" w:rsidRPr="00336D13" w:rsidRDefault="00E87599" w:rsidP="00546058">
                      <w:pPr>
                        <w:pStyle w:val="Ttulo3"/>
                        <w:shd w:val="clear" w:color="auto" w:fill="FFFFFF"/>
                        <w:spacing w:before="0" w:line="420" w:lineRule="atLeast"/>
                        <w:rPr>
                          <w:rFonts w:ascii="Arial" w:hAnsi="Arial" w:cs="Arial"/>
                          <w:b/>
                          <w:bCs/>
                          <w:color w:val="292F33"/>
                          <w:sz w:val="18"/>
                          <w:szCs w:val="18"/>
                        </w:rPr>
                      </w:pPr>
                    </w:p>
                    <w:p w:rsidR="00E87599" w:rsidRDefault="00E87599" w:rsidP="00546058"/>
                  </w:txbxContent>
                </v:textbox>
                <w10:wrap type="square" anchorx="margin"/>
              </v:shape>
            </w:pict>
          </mc:Fallback>
        </mc:AlternateContent>
      </w:r>
      <w:r w:rsidRPr="00F73504">
        <w:rPr>
          <w:b/>
          <w:noProof/>
          <w:sz w:val="28"/>
          <w:szCs w:val="28"/>
        </w:rPr>
        <mc:AlternateContent>
          <mc:Choice Requires="wps">
            <w:drawing>
              <wp:anchor distT="45720" distB="45720" distL="114300" distR="114300" simplePos="0" relativeHeight="251682816" behindDoc="0" locked="0" layoutInCell="1" allowOverlap="1" wp14:anchorId="351307CF" wp14:editId="361F54D6">
                <wp:simplePos x="0" y="0"/>
                <wp:positionH relativeFrom="margin">
                  <wp:posOffset>-71120</wp:posOffset>
                </wp:positionH>
                <wp:positionV relativeFrom="paragraph">
                  <wp:posOffset>2014220</wp:posOffset>
                </wp:positionV>
                <wp:extent cx="3027680" cy="2077720"/>
                <wp:effectExtent l="0" t="0" r="20320" b="17780"/>
                <wp:wrapSquare wrapText="bothSides"/>
                <wp:docPr id="2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077720"/>
                        </a:xfrm>
                        <a:prstGeom prst="rect">
                          <a:avLst/>
                        </a:prstGeom>
                        <a:solidFill>
                          <a:srgbClr val="FFFFFF"/>
                        </a:solidFill>
                        <a:ln w="9525">
                          <a:solidFill>
                            <a:schemeClr val="tx1"/>
                          </a:solidFill>
                          <a:miter lim="800000"/>
                          <a:headEnd/>
                          <a:tailEnd/>
                        </a:ln>
                      </wps:spPr>
                      <wps:txbx>
                        <w:txbxContent>
                          <w:p w:rsidR="00E87599" w:rsidRPr="00F73504" w:rsidRDefault="00E87599" w:rsidP="00546058">
                            <w:pPr>
                              <w:rPr>
                                <w:sz w:val="18"/>
                                <w:szCs w:val="18"/>
                              </w:rPr>
                            </w:pPr>
                            <w:r w:rsidRPr="00881A8F">
                              <w:rPr>
                                <w:b/>
                                <w:sz w:val="18"/>
                                <w:szCs w:val="18"/>
                              </w:rPr>
                              <w:t>Gráficos de balances:</w:t>
                            </w:r>
                            <w:r>
                              <w:rPr>
                                <w:sz w:val="18"/>
                                <w:szCs w:val="18"/>
                              </w:rPr>
                              <w:t xml:space="preserve"> A partir de abril los mensajes difundidos en redes tenían como objetivo mantener al día a los seguidores de cuál era la situación, buscar la complicidad del donante ofreciéndole la misma información y datos con los que contábamos. Cada día se subía un tuit con el número de bolsas de sangre necesarias y el número de donaciones que habían entrado, de forma que se reflejase con total transparencia el desajuste que existía en el balance.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307CF" id="_x0000_s1046" type="#_x0000_t202" style="position:absolute;left:0;text-align:left;margin-left:-5.6pt;margin-top:158.6pt;width:238.4pt;height:163.6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" strokecolor="black [3213]">
                <v:textbox>
                  <w:txbxContent>
                    <w:p w:rsidR="00E87599" w:rsidRPr="00F73504" w:rsidRDefault="00E87599" w:rsidP="00546058">
                      <w:pPr>
                        <w:rPr>
                          <w:sz w:val="18"/>
                          <w:szCs w:val="18"/>
                        </w:rPr>
                      </w:pPr>
                      <w:r w:rsidRPr="00881A8F">
                        <w:rPr>
                          <w:b/>
                          <w:sz w:val="18"/>
                          <w:szCs w:val="18"/>
                        </w:rPr>
                        <w:t>Gráficos de balances:</w:t>
                      </w:r>
                      <w:r>
                        <w:rPr>
                          <w:sz w:val="18"/>
                          <w:szCs w:val="18"/>
                        </w:rPr>
                        <w:t xml:space="preserve"> A partir de abril los mensajes difundidos en redes tenían como objetivo mantener al día a los seguidores de cuál era la situación, buscar la complicidad del donante ofreciéndole la misma información y datos con los que contábamos. Cada día se subía un tuit con el número de bolsas de sangre necesarias y el número de donaciones que habían entrado, de forma que se reflejase con total transparencia el desajuste que existía en el balance.</w:t>
                      </w:r>
                    </w:p>
                  </w:txbxContent>
                </v:textbox>
                <w10:wrap type="square" anchorx="margin"/>
              </v:shape>
            </w:pict>
          </mc:Fallback>
        </mc:AlternateContent>
      </w:r>
      <w:r w:rsidR="00546058">
        <w:rPr>
          <w:rFonts w:ascii="Calibri" w:hAnsi="Calibri"/>
          <w:noProof/>
        </w:rPr>
        <w:t xml:space="preserve">                  </w:t>
      </w:r>
    </w:p>
    <w:p w:rsidR="00546058" w:rsidRPr="00F73504" w:rsidRDefault="00546058" w:rsidP="00546058">
      <w:pPr>
        <w:rPr>
          <w:b/>
        </w:rPr>
      </w:pPr>
      <w:r w:rsidRPr="00F73504">
        <w:rPr>
          <w:b/>
          <w:noProof/>
        </w:rPr>
        <mc:AlternateContent>
          <mc:Choice Requires="wps">
            <w:drawing>
              <wp:anchor distT="45720" distB="45720" distL="114300" distR="114300" simplePos="0" relativeHeight="251678720" behindDoc="0" locked="0" layoutInCell="1" allowOverlap="1" wp14:anchorId="28837490" wp14:editId="561B9140">
                <wp:simplePos x="0" y="0"/>
                <wp:positionH relativeFrom="column">
                  <wp:posOffset>2886710</wp:posOffset>
                </wp:positionH>
                <wp:positionV relativeFrom="paragraph">
                  <wp:posOffset>198120</wp:posOffset>
                </wp:positionV>
                <wp:extent cx="2597785" cy="1459865"/>
                <wp:effectExtent l="4445" t="5715" r="7620" b="1270"/>
                <wp:wrapSquare wrapText="bothSides"/>
                <wp:docPr id="122" name="Cuadro de texto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1459865"/>
                        </a:xfrm>
                        <a:prstGeom prst="rect">
                          <a:avLst/>
                        </a:prstGeom>
                        <a:solidFill>
                          <a:srgbClr val="FFFFFF">
                            <a:alpha val="0"/>
                          </a:srgbClr>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E87599" w:rsidRDefault="00E87599" w:rsidP="00546058"/>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8837490" id="Cuadro de texto 122" o:spid="_x0000_s1047" type="#_x0000_t202" style="position:absolute;left:0;text-align:left;margin-left:227.3pt;margin-top:15.6pt;width:204.55pt;height:114.95pt;z-index:2516787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" stroked="f" strokeweight="0">
                <v:fill opacity="0"/>
                <v:textbox style="mso-fit-shape-to-text:t">
                  <w:txbxContent>
                    <w:p w:rsidR="00E87599" w:rsidRDefault="00E87599" w:rsidP="00546058"/>
                  </w:txbxContent>
                </v:textbox>
                <w10:wrap type="square"/>
              </v:shape>
            </w:pict>
          </mc:Fallback>
        </mc:AlternateContent>
      </w:r>
      <w:r w:rsidRPr="00F73504">
        <w:rPr>
          <w:b/>
        </w:rPr>
        <w:t xml:space="preserve">              </w:t>
      </w:r>
    </w:p>
    <w:p w:rsidR="00546058" w:rsidRDefault="00546058" w:rsidP="00546058">
      <w:pPr>
        <w:tabs>
          <w:tab w:val="center" w:pos="2204"/>
        </w:tabs>
        <w:rPr>
          <w:b/>
          <w:sz w:val="28"/>
          <w:szCs w:val="28"/>
        </w:rPr>
      </w:pPr>
    </w:p>
    <w:p w:rsidR="00546058" w:rsidRDefault="00546058" w:rsidP="00546058">
      <w:pPr>
        <w:rPr>
          <w:b/>
        </w:rPr>
      </w:pPr>
      <w:r>
        <w:rPr>
          <w:b/>
        </w:rPr>
        <w:t xml:space="preserve">                                                                        </w:t>
      </w:r>
    </w:p>
    <w:p w:rsidR="00546058" w:rsidRDefault="00546058" w:rsidP="00546058">
      <w:pPr>
        <w:rPr>
          <w:b/>
        </w:rPr>
      </w:pPr>
      <w:r>
        <w:rPr>
          <w:b/>
        </w:rPr>
        <w:tab/>
      </w:r>
      <w:r>
        <w:rPr>
          <w:b/>
        </w:rPr>
        <w:tab/>
      </w:r>
      <w:r>
        <w:rPr>
          <w:b/>
        </w:rPr>
        <w:tab/>
      </w:r>
      <w:r>
        <w:rPr>
          <w:b/>
        </w:rPr>
        <w:tab/>
      </w:r>
      <w:r>
        <w:rPr>
          <w:b/>
        </w:rPr>
        <w:tab/>
      </w:r>
      <w:r>
        <w:rPr>
          <w:b/>
        </w:rPr>
        <w:tab/>
      </w:r>
      <w:r>
        <w:rPr>
          <w:b/>
        </w:rPr>
        <w:tab/>
      </w:r>
      <w:r>
        <w:rPr>
          <w:b/>
        </w:rPr>
        <w:tab/>
      </w:r>
      <w:r>
        <w:rPr>
          <w:b/>
        </w:rPr>
        <w:tab/>
      </w:r>
    </w:p>
    <w:p w:rsidR="00F30515" w:rsidRDefault="00F30515" w:rsidP="00546058">
      <w:pPr>
        <w:rPr>
          <w:b/>
          <w:sz w:val="24"/>
          <w:szCs w:val="24"/>
        </w:rPr>
      </w:pPr>
    </w:p>
    <w:p w:rsidR="00546058" w:rsidRPr="001C1FFC" w:rsidRDefault="00546058" w:rsidP="00546058">
      <w:pPr>
        <w:rPr>
          <w:b/>
          <w:sz w:val="24"/>
          <w:szCs w:val="24"/>
        </w:rPr>
      </w:pPr>
      <w:r w:rsidRPr="001C1FFC">
        <w:rPr>
          <w:b/>
          <w:sz w:val="24"/>
          <w:szCs w:val="24"/>
        </w:rPr>
        <w:t>Nuevo comunicado urgente: apertura los fines de semana</w:t>
      </w:r>
    </w:p>
    <w:p w:rsidR="00546058" w:rsidRDefault="00546058" w:rsidP="00546058">
      <w:pPr>
        <w:rPr>
          <w:rFonts w:ascii="Calibri" w:hAnsi="Calibri"/>
          <w:b/>
          <w:sz w:val="28"/>
          <w:szCs w:val="28"/>
        </w:rPr>
      </w:pPr>
    </w:p>
    <w:p w:rsidR="00015CEE" w:rsidRDefault="00546058" w:rsidP="00015CEE">
      <w:r>
        <w:t>El 7 de mayo, es necesario difundir un nuevo comunicado urgente desde Sanidad llamando a la donación: “</w:t>
      </w:r>
      <w:r w:rsidRPr="00FA2827">
        <w:t>Esta semana</w:t>
      </w:r>
      <w:r>
        <w:t xml:space="preserve"> </w:t>
      </w:r>
      <w:r w:rsidRPr="00FA2827">
        <w:t>han entrado unas 550 donaciones por día a pesar de que la demanda transfusional hospitalaria se acerca a las 900 de lo</w:t>
      </w:r>
      <w:r>
        <w:t>s periodos de normalidad, un desajuste</w:t>
      </w:r>
      <w:r w:rsidRPr="00FA2827">
        <w:t xml:space="preserve"> que reduce las reservas puesto que con ellas se cubren los déficits diarios</w:t>
      </w:r>
      <w:r>
        <w:t>”</w:t>
      </w:r>
      <w:r w:rsidRPr="00FA2827">
        <w:t>.</w:t>
      </w:r>
      <w:r>
        <w:t xml:space="preserve"> Y se decide abrir los fines de semana. </w:t>
      </w:r>
    </w:p>
    <w:p w:rsidR="00015CEE" w:rsidRDefault="00015CEE">
      <w:pPr>
        <w:jc w:val="left"/>
      </w:pPr>
      <w:r>
        <w:br w:type="page"/>
      </w:r>
    </w:p>
    <w:tbl>
      <w:tblPr>
        <w:tblW w:w="8379" w:type="dxa"/>
        <w:tblCellMar>
          <w:left w:w="70" w:type="dxa"/>
          <w:right w:w="70" w:type="dxa"/>
        </w:tblCellMar>
        <w:tblLook w:val="04A0" w:firstRow="1" w:lastRow="0" w:firstColumn="1" w:lastColumn="0" w:noHBand="0" w:noVBand="1"/>
      </w:tblPr>
      <w:tblGrid>
        <w:gridCol w:w="8379"/>
      </w:tblGrid>
      <w:tr w:rsidR="00546058" w:rsidRPr="00887ECE" w:rsidTr="00546058">
        <w:trPr>
          <w:trHeight w:val="280"/>
        </w:trPr>
        <w:tc>
          <w:tcPr>
            <w:tcW w:w="8379" w:type="dxa"/>
            <w:tcBorders>
              <w:top w:val="nil"/>
              <w:left w:val="nil"/>
              <w:bottom w:val="nil"/>
              <w:right w:val="nil"/>
            </w:tcBorders>
            <w:shd w:val="clear" w:color="auto" w:fill="auto"/>
            <w:noWrap/>
            <w:vAlign w:val="bottom"/>
            <w:hideMark/>
          </w:tcPr>
          <w:p w:rsidR="0099564A" w:rsidRDefault="00015CEE" w:rsidP="00546058">
            <w:pPr>
              <w:rPr>
                <w:b/>
                <w:sz w:val="28"/>
                <w:szCs w:val="28"/>
              </w:rPr>
            </w:pPr>
            <w:r>
              <w:rPr>
                <w:noProof/>
              </w:rPr>
              <w:lastRenderedPageBreak/>
              <w:drawing>
                <wp:inline distT="0" distB="0" distL="0" distR="0" wp14:anchorId="24FEFA1D" wp14:editId="64CE01D3">
                  <wp:extent cx="2700655" cy="1982470"/>
                  <wp:effectExtent l="0" t="0" r="4445"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screen">
                            <a:extLst>
                              <a:ext uri="{28A0092B-C50C-407E-A947-70E740481C1C}">
                                <a14:useLocalDpi xmlns:a14="http://schemas.microsoft.com/office/drawing/2010/main" val="0"/>
                              </a:ext>
                            </a:extLst>
                          </a:blip>
                          <a:srcRect l="27450" t="13580" r="27199" b="27223"/>
                          <a:stretch/>
                        </pic:blipFill>
                        <pic:spPr bwMode="auto">
                          <a:xfrm>
                            <a:off x="0" y="0"/>
                            <a:ext cx="2700655" cy="1982470"/>
                          </a:xfrm>
                          <a:prstGeom prst="rect">
                            <a:avLst/>
                          </a:prstGeom>
                          <a:ln>
                            <a:noFill/>
                          </a:ln>
                          <a:extLst>
                            <a:ext uri="{53640926-AAD7-44D8-BBD7-CCE9431645EC}">
                              <a14:shadowObscured xmlns:a14="http://schemas.microsoft.com/office/drawing/2010/main"/>
                            </a:ext>
                          </a:extLst>
                        </pic:spPr>
                      </pic:pic>
                    </a:graphicData>
                  </a:graphic>
                </wp:inline>
              </w:drawing>
            </w:r>
            <w:r w:rsidRPr="00B32F7F">
              <w:rPr>
                <w:rFonts w:ascii="Calibri" w:hAnsi="Calibri"/>
                <w:noProof/>
                <w:sz w:val="28"/>
                <w:szCs w:val="28"/>
              </w:rPr>
              <mc:AlternateContent>
                <mc:Choice Requires="wpg">
                  <w:drawing>
                    <wp:inline distT="0" distB="0" distL="0" distR="0">
                      <wp:extent cx="2339340" cy="2006600"/>
                      <wp:effectExtent l="0" t="0" r="3810" b="0"/>
                      <wp:docPr id="261" name="Grupo 261"/>
                      <wp:cNvGraphicFramePr/>
                      <a:graphic xmlns:a="http://schemas.openxmlformats.org/drawingml/2006/main">
                        <a:graphicData uri="http://schemas.microsoft.com/office/word/2010/wordprocessingGroup">
                          <wpg:wgp>
                            <wpg:cNvGrpSpPr/>
                            <wpg:grpSpPr>
                              <a:xfrm>
                                <a:off x="0" y="0"/>
                                <a:ext cx="2339340" cy="2006600"/>
                                <a:chOff x="-108981" y="3"/>
                                <a:chExt cx="2512621" cy="9218697"/>
                              </a:xfrm>
                            </wpg:grpSpPr>
                            <wps:wsp>
                              <wps:cNvPr id="262" name="Autoforma 14"/>
                              <wps:cNvSpPr>
                                <a:spLocks noChangeArrowheads="1"/>
                              </wps:cNvSpPr>
                              <wps:spPr bwMode="auto">
                                <a:xfrm>
                                  <a:off x="-108981" y="3"/>
                                  <a:ext cx="2284006" cy="9218697"/>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Default="00E87599" w:rsidP="00546058">
                                    <w:r w:rsidRPr="00DC4E2F">
                                      <w:rPr>
                                        <w:rFonts w:ascii="Calibri" w:hAnsi="Calibri"/>
                                        <w:sz w:val="18"/>
                                        <w:szCs w:val="18"/>
                                      </w:rPr>
                                      <w:t>Cadena Cope, Cadena Ser, TVE, Esradio, Onda Cero, locales como Onda Cero Alcalá, Ser Madrid Oeste o el Diario Enfermero. La Sexta en Noticias y Al Rojo Vivo, Telemadrid, El Mundo, La razón, El</w:t>
                                    </w:r>
                                    <w:r>
                                      <w:rPr>
                                        <w:rFonts w:ascii="Calibri" w:hAnsi="Calibri"/>
                                      </w:rPr>
                                      <w:t xml:space="preserve"> </w:t>
                                    </w:r>
                                    <w:r w:rsidRPr="00DC4E2F">
                                      <w:rPr>
                                        <w:rFonts w:ascii="Calibri" w:hAnsi="Calibri"/>
                                        <w:sz w:val="18"/>
                                        <w:szCs w:val="18"/>
                                      </w:rPr>
                                      <w:t>diario y locales como la quincena o ser henares.</w:t>
                                    </w:r>
                                  </w:p>
                                  <w:p w:rsidR="00E87599" w:rsidRPr="00EC24CE" w:rsidRDefault="00E87599" w:rsidP="00546058">
                                    <w:pPr>
                                      <w:rPr>
                                        <w:sz w:val="18"/>
                                        <w:szCs w:val="18"/>
                                      </w:rPr>
                                    </w:pPr>
                                  </w:p>
                                  <w:p w:rsidR="00E87599" w:rsidRDefault="00E87599" w:rsidP="00546058">
                                    <w:pPr>
                                      <w:rPr>
                                        <w:color w:val="44546A" w:themeColor="text2"/>
                                      </w:rPr>
                                    </w:pPr>
                                  </w:p>
                                </w:txbxContent>
                              </wps:txbx>
                              <wps:bodyPr rot="0" vert="horz" wrap="square" lIns="182880" tIns="457200" rIns="182880" bIns="73152" anchor="t" anchorCtr="0" upright="1">
                                <a:noAutofit/>
                              </wps:bodyPr>
                            </wps:wsp>
                            <wps:wsp>
                              <wps:cNvPr id="263" name="Rectángulo 263"/>
                              <wps:cNvSpPr/>
                              <wps:spPr>
                                <a:xfrm>
                                  <a:off x="-60078" y="3"/>
                                  <a:ext cx="2463717" cy="56488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68" name="Rectángulo 268"/>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id="Grupo 261" o:spid="_x0000_s1048" style="width:184.2pt;height:158pt;mso-position-horizontal-relative:char;mso-position-vertical-relative:line" coordorigin="-1089" coordsize="25126,92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">
                      <v:rect id="Autoforma 14" o:spid="_x0000_s1049" style="position:absolute;left:-1089;width:22839;height:9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" fillcolor="white [3212]" stroked="f" strokeweight="1.25pt">
                        <v:textbox inset="14.4pt,36pt,14.4pt,5.76pt">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Default="00E87599" w:rsidP="00546058">
                              <w:r w:rsidRPr="00DC4E2F">
                                <w:rPr>
                                  <w:rFonts w:ascii="Calibri" w:hAnsi="Calibri"/>
                                  <w:sz w:val="18"/>
                                  <w:szCs w:val="18"/>
                                </w:rPr>
                                <w:t>Cadena Cope, Cadena Ser, TVE, Esradio, Onda Cero, locales como Onda Cero Alcalá, Ser Madrid Oeste o el Diario Enfermero. La Sexta en Noticias y Al Rojo Vivo, Telemadrid, El Mundo, La razón, El</w:t>
                              </w:r>
                              <w:r>
                                <w:rPr>
                                  <w:rFonts w:ascii="Calibri" w:hAnsi="Calibri"/>
                                </w:rPr>
                                <w:t xml:space="preserve"> </w:t>
                              </w:r>
                              <w:r w:rsidRPr="00DC4E2F">
                                <w:rPr>
                                  <w:rFonts w:ascii="Calibri" w:hAnsi="Calibri"/>
                                  <w:sz w:val="18"/>
                                  <w:szCs w:val="18"/>
                                </w:rPr>
                                <w:t>diario y locales como la quincena o ser henares.</w:t>
                              </w:r>
                            </w:p>
                            <w:p w:rsidR="00E87599" w:rsidRPr="00EC24CE" w:rsidRDefault="00E87599" w:rsidP="00546058">
                              <w:pPr>
                                <w:rPr>
                                  <w:sz w:val="18"/>
                                  <w:szCs w:val="18"/>
                                </w:rPr>
                              </w:pPr>
                            </w:p>
                            <w:p w:rsidR="00E87599" w:rsidRDefault="00E87599" w:rsidP="00546058">
                              <w:pPr>
                                <w:rPr>
                                  <w:color w:val="44546A" w:themeColor="text2"/>
                                </w:rPr>
                              </w:pPr>
                            </w:p>
                          </w:txbxContent>
                        </v:textbox>
                      </v:rect>
                      <v:rect id="Rectángulo 263" o:spid="_x0000_s1050" style="position:absolute;left:-600;width:24636;height:564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268" o:spid="_x0000_s1051"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" fillcolor="#5b9bd5 [3204]" stroked="f" strokeweight="1pt">
                        <v:textbox inset="14.4pt,14.4pt,14.4pt,28.8pt">
                          <w:txbxContent>
                            <w:p w:rsidR="00E87599" w:rsidRDefault="00E87599" w:rsidP="00546058">
                              <w:pPr>
                                <w:spacing w:before="240"/>
                                <w:rPr>
                                  <w:color w:val="FFFFFF" w:themeColor="background1"/>
                                </w:rPr>
                              </w:pPr>
                            </w:p>
                          </w:txbxContent>
                        </v:textbox>
                      </v:rect>
                      <w10:anchorlock/>
                    </v:group>
                  </w:pict>
                </mc:Fallback>
              </mc:AlternateContent>
            </w:r>
          </w:p>
          <w:p w:rsidR="0099564A" w:rsidRDefault="0099564A" w:rsidP="00546058">
            <w:pPr>
              <w:rPr>
                <w:b/>
                <w:sz w:val="28"/>
                <w:szCs w:val="28"/>
              </w:rPr>
            </w:pPr>
            <w:r>
              <w:rPr>
                <w:noProof/>
              </w:rPr>
              <w:drawing>
                <wp:inline distT="0" distB="0" distL="0" distR="0">
                  <wp:extent cx="2044700" cy="1668780"/>
                  <wp:effectExtent l="0" t="0" r="0" b="762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val="0"/>
                              </a:ext>
                            </a:extLst>
                          </a:blip>
                          <a:srcRect l="12232" t="19619" r="52430" b="22645"/>
                          <a:stretch/>
                        </pic:blipFill>
                        <pic:spPr bwMode="auto">
                          <a:xfrm>
                            <a:off x="0" y="0"/>
                            <a:ext cx="2044700" cy="1668780"/>
                          </a:xfrm>
                          <a:prstGeom prst="rect">
                            <a:avLst/>
                          </a:prstGeom>
                          <a:ln>
                            <a:noFill/>
                          </a:ln>
                          <a:extLst>
                            <a:ext uri="{53640926-AAD7-44D8-BBD7-CCE9431645EC}">
                              <a14:shadowObscured xmlns:a14="http://schemas.microsoft.com/office/drawing/2010/main"/>
                            </a:ext>
                          </a:extLst>
                        </pic:spPr>
                      </pic:pic>
                    </a:graphicData>
                  </a:graphic>
                </wp:inline>
              </w:drawing>
            </w:r>
            <w:r>
              <w:rPr>
                <w:b/>
                <w:sz w:val="28"/>
                <w:szCs w:val="28"/>
              </w:rPr>
              <w:t xml:space="preserve"> </w:t>
            </w:r>
            <w:r w:rsidR="00015CEE">
              <w:rPr>
                <w:noProof/>
              </w:rPr>
              <w:drawing>
                <wp:inline distT="0" distB="0" distL="0" distR="0" wp14:anchorId="2DA402D1" wp14:editId="080CDD00">
                  <wp:extent cx="2062480" cy="1365250"/>
                  <wp:effectExtent l="0" t="0" r="0" b="635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val="0"/>
                              </a:ext>
                            </a:extLst>
                          </a:blip>
                          <a:srcRect l="13997" t="28693" r="53261" b="34803"/>
                          <a:stretch/>
                        </pic:blipFill>
                        <pic:spPr bwMode="auto">
                          <a:xfrm>
                            <a:off x="0" y="0"/>
                            <a:ext cx="2062480" cy="1365250"/>
                          </a:xfrm>
                          <a:prstGeom prst="rect">
                            <a:avLst/>
                          </a:prstGeom>
                          <a:ln>
                            <a:noFill/>
                          </a:ln>
                          <a:extLst>
                            <a:ext uri="{53640926-AAD7-44D8-BBD7-CCE9431645EC}">
                              <a14:shadowObscured xmlns:a14="http://schemas.microsoft.com/office/drawing/2010/main"/>
                            </a:ext>
                          </a:extLst>
                        </pic:spPr>
                      </pic:pic>
                    </a:graphicData>
                  </a:graphic>
                </wp:inline>
              </w:drawing>
            </w:r>
            <w:r w:rsidRPr="00770832">
              <w:rPr>
                <w:rFonts w:ascii="Arial" w:hAnsi="Arial" w:cs="Arial"/>
                <w:noProof/>
                <w:color w:val="000000"/>
              </w:rPr>
              <mc:AlternateContent>
                <mc:Choice Requires="wps">
                  <w:drawing>
                    <wp:inline distT="0" distB="0" distL="0" distR="0">
                      <wp:extent cx="1085850" cy="1092200"/>
                      <wp:effectExtent l="0" t="0" r="0" b="0"/>
                      <wp:docPr id="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092200"/>
                              </a:xfrm>
                              <a:prstGeom prst="rect">
                                <a:avLst/>
                              </a:prstGeom>
                              <a:solidFill>
                                <a:srgbClr val="FFFFFF"/>
                              </a:solidFill>
                              <a:ln w="9525">
                                <a:noFill/>
                                <a:miter lim="800000"/>
                                <a:headEnd/>
                                <a:tailEnd/>
                              </a:ln>
                            </wps:spPr>
                            <wps:txbx>
                              <w:txbxContent>
                                <w:p w:rsidR="00E87599" w:rsidRDefault="00E87599" w:rsidP="0099564A">
                                  <w:pPr>
                                    <w:pStyle w:val="Ttulo3"/>
                                    <w:shd w:val="clear" w:color="auto" w:fill="FFFFFF"/>
                                    <w:spacing w:before="0" w:line="420" w:lineRule="atLeast"/>
                                    <w:rPr>
                                      <w:rFonts w:ascii="Arial" w:hAnsi="Arial" w:cs="Arial"/>
                                      <w:b/>
                                      <w:bCs/>
                                      <w:color w:val="292F33"/>
                                      <w:sz w:val="32"/>
                                      <w:szCs w:val="32"/>
                                    </w:rPr>
                                  </w:pPr>
                                  <w:r>
                                    <w:rPr>
                                      <w:noProof/>
                                      <w:color w:val="44546A" w:themeColor="text2"/>
                                    </w:rPr>
                                    <w:drawing>
                                      <wp:inline distT="0" distB="0" distL="0" distR="0" wp14:anchorId="22C45DF5" wp14:editId="62554B28">
                                        <wp:extent cx="351692" cy="282399"/>
                                        <wp:effectExtent l="0" t="0" r="0" b="381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r w:rsidRPr="001E6862">
                                    <w:rPr>
                                      <w:rStyle w:val="Textoennegrita"/>
                                      <w:rFonts w:ascii="Arial" w:hAnsi="Arial" w:cs="Arial"/>
                                      <w:b w:val="0"/>
                                      <w:bCs w:val="0"/>
                                      <w:color w:val="292F33"/>
                                      <w:sz w:val="32"/>
                                      <w:szCs w:val="32"/>
                                    </w:rPr>
                                    <w:t>363.2</w:t>
                                  </w:r>
                                  <w:r>
                                    <w:rPr>
                                      <w:rStyle w:val="Textoennegrita"/>
                                      <w:rFonts w:ascii="Arial" w:hAnsi="Arial" w:cs="Arial"/>
                                      <w:b w:val="0"/>
                                      <w:bCs w:val="0"/>
                                      <w:color w:val="292F33"/>
                                      <w:sz w:val="32"/>
                                      <w:szCs w:val="32"/>
                                    </w:rPr>
                                    <w:t>K</w:t>
                                  </w:r>
                                </w:p>
                                <w:p w:rsidR="00E87599" w:rsidRPr="00336D13" w:rsidRDefault="00E87599" w:rsidP="0099564A">
                                  <w:pPr>
                                    <w:pStyle w:val="Ttulo3"/>
                                    <w:shd w:val="clear" w:color="auto" w:fill="FFFFFF"/>
                                    <w:spacing w:before="0" w:line="420" w:lineRule="atLeast"/>
                                    <w:ind w:left="142" w:hanging="142"/>
                                    <w:rPr>
                                      <w:rFonts w:ascii="Arial" w:hAnsi="Arial" w:cs="Arial"/>
                                      <w:b/>
                                      <w:bCs/>
                                      <w:color w:val="292F33"/>
                                      <w:sz w:val="18"/>
                                      <w:szCs w:val="18"/>
                                    </w:rPr>
                                  </w:pPr>
                                  <w:r>
                                    <w:rPr>
                                      <w:rFonts w:ascii="Arial" w:hAnsi="Arial" w:cs="Arial"/>
                                      <w:color w:val="292F33"/>
                                      <w:sz w:val="18"/>
                                      <w:szCs w:val="18"/>
                                    </w:rPr>
                                    <w:t>I</w:t>
                                  </w:r>
                                  <w:r w:rsidRPr="00336D13">
                                    <w:rPr>
                                      <w:rFonts w:ascii="Arial" w:hAnsi="Arial" w:cs="Arial"/>
                                      <w:color w:val="292F33"/>
                                      <w:sz w:val="18"/>
                                      <w:szCs w:val="18"/>
                                    </w:rPr>
                                    <w:t>mpresiones</w:t>
                                  </w:r>
                                </w:p>
                                <w:p w:rsidR="00E87599" w:rsidRPr="001E6862" w:rsidRDefault="00E87599" w:rsidP="0099564A">
                                  <w:pPr>
                                    <w:ind w:left="142" w:hanging="142"/>
                                    <w:rPr>
                                      <w:rFonts w:ascii="Calibri" w:hAnsi="Calibri" w:cs="Calibri"/>
                                      <w:b/>
                                    </w:rPr>
                                  </w:pPr>
                                  <w:r w:rsidRPr="001E6862">
                                    <w:rPr>
                                      <w:rFonts w:ascii="Calibri" w:hAnsi="Calibri" w:cs="Calibri"/>
                                      <w:b/>
                                    </w:rPr>
                                    <w:t>En 3 días</w:t>
                                  </w:r>
                                </w:p>
                              </w:txbxContent>
                            </wps:txbx>
                            <wps:bodyPr rot="0" vert="horz" wrap="square" lIns="91440" tIns="45720" rIns="91440" bIns="45720" anchor="t" anchorCtr="0">
                              <a:noAutofit/>
                            </wps:bodyPr>
                          </wps:wsp>
                        </a:graphicData>
                      </a:graphic>
                    </wp:inline>
                  </w:drawing>
                </mc:Choice>
                <mc:Fallback>
                  <w:pict>
                    <v:shape id="Cuadro de texto 2" o:spid="_x0000_s1052" type="#_x0000_t202" style="width:85.5pt;height: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" stroked="f">
                      <v:textbox>
                        <w:txbxContent>
                          <w:p w:rsidR="00E87599" w:rsidRDefault="00E87599" w:rsidP="0099564A">
                            <w:pPr>
                              <w:pStyle w:val="Ttulo3"/>
                              <w:shd w:val="clear" w:color="auto" w:fill="FFFFFF"/>
                              <w:spacing w:before="0" w:line="420" w:lineRule="atLeast"/>
                              <w:rPr>
                                <w:rFonts w:ascii="Arial" w:hAnsi="Arial" w:cs="Arial"/>
                                <w:b/>
                                <w:bCs/>
                                <w:color w:val="292F33"/>
                                <w:sz w:val="32"/>
                                <w:szCs w:val="32"/>
                              </w:rPr>
                            </w:pPr>
                            <w:r>
                              <w:rPr>
                                <w:noProof/>
                                <w:color w:val="44546A" w:themeColor="text2"/>
                              </w:rPr>
                              <w:drawing>
                                <wp:inline distT="0" distB="0" distL="0" distR="0" wp14:anchorId="22C45DF5" wp14:editId="62554B28">
                                  <wp:extent cx="351692" cy="282399"/>
                                  <wp:effectExtent l="0" t="0" r="0" b="381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r w:rsidRPr="001E6862">
                              <w:rPr>
                                <w:rStyle w:val="Textoennegrita"/>
                                <w:rFonts w:ascii="Arial" w:hAnsi="Arial" w:cs="Arial"/>
                                <w:b w:val="0"/>
                                <w:bCs w:val="0"/>
                                <w:color w:val="292F33"/>
                                <w:sz w:val="32"/>
                                <w:szCs w:val="32"/>
                              </w:rPr>
                              <w:t>363.2</w:t>
                            </w:r>
                            <w:r>
                              <w:rPr>
                                <w:rStyle w:val="Textoennegrita"/>
                                <w:rFonts w:ascii="Arial" w:hAnsi="Arial" w:cs="Arial"/>
                                <w:b w:val="0"/>
                                <w:bCs w:val="0"/>
                                <w:color w:val="292F33"/>
                                <w:sz w:val="32"/>
                                <w:szCs w:val="32"/>
                              </w:rPr>
                              <w:t>K</w:t>
                            </w:r>
                          </w:p>
                          <w:p w:rsidR="00E87599" w:rsidRPr="00336D13" w:rsidRDefault="00E87599" w:rsidP="0099564A">
                            <w:pPr>
                              <w:pStyle w:val="Ttulo3"/>
                              <w:shd w:val="clear" w:color="auto" w:fill="FFFFFF"/>
                              <w:spacing w:before="0" w:line="420" w:lineRule="atLeast"/>
                              <w:ind w:left="142" w:hanging="142"/>
                              <w:rPr>
                                <w:rFonts w:ascii="Arial" w:hAnsi="Arial" w:cs="Arial"/>
                                <w:b/>
                                <w:bCs/>
                                <w:color w:val="292F33"/>
                                <w:sz w:val="18"/>
                                <w:szCs w:val="18"/>
                              </w:rPr>
                            </w:pPr>
                            <w:r>
                              <w:rPr>
                                <w:rFonts w:ascii="Arial" w:hAnsi="Arial" w:cs="Arial"/>
                                <w:color w:val="292F33"/>
                                <w:sz w:val="18"/>
                                <w:szCs w:val="18"/>
                              </w:rPr>
                              <w:t>I</w:t>
                            </w:r>
                            <w:r w:rsidRPr="00336D13">
                              <w:rPr>
                                <w:rFonts w:ascii="Arial" w:hAnsi="Arial" w:cs="Arial"/>
                                <w:color w:val="292F33"/>
                                <w:sz w:val="18"/>
                                <w:szCs w:val="18"/>
                              </w:rPr>
                              <w:t>mpresiones</w:t>
                            </w:r>
                          </w:p>
                          <w:p w:rsidR="00E87599" w:rsidRPr="001E6862" w:rsidRDefault="00E87599" w:rsidP="0099564A">
                            <w:pPr>
                              <w:ind w:left="142" w:hanging="142"/>
                              <w:rPr>
                                <w:rFonts w:ascii="Calibri" w:hAnsi="Calibri" w:cs="Calibri"/>
                                <w:b/>
                              </w:rPr>
                            </w:pPr>
                            <w:r w:rsidRPr="001E6862">
                              <w:rPr>
                                <w:rFonts w:ascii="Calibri" w:hAnsi="Calibri" w:cs="Calibri"/>
                                <w:b/>
                              </w:rPr>
                              <w:t>En 3 días</w:t>
                            </w:r>
                          </w:p>
                        </w:txbxContent>
                      </v:textbox>
                      <w10:anchorlock/>
                    </v:shape>
                  </w:pict>
                </mc:Fallback>
              </mc:AlternateContent>
            </w:r>
          </w:p>
          <w:p w:rsidR="0099564A" w:rsidRDefault="0099564A" w:rsidP="00546058">
            <w:pPr>
              <w:rPr>
                <w:b/>
                <w:sz w:val="28"/>
                <w:szCs w:val="28"/>
              </w:rPr>
            </w:pPr>
          </w:p>
          <w:p w:rsidR="00546058" w:rsidRPr="001C1FFC" w:rsidRDefault="00546058" w:rsidP="00546058">
            <w:pPr>
              <w:rPr>
                <w:rFonts w:ascii="Arial" w:hAnsi="Arial" w:cs="Arial"/>
                <w:color w:val="000000"/>
                <w:sz w:val="24"/>
                <w:szCs w:val="24"/>
              </w:rPr>
            </w:pPr>
            <w:r w:rsidRPr="001C1FFC">
              <w:rPr>
                <w:b/>
                <w:sz w:val="24"/>
                <w:szCs w:val="24"/>
              </w:rPr>
              <w:t>Fin del estado de alarma: #Yosalgoadonar</w:t>
            </w:r>
          </w:p>
          <w:p w:rsidR="0099564A" w:rsidRDefault="00546058" w:rsidP="0099564A">
            <w:pPr>
              <w:rPr>
                <w:noProof/>
              </w:rPr>
            </w:pPr>
            <w:r w:rsidRPr="000A203E">
              <w:t xml:space="preserve">Con la entrada en la fase 1 </w:t>
            </w:r>
            <w:r>
              <w:t>y la posibilidad de acudir a do</w:t>
            </w:r>
            <w:r w:rsidRPr="000A203E">
              <w:t>n</w:t>
            </w:r>
            <w:r>
              <w:t>a</w:t>
            </w:r>
            <w:r w:rsidRPr="000A203E">
              <w:t>r sin necesidad de sms, difundimos la campaña #Yosalgoadonar junto a un vídeo grabado en el centro con los profesionales ani</w:t>
            </w:r>
            <w:r>
              <w:t>mando a los madrileños a donar.</w:t>
            </w:r>
            <w:r w:rsidR="0099564A">
              <w:rPr>
                <w:noProof/>
              </w:rPr>
              <w:t xml:space="preserve"> </w:t>
            </w:r>
          </w:p>
          <w:p w:rsidR="0099564A" w:rsidRDefault="0099564A" w:rsidP="0099564A">
            <w:pPr>
              <w:rPr>
                <w:noProof/>
              </w:rPr>
            </w:pPr>
          </w:p>
          <w:p w:rsidR="00546058" w:rsidRDefault="0099564A" w:rsidP="0099564A">
            <w:r>
              <w:rPr>
                <w:noProof/>
              </w:rPr>
              <w:drawing>
                <wp:inline distT="0" distB="0" distL="0" distR="0" wp14:anchorId="553D8340" wp14:editId="33E1114F">
                  <wp:extent cx="2353310" cy="2166381"/>
                  <wp:effectExtent l="0" t="0" r="8890" b="571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screen">
                            <a:extLst>
                              <a:ext uri="{28A0092B-C50C-407E-A947-70E740481C1C}">
                                <a14:useLocalDpi xmlns:a14="http://schemas.microsoft.com/office/drawing/2010/main" val="0"/>
                              </a:ext>
                            </a:extLst>
                          </a:blip>
                          <a:srcRect l="8473" t="9336" r="34718" b="6853"/>
                          <a:stretch/>
                        </pic:blipFill>
                        <pic:spPr bwMode="auto">
                          <a:xfrm>
                            <a:off x="0" y="0"/>
                            <a:ext cx="2356820" cy="2169613"/>
                          </a:xfrm>
                          <a:prstGeom prst="rect">
                            <a:avLst/>
                          </a:prstGeom>
                          <a:ln>
                            <a:noFill/>
                          </a:ln>
                          <a:extLst>
                            <a:ext uri="{53640926-AAD7-44D8-BBD7-CCE9431645EC}">
                              <a14:shadowObscured xmlns:a14="http://schemas.microsoft.com/office/drawing/2010/main"/>
                            </a:ext>
                          </a:extLst>
                        </pic:spPr>
                      </pic:pic>
                    </a:graphicData>
                  </a:graphic>
                </wp:inline>
              </w:drawing>
            </w:r>
            <w:r w:rsidRPr="00B32F7F">
              <w:rPr>
                <w:rFonts w:ascii="Calibri" w:hAnsi="Calibri"/>
                <w:noProof/>
                <w:sz w:val="28"/>
                <w:szCs w:val="28"/>
              </w:rPr>
              <mc:AlternateContent>
                <mc:Choice Requires="wpg">
                  <w:drawing>
                    <wp:inline distT="0" distB="0" distL="0" distR="0">
                      <wp:extent cx="2671850" cy="2006443"/>
                      <wp:effectExtent l="0" t="0" r="0" b="0"/>
                      <wp:docPr id="204" name="Grupo 204"/>
                      <wp:cNvGraphicFramePr/>
                      <a:graphic xmlns:a="http://schemas.openxmlformats.org/drawingml/2006/main">
                        <a:graphicData uri="http://schemas.microsoft.com/office/word/2010/wordprocessingGroup">
                          <wpg:wgp>
                            <wpg:cNvGrpSpPr/>
                            <wpg:grpSpPr>
                              <a:xfrm>
                                <a:off x="0" y="0"/>
                                <a:ext cx="2671850" cy="2006443"/>
                                <a:chOff x="-108981" y="1"/>
                                <a:chExt cx="2750023" cy="9218699"/>
                              </a:xfrm>
                            </wpg:grpSpPr>
                            <wps:wsp>
                              <wps:cNvPr id="206" name="Autoforma 14"/>
                              <wps:cNvSpPr>
                                <a:spLocks noChangeArrowheads="1"/>
                              </wps:cNvSpPr>
                              <wps:spPr bwMode="auto">
                                <a:xfrm>
                                  <a:off x="-108981" y="1"/>
                                  <a:ext cx="2750023" cy="8334469"/>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99564A">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99564A" w:rsidRDefault="00E87599" w:rsidP="0099564A">
                                    <w:pPr>
                                      <w:rPr>
                                        <w:rFonts w:ascii="Calibri" w:hAnsi="Calibri" w:cs="Calibri"/>
                                        <w:sz w:val="18"/>
                                        <w:szCs w:val="18"/>
                                      </w:rPr>
                                    </w:pPr>
                                    <w:r w:rsidRPr="0099564A">
                                      <w:rPr>
                                        <w:rFonts w:ascii="Calibri" w:hAnsi="Calibri" w:cs="Calibri"/>
                                        <w:sz w:val="18"/>
                                        <w:szCs w:val="18"/>
                                      </w:rPr>
                                      <w:t>Telemadrid, RNE, TVE, Público, Antena 3 (Espejp Público), Madridiario y medios locales</w:t>
                                    </w:r>
                                    <w:r>
                                      <w:rPr>
                                        <w:rFonts w:ascii="Calibri" w:hAnsi="Calibri" w:cs="Calibri"/>
                                        <w:sz w:val="18"/>
                                        <w:szCs w:val="18"/>
                                      </w:rPr>
                                      <w:t>.</w:t>
                                    </w:r>
                                    <w:r w:rsidRPr="00C95BAB">
                                      <w:rPr>
                                        <w:rFonts w:ascii="Calibri" w:hAnsi="Calibri"/>
                                        <w:sz w:val="18"/>
                                        <w:szCs w:val="18"/>
                                      </w:rPr>
                                      <w:t>Onda Cero Alcalá, Ser Madrid Oeste o el Diario Enfermero. La Sexta en Noticias y Al Rojo Vivo, Telemadrid, El Mundo, La razón, El diario y locales como la quincena o ser</w:t>
                                    </w:r>
                                    <w:r>
                                      <w:rPr>
                                        <w:rFonts w:ascii="Calibri" w:hAnsi="Calibri"/>
                                      </w:rPr>
                                      <w:t xml:space="preserve"> </w:t>
                                    </w:r>
                                    <w:r w:rsidRPr="00C95BAB">
                                      <w:rPr>
                                        <w:rFonts w:ascii="Calibri" w:hAnsi="Calibri"/>
                                        <w:sz w:val="18"/>
                                        <w:szCs w:val="18"/>
                                      </w:rPr>
                                      <w:t>henares.</w:t>
                                    </w:r>
                                  </w:p>
                                  <w:p w:rsidR="00E87599" w:rsidRPr="00EC24CE" w:rsidRDefault="00E87599" w:rsidP="0099564A">
                                    <w:pPr>
                                      <w:rPr>
                                        <w:sz w:val="18"/>
                                        <w:szCs w:val="18"/>
                                      </w:rPr>
                                    </w:pPr>
                                  </w:p>
                                  <w:p w:rsidR="00E87599" w:rsidRDefault="00E87599" w:rsidP="0099564A">
                                    <w:pPr>
                                      <w:rPr>
                                        <w:color w:val="44546A" w:themeColor="text2"/>
                                      </w:rPr>
                                    </w:pPr>
                                  </w:p>
                                </w:txbxContent>
                              </wps:txbx>
                              <wps:bodyPr rot="0" vert="horz" wrap="square" lIns="182880" tIns="457200" rIns="182880" bIns="73152" anchor="t" anchorCtr="0" upright="1">
                                <a:noAutofit/>
                              </wps:bodyPr>
                            </wps:wsp>
                            <wps:wsp>
                              <wps:cNvPr id="207" name="Rectángulo 207"/>
                              <wps:cNvSpPr/>
                              <wps:spPr>
                                <a:xfrm>
                                  <a:off x="-60078" y="3"/>
                                  <a:ext cx="2463717" cy="56488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99564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08" name="Rectángulo 208"/>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99564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id="Grupo 204" o:spid="_x0000_s1053" style="width:210.4pt;height:158pt;mso-position-horizontal-relative:char;mso-position-vertical-relative:line" coordorigin="-1089" coordsize="27500,92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">
                      <v:rect id="Autoforma 14" o:spid="_x0000_s1054" style="position:absolute;left:-1089;width:27499;height:8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" fillcolor="white [3212]" stroked="f" strokeweight="1.25pt">
                        <v:textbox inset="14.4pt,36pt,14.4pt,5.76pt">
                          <w:txbxContent>
                            <w:p w:rsidR="00E87599" w:rsidRPr="004A5402" w:rsidRDefault="00E87599" w:rsidP="0099564A">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99564A" w:rsidRDefault="00E87599" w:rsidP="0099564A">
                              <w:pPr>
                                <w:rPr>
                                  <w:rFonts w:ascii="Calibri" w:hAnsi="Calibri" w:cs="Calibri"/>
                                  <w:sz w:val="18"/>
                                  <w:szCs w:val="18"/>
                                </w:rPr>
                              </w:pPr>
                              <w:r w:rsidRPr="0099564A">
                                <w:rPr>
                                  <w:rFonts w:ascii="Calibri" w:hAnsi="Calibri" w:cs="Calibri"/>
                                  <w:sz w:val="18"/>
                                  <w:szCs w:val="18"/>
                                </w:rPr>
                                <w:t>Telemadrid, RNE, TVE, Público, Antena 3 (Espejp Público), Madridiario y medios locales</w:t>
                              </w:r>
                              <w:r>
                                <w:rPr>
                                  <w:rFonts w:ascii="Calibri" w:hAnsi="Calibri" w:cs="Calibri"/>
                                  <w:sz w:val="18"/>
                                  <w:szCs w:val="18"/>
                                </w:rPr>
                                <w:t>.</w:t>
                              </w:r>
                              <w:r w:rsidRPr="00C95BAB">
                                <w:rPr>
                                  <w:rFonts w:ascii="Calibri" w:hAnsi="Calibri"/>
                                  <w:sz w:val="18"/>
                                  <w:szCs w:val="18"/>
                                </w:rPr>
                                <w:t>Onda Cero Alcalá, Ser Madrid Oeste o el Diario Enfermero. La Sexta en Noticias y Al Rojo Vivo, Telemadrid, El Mundo, La razón, El diario y locales como la quincena o ser</w:t>
                              </w:r>
                              <w:r>
                                <w:rPr>
                                  <w:rFonts w:ascii="Calibri" w:hAnsi="Calibri"/>
                                </w:rPr>
                                <w:t xml:space="preserve"> </w:t>
                              </w:r>
                              <w:r w:rsidRPr="00C95BAB">
                                <w:rPr>
                                  <w:rFonts w:ascii="Calibri" w:hAnsi="Calibri"/>
                                  <w:sz w:val="18"/>
                                  <w:szCs w:val="18"/>
                                </w:rPr>
                                <w:t>henares.</w:t>
                              </w:r>
                            </w:p>
                            <w:p w:rsidR="00E87599" w:rsidRPr="00EC24CE" w:rsidRDefault="00E87599" w:rsidP="0099564A">
                              <w:pPr>
                                <w:rPr>
                                  <w:sz w:val="18"/>
                                  <w:szCs w:val="18"/>
                                </w:rPr>
                              </w:pPr>
                            </w:p>
                            <w:p w:rsidR="00E87599" w:rsidRDefault="00E87599" w:rsidP="0099564A">
                              <w:pPr>
                                <w:rPr>
                                  <w:color w:val="44546A" w:themeColor="text2"/>
                                </w:rPr>
                              </w:pPr>
                            </w:p>
                          </w:txbxContent>
                        </v:textbox>
                      </v:rect>
                      <v:rect id="Rectángulo 207" o:spid="_x0000_s1055" style="position:absolute;left:-600;width:24636;height:564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" fillcolor="#44546a [3215]" stroked="f" strokeweight="1pt">
                        <v:textbox inset="14.4pt,14.4pt,14.4pt,28.8pt">
                          <w:txbxContent>
                            <w:p w:rsidR="00E87599" w:rsidRDefault="00E87599" w:rsidP="0099564A">
                              <w:pPr>
                                <w:spacing w:before="240"/>
                                <w:rPr>
                                  <w:color w:val="FFFFFF" w:themeColor="background1"/>
                                </w:rPr>
                              </w:pPr>
                            </w:p>
                          </w:txbxContent>
                        </v:textbox>
                      </v:rect>
                      <v:rect id="Rectángulo 208" o:spid="_x0000_s1056"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" fillcolor="#5b9bd5 [3204]" stroked="f" strokeweight="1pt">
                        <v:textbox inset="14.4pt,14.4pt,14.4pt,28.8pt">
                          <w:txbxContent>
                            <w:p w:rsidR="00E87599" w:rsidRDefault="00E87599" w:rsidP="0099564A">
                              <w:pPr>
                                <w:spacing w:before="240"/>
                                <w:rPr>
                                  <w:color w:val="FFFFFF" w:themeColor="background1"/>
                                </w:rPr>
                              </w:pPr>
                            </w:p>
                          </w:txbxContent>
                        </v:textbox>
                      </v:rect>
                      <w10:anchorlock/>
                    </v:group>
                  </w:pict>
                </mc:Fallback>
              </mc:AlternateContent>
            </w:r>
          </w:p>
          <w:p w:rsidR="00546058" w:rsidRDefault="00546058" w:rsidP="00546058">
            <w:r>
              <w:rPr>
                <w:noProof/>
              </w:rPr>
              <w:lastRenderedPageBreak/>
              <w:drawing>
                <wp:anchor distT="0" distB="0" distL="114300" distR="114300" simplePos="0" relativeHeight="251736064" behindDoc="0" locked="0" layoutInCell="1" allowOverlap="1" wp14:anchorId="3E91B5D6" wp14:editId="76F9B93E">
                  <wp:simplePos x="0" y="0"/>
                  <wp:positionH relativeFrom="column">
                    <wp:posOffset>2701290</wp:posOffset>
                  </wp:positionH>
                  <wp:positionV relativeFrom="paragraph">
                    <wp:posOffset>137795</wp:posOffset>
                  </wp:positionV>
                  <wp:extent cx="2573020" cy="1881505"/>
                  <wp:effectExtent l="0" t="0" r="0" b="4445"/>
                  <wp:wrapSquare wrapText="bothSides"/>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screen">
                            <a:extLst>
                              <a:ext uri="{28A0092B-C50C-407E-A947-70E740481C1C}">
                                <a14:useLocalDpi xmlns:a14="http://schemas.microsoft.com/office/drawing/2010/main" val="0"/>
                              </a:ext>
                            </a:extLst>
                          </a:blip>
                          <a:srcRect l="16566" t="13562" r="35458" b="24080"/>
                          <a:stretch/>
                        </pic:blipFill>
                        <pic:spPr bwMode="auto">
                          <a:xfrm>
                            <a:off x="0" y="0"/>
                            <a:ext cx="2573020" cy="188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058" w:rsidRDefault="00546058" w:rsidP="00546058">
            <w:pPr>
              <w:rPr>
                <w:rFonts w:ascii="Arial" w:hAnsi="Arial" w:cs="Arial"/>
                <w:color w:val="000000"/>
              </w:rPr>
            </w:pPr>
          </w:p>
          <w:p w:rsidR="00546058" w:rsidRPr="009E2A3D" w:rsidRDefault="00546058" w:rsidP="00546058">
            <w:pPr>
              <w:rPr>
                <w:sz w:val="28"/>
                <w:szCs w:val="28"/>
              </w:rPr>
            </w:pPr>
            <w:r w:rsidRPr="00770832">
              <w:rPr>
                <w:rFonts w:ascii="Arial" w:hAnsi="Arial" w:cs="Arial"/>
                <w:noProof/>
                <w:color w:val="000000"/>
              </w:rPr>
              <mc:AlternateContent>
                <mc:Choice Requires="wps">
                  <w:drawing>
                    <wp:anchor distT="45720" distB="45720" distL="114300" distR="114300" simplePos="0" relativeHeight="251700224" behindDoc="0" locked="0" layoutInCell="1" allowOverlap="1" wp14:anchorId="65446BF1" wp14:editId="0CEDF676">
                      <wp:simplePos x="0" y="0"/>
                      <wp:positionH relativeFrom="column">
                        <wp:posOffset>-44450</wp:posOffset>
                      </wp:positionH>
                      <wp:positionV relativeFrom="paragraph">
                        <wp:posOffset>248285</wp:posOffset>
                      </wp:positionV>
                      <wp:extent cx="2447925" cy="1219200"/>
                      <wp:effectExtent l="0" t="0" r="9525" b="0"/>
                      <wp:wrapSquare wrapText="bothSides"/>
                      <wp:docPr id="2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219200"/>
                              </a:xfrm>
                              <a:prstGeom prst="rect">
                                <a:avLst/>
                              </a:prstGeom>
                              <a:solidFill>
                                <a:srgbClr val="FFFFFF"/>
                              </a:solidFill>
                              <a:ln w="9525">
                                <a:noFill/>
                                <a:miter lim="800000"/>
                                <a:headEnd/>
                                <a:tailEnd/>
                              </a:ln>
                            </wps:spPr>
                            <wps:txbx>
                              <w:txbxContent>
                                <w:p w:rsidR="00E87599" w:rsidRDefault="00E87599" w:rsidP="00546058">
                                  <w:pPr>
                                    <w:pStyle w:val="Ttulo3"/>
                                    <w:shd w:val="clear" w:color="auto" w:fill="FFFFFF"/>
                                    <w:spacing w:before="0" w:line="420" w:lineRule="atLeast"/>
                                    <w:ind w:left="142" w:hanging="142"/>
                                  </w:pPr>
                                  <w:r>
                                    <w:rPr>
                                      <w:noProof/>
                                      <w:color w:val="44546A" w:themeColor="text2"/>
                                    </w:rPr>
                                    <w:drawing>
                                      <wp:inline distT="0" distB="0" distL="0" distR="0" wp14:anchorId="306696CD" wp14:editId="6AB3F76F">
                                        <wp:extent cx="351692" cy="282399"/>
                                        <wp:effectExtent l="0" t="0" r="0" b="381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Pr="00A55ED2" w:rsidRDefault="00E87599" w:rsidP="00546058">
                                  <w:pPr>
                                    <w:pStyle w:val="Ttulo3"/>
                                    <w:shd w:val="clear" w:color="auto" w:fill="FFFFFF"/>
                                    <w:spacing w:before="0" w:line="420" w:lineRule="atLeast"/>
                                    <w:ind w:left="142" w:hanging="142"/>
                                    <w:rPr>
                                      <w:rFonts w:ascii="Arial" w:hAnsi="Arial" w:cs="Arial"/>
                                      <w:b/>
                                      <w:bCs/>
                                      <w:color w:val="292F33"/>
                                      <w:sz w:val="32"/>
                                      <w:szCs w:val="32"/>
                                    </w:rPr>
                                  </w:pPr>
                                  <w:r>
                                    <w:rPr>
                                      <w:rStyle w:val="Textoennegrita"/>
                                      <w:rFonts w:ascii="Arial" w:hAnsi="Arial" w:cs="Arial"/>
                                      <w:b w:val="0"/>
                                      <w:bCs w:val="0"/>
                                      <w:color w:val="292F33"/>
                                      <w:sz w:val="32"/>
                                      <w:szCs w:val="32"/>
                                    </w:rPr>
                                    <w:t>211.6K</w:t>
                                  </w:r>
                                  <w:r>
                                    <w:rPr>
                                      <w:rFonts w:ascii="Arial" w:hAnsi="Arial" w:cs="Arial"/>
                                      <w:color w:val="292F33"/>
                                      <w:sz w:val="32"/>
                                      <w:szCs w:val="32"/>
                                    </w:rPr>
                                    <w:t xml:space="preserve"> </w:t>
                                  </w:r>
                                  <w:r w:rsidRPr="00A55ED2">
                                    <w:rPr>
                                      <w:rFonts w:ascii="Arial" w:hAnsi="Arial" w:cs="Arial"/>
                                      <w:color w:val="292F33"/>
                                      <w:sz w:val="24"/>
                                      <w:szCs w:val="24"/>
                                    </w:rPr>
                                    <w:t xml:space="preserve">Impresiones </w:t>
                                  </w:r>
                                  <w:r>
                                    <w:rPr>
                                      <w:rFonts w:ascii="Calibri" w:hAnsi="Calibri" w:cs="Calibri"/>
                                      <w:sz w:val="24"/>
                                      <w:szCs w:val="24"/>
                                    </w:rPr>
                                    <w:t>e</w:t>
                                  </w:r>
                                  <w:r w:rsidRPr="00A55ED2">
                                    <w:rPr>
                                      <w:rFonts w:ascii="Calibri" w:hAnsi="Calibri" w:cs="Calibri"/>
                                      <w:sz w:val="24"/>
                                      <w:szCs w:val="24"/>
                                    </w:rPr>
                                    <w:t>n 3 días</w:t>
                                  </w:r>
                                </w:p>
                                <w:p w:rsidR="00E87599" w:rsidRDefault="00E87599" w:rsidP="00546058">
                                  <w:pPr>
                                    <w:ind w:left="142" w:hanging="142"/>
                                    <w:rPr>
                                      <w:rFonts w:ascii="Calibri" w:hAnsi="Calibri" w:cs="Calibri"/>
                                      <w:b/>
                                    </w:rPr>
                                  </w:pPr>
                                </w:p>
                                <w:p w:rsidR="00E87599" w:rsidRPr="001E6862" w:rsidRDefault="00E87599" w:rsidP="00546058">
                                  <w:pPr>
                                    <w:ind w:left="142" w:hanging="142"/>
                                    <w:rPr>
                                      <w:rFonts w:ascii="Calibri" w:hAnsi="Calibri" w:cs="Calibri"/>
                                      <w:b/>
                                    </w:rPr>
                                  </w:pPr>
                                  <w:r>
                                    <w:rPr>
                                      <w:rFonts w:ascii="Calibri" w:hAnsi="Calibri" w:cs="Calibri"/>
                                      <w:b/>
                                      <w:sz w:val="32"/>
                                      <w:szCs w:val="32"/>
                                    </w:rPr>
                                    <w:t>23.</w:t>
                                  </w:r>
                                  <w:r w:rsidRPr="00227BCE">
                                    <w:rPr>
                                      <w:rFonts w:ascii="Calibri" w:hAnsi="Calibri" w:cs="Calibri"/>
                                      <w:b/>
                                      <w:sz w:val="32"/>
                                      <w:szCs w:val="32"/>
                                    </w:rPr>
                                    <w:t>000</w:t>
                                  </w:r>
                                  <w:r>
                                    <w:rPr>
                                      <w:rFonts w:ascii="Calibri" w:hAnsi="Calibri" w:cs="Calibri"/>
                                      <w:b/>
                                      <w:sz w:val="32"/>
                                      <w:szCs w:val="32"/>
                                    </w:rPr>
                                    <w:t xml:space="preserve">  </w:t>
                                  </w:r>
                                  <w:r>
                                    <w:rPr>
                                      <w:rFonts w:ascii="Calibri" w:hAnsi="Calibri" w:cs="Calibri"/>
                                      <w:b/>
                                    </w:rPr>
                                    <w:t>Visualizaciones vídeo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46BF1" id="_x0000_s1057" type="#_x0000_t202" style="position:absolute;left:0;text-align:left;margin-left:-3.5pt;margin-top:19.55pt;width:192.75pt;height:96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" stroked="f">
                      <v:textbox>
                        <w:txbxContent>
                          <w:p w:rsidR="00E87599" w:rsidRDefault="00E87599" w:rsidP="00546058">
                            <w:pPr>
                              <w:pStyle w:val="Ttulo3"/>
                              <w:shd w:val="clear" w:color="auto" w:fill="FFFFFF"/>
                              <w:spacing w:before="0" w:line="420" w:lineRule="atLeast"/>
                              <w:ind w:left="142" w:hanging="142"/>
                            </w:pPr>
                            <w:r>
                              <w:rPr>
                                <w:noProof/>
                                <w:color w:val="44546A" w:themeColor="text2"/>
                              </w:rPr>
                              <w:drawing>
                                <wp:inline distT="0" distB="0" distL="0" distR="0" wp14:anchorId="306696CD" wp14:editId="6AB3F76F">
                                  <wp:extent cx="351692" cy="282399"/>
                                  <wp:effectExtent l="0" t="0" r="0" b="381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Pr="00A55ED2" w:rsidRDefault="00E87599" w:rsidP="00546058">
                            <w:pPr>
                              <w:pStyle w:val="Ttulo3"/>
                              <w:shd w:val="clear" w:color="auto" w:fill="FFFFFF"/>
                              <w:spacing w:before="0" w:line="420" w:lineRule="atLeast"/>
                              <w:ind w:left="142" w:hanging="142"/>
                              <w:rPr>
                                <w:rFonts w:ascii="Arial" w:hAnsi="Arial" w:cs="Arial"/>
                                <w:b/>
                                <w:bCs/>
                                <w:color w:val="292F33"/>
                                <w:sz w:val="32"/>
                                <w:szCs w:val="32"/>
                              </w:rPr>
                            </w:pPr>
                            <w:r>
                              <w:rPr>
                                <w:rStyle w:val="Textoennegrita"/>
                                <w:rFonts w:ascii="Arial" w:hAnsi="Arial" w:cs="Arial"/>
                                <w:b w:val="0"/>
                                <w:bCs w:val="0"/>
                                <w:color w:val="292F33"/>
                                <w:sz w:val="32"/>
                                <w:szCs w:val="32"/>
                              </w:rPr>
                              <w:t>211.6K</w:t>
                            </w:r>
                            <w:r>
                              <w:rPr>
                                <w:rFonts w:ascii="Arial" w:hAnsi="Arial" w:cs="Arial"/>
                                <w:color w:val="292F33"/>
                                <w:sz w:val="32"/>
                                <w:szCs w:val="32"/>
                              </w:rPr>
                              <w:t xml:space="preserve"> </w:t>
                            </w:r>
                            <w:r w:rsidRPr="00A55ED2">
                              <w:rPr>
                                <w:rFonts w:ascii="Arial" w:hAnsi="Arial" w:cs="Arial"/>
                                <w:color w:val="292F33"/>
                                <w:sz w:val="24"/>
                                <w:szCs w:val="24"/>
                              </w:rPr>
                              <w:t xml:space="preserve">Impresiones </w:t>
                            </w:r>
                            <w:r>
                              <w:rPr>
                                <w:rFonts w:ascii="Calibri" w:hAnsi="Calibri" w:cs="Calibri"/>
                                <w:sz w:val="24"/>
                                <w:szCs w:val="24"/>
                              </w:rPr>
                              <w:t>e</w:t>
                            </w:r>
                            <w:r w:rsidRPr="00A55ED2">
                              <w:rPr>
                                <w:rFonts w:ascii="Calibri" w:hAnsi="Calibri" w:cs="Calibri"/>
                                <w:sz w:val="24"/>
                                <w:szCs w:val="24"/>
                              </w:rPr>
                              <w:t>n 3 días</w:t>
                            </w:r>
                          </w:p>
                          <w:p w:rsidR="00E87599" w:rsidRDefault="00E87599" w:rsidP="00546058">
                            <w:pPr>
                              <w:ind w:left="142" w:hanging="142"/>
                              <w:rPr>
                                <w:rFonts w:ascii="Calibri" w:hAnsi="Calibri" w:cs="Calibri"/>
                                <w:b/>
                              </w:rPr>
                            </w:pPr>
                          </w:p>
                          <w:p w:rsidR="00E87599" w:rsidRPr="001E6862" w:rsidRDefault="00E87599" w:rsidP="00546058">
                            <w:pPr>
                              <w:ind w:left="142" w:hanging="142"/>
                              <w:rPr>
                                <w:rFonts w:ascii="Calibri" w:hAnsi="Calibri" w:cs="Calibri"/>
                                <w:b/>
                              </w:rPr>
                            </w:pPr>
                            <w:r>
                              <w:rPr>
                                <w:rFonts w:ascii="Calibri" w:hAnsi="Calibri" w:cs="Calibri"/>
                                <w:b/>
                                <w:sz w:val="32"/>
                                <w:szCs w:val="32"/>
                              </w:rPr>
                              <w:t>23.</w:t>
                            </w:r>
                            <w:r w:rsidRPr="00227BCE">
                              <w:rPr>
                                <w:rFonts w:ascii="Calibri" w:hAnsi="Calibri" w:cs="Calibri"/>
                                <w:b/>
                                <w:sz w:val="32"/>
                                <w:szCs w:val="32"/>
                              </w:rPr>
                              <w:t>000</w:t>
                            </w:r>
                            <w:r>
                              <w:rPr>
                                <w:rFonts w:ascii="Calibri" w:hAnsi="Calibri" w:cs="Calibri"/>
                                <w:b/>
                                <w:sz w:val="32"/>
                                <w:szCs w:val="32"/>
                              </w:rPr>
                              <w:t xml:space="preserve">  </w:t>
                            </w:r>
                            <w:r>
                              <w:rPr>
                                <w:rFonts w:ascii="Calibri" w:hAnsi="Calibri" w:cs="Calibri"/>
                                <w:b/>
                              </w:rPr>
                              <w:t>Visualizaciones vídeo</w:t>
                            </w:r>
                          </w:p>
                        </w:txbxContent>
                      </v:textbox>
                      <w10:wrap type="square"/>
                    </v:shape>
                  </w:pict>
                </mc:Fallback>
              </mc:AlternateContent>
            </w:r>
          </w:p>
          <w:p w:rsidR="00546058" w:rsidRDefault="00546058" w:rsidP="00546058">
            <w:pPr>
              <w:rPr>
                <w:rFonts w:ascii="Calibri" w:hAnsi="Calibri"/>
                <w:noProof/>
              </w:rPr>
            </w:pPr>
          </w:p>
          <w:p w:rsidR="00546058" w:rsidRPr="001C1FFC" w:rsidRDefault="00546058" w:rsidP="00546058">
            <w:pPr>
              <w:rPr>
                <w:b/>
                <w:sz w:val="24"/>
                <w:szCs w:val="24"/>
              </w:rPr>
            </w:pPr>
            <w:r w:rsidRPr="001C1FFC">
              <w:rPr>
                <w:b/>
                <w:sz w:val="24"/>
                <w:szCs w:val="24"/>
              </w:rPr>
              <w:t>Día Mundial del Donante de Sangre</w:t>
            </w:r>
          </w:p>
          <w:p w:rsidR="00546058" w:rsidRDefault="00546058" w:rsidP="00546058">
            <w:pPr>
              <w:rPr>
                <w:b/>
              </w:rPr>
            </w:pPr>
          </w:p>
          <w:p w:rsidR="00546058" w:rsidRPr="00092EEB" w:rsidRDefault="00546058" w:rsidP="00546058">
            <w:pPr>
              <w:rPr>
                <w:b/>
              </w:rPr>
            </w:pPr>
            <w:r>
              <w:rPr>
                <w:noProof/>
              </w:rPr>
              <w:drawing>
                <wp:anchor distT="0" distB="0" distL="114300" distR="114300" simplePos="0" relativeHeight="251699200" behindDoc="0" locked="0" layoutInCell="1" allowOverlap="1" wp14:anchorId="4E52A256" wp14:editId="532AA445">
                  <wp:simplePos x="0" y="0"/>
                  <wp:positionH relativeFrom="column">
                    <wp:posOffset>2418715</wp:posOffset>
                  </wp:positionH>
                  <wp:positionV relativeFrom="paragraph">
                    <wp:posOffset>180340</wp:posOffset>
                  </wp:positionV>
                  <wp:extent cx="2855595" cy="1689100"/>
                  <wp:effectExtent l="0" t="0" r="1905" b="6350"/>
                  <wp:wrapSquare wrapText="bothSides"/>
                  <wp:docPr id="210" name="Imagen 210" descr="El Centro de Transfusión agradece su solidaridad a las personas que han  donado durante la pandemia | Comunidad de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 Centro de Transfusión agradece su solidaridad a las personas que han  donado durante la pandemia | Comunidad de Madrid"/>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0" y="0"/>
                            <a:ext cx="2855595" cy="168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2D72">
              <w:t>E</w:t>
            </w:r>
            <w:r>
              <w:t>l DMDS no pudo celebrarse el acto de agradecimiento a los donantes, pero no dejamos de agradecer todo el apoyo prestado durante los meses más duros de la pandemia. La imagen fue un corazón formado por las imágenes que los propios donantes habían ido subiendo a las redes. Difusión del balance de donaciones y los testimonios de donantes de sangre y plasma.</w:t>
            </w:r>
          </w:p>
          <w:p w:rsidR="00546058" w:rsidRPr="00887ECE" w:rsidRDefault="00F30515" w:rsidP="00546058">
            <w:pPr>
              <w:rPr>
                <w:rFonts w:ascii="Arial" w:hAnsi="Arial" w:cs="Arial"/>
                <w:color w:val="000000"/>
              </w:rPr>
            </w:pPr>
            <w:r>
              <w:rPr>
                <w:noProof/>
              </w:rPr>
              <w:drawing>
                <wp:anchor distT="0" distB="0" distL="114300" distR="114300" simplePos="0" relativeHeight="251713536" behindDoc="0" locked="0" layoutInCell="1" allowOverlap="1" wp14:anchorId="25ECBB8B" wp14:editId="05E37A1F">
                  <wp:simplePos x="0" y="0"/>
                  <wp:positionH relativeFrom="column">
                    <wp:posOffset>-44450</wp:posOffset>
                  </wp:positionH>
                  <wp:positionV relativeFrom="paragraph">
                    <wp:posOffset>757555</wp:posOffset>
                  </wp:positionV>
                  <wp:extent cx="2863850" cy="1636395"/>
                  <wp:effectExtent l="0" t="0" r="0" b="1905"/>
                  <wp:wrapSquare wrapText="bothSides"/>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screen">
                            <a:extLst>
                              <a:ext uri="{28A0092B-C50C-407E-A947-70E740481C1C}">
                                <a14:useLocalDpi xmlns:a14="http://schemas.microsoft.com/office/drawing/2010/main" val="0"/>
                              </a:ext>
                            </a:extLst>
                          </a:blip>
                          <a:srcRect l="20169" t="14394" r="21163" b="26004"/>
                          <a:stretch/>
                        </pic:blipFill>
                        <pic:spPr bwMode="auto">
                          <a:xfrm>
                            <a:off x="0" y="0"/>
                            <a:ext cx="2863850" cy="163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564A" w:rsidRPr="00B32F7F">
              <w:rPr>
                <w:rFonts w:ascii="Calibri" w:hAnsi="Calibri"/>
                <w:noProof/>
                <w:sz w:val="28"/>
                <w:szCs w:val="28"/>
              </w:rPr>
              <mc:AlternateContent>
                <mc:Choice Requires="wpg">
                  <w:drawing>
                    <wp:anchor distT="0" distB="0" distL="114300" distR="114300" simplePos="0" relativeHeight="251701248" behindDoc="0" locked="0" layoutInCell="1" allowOverlap="1" wp14:anchorId="2014D4A7" wp14:editId="5A2EBE98">
                      <wp:simplePos x="0" y="0"/>
                      <wp:positionH relativeFrom="margin">
                        <wp:posOffset>3251835</wp:posOffset>
                      </wp:positionH>
                      <wp:positionV relativeFrom="margin">
                        <wp:posOffset>5995035</wp:posOffset>
                      </wp:positionV>
                      <wp:extent cx="2045335" cy="1828800"/>
                      <wp:effectExtent l="0" t="0" r="0" b="0"/>
                      <wp:wrapSquare wrapText="bothSides"/>
                      <wp:docPr id="224" name="Grupo 224"/>
                      <wp:cNvGraphicFramePr/>
                      <a:graphic xmlns:a="http://schemas.openxmlformats.org/drawingml/2006/main">
                        <a:graphicData uri="http://schemas.microsoft.com/office/word/2010/wordprocessingGroup">
                          <wpg:wgp>
                            <wpg:cNvGrpSpPr/>
                            <wpg:grpSpPr>
                              <a:xfrm>
                                <a:off x="0" y="0"/>
                                <a:ext cx="2045335" cy="1828800"/>
                                <a:chOff x="-108981" y="1"/>
                                <a:chExt cx="2750023" cy="9218699"/>
                              </a:xfrm>
                            </wpg:grpSpPr>
                            <wps:wsp>
                              <wps:cNvPr id="232" name="Autoforma 14"/>
                              <wps:cNvSpPr>
                                <a:spLocks noChangeArrowheads="1"/>
                              </wps:cNvSpPr>
                              <wps:spPr bwMode="auto">
                                <a:xfrm>
                                  <a:off x="-108981" y="1"/>
                                  <a:ext cx="2750023" cy="8334469"/>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E37253" w:rsidRDefault="00E87599" w:rsidP="00546058">
                                    <w:r w:rsidRPr="00E37253">
                                      <w:rPr>
                                        <w:rFonts w:ascii="Arial" w:hAnsi="Arial" w:cs="Arial"/>
                                        <w:bCs/>
                                        <w:color w:val="292F33"/>
                                        <w:szCs w:val="20"/>
                                      </w:rPr>
                                      <w:t>Telemadrid (Noticias y Madrid Directo), La Sexta, TVE, Cadena Ser, Onda Cero, RNE, Diario Médico, Consalud, Infosalus y Gacetín Madrid.</w:t>
                                    </w:r>
                                  </w:p>
                                  <w:p w:rsidR="00E87599" w:rsidRDefault="00E87599" w:rsidP="00546058"/>
                                  <w:p w:rsidR="00E87599" w:rsidRPr="00EC24CE" w:rsidRDefault="00E87599" w:rsidP="00546058">
                                    <w:pPr>
                                      <w:rPr>
                                        <w:sz w:val="18"/>
                                        <w:szCs w:val="18"/>
                                      </w:rPr>
                                    </w:pPr>
                                  </w:p>
                                  <w:p w:rsidR="00E87599" w:rsidRDefault="00E87599" w:rsidP="00546058">
                                    <w:pPr>
                                      <w:rPr>
                                        <w:color w:val="44546A" w:themeColor="text2"/>
                                      </w:rPr>
                                    </w:pPr>
                                  </w:p>
                                </w:txbxContent>
                              </wps:txbx>
                              <wps:bodyPr rot="0" vert="horz" wrap="square" lIns="182880" tIns="457200" rIns="182880" bIns="73152" anchor="t" anchorCtr="0" upright="1">
                                <a:noAutofit/>
                              </wps:bodyPr>
                            </wps:wsp>
                            <wps:wsp>
                              <wps:cNvPr id="233" name="Rectángulo 233"/>
                              <wps:cNvSpPr/>
                              <wps:spPr>
                                <a:xfrm>
                                  <a:off x="-60078" y="3"/>
                                  <a:ext cx="2463717" cy="56488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34" name="Rectángulo 234"/>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14D4A7" id="Grupo 224" o:spid="_x0000_s1058" style="position:absolute;left:0;text-align:left;margin-left:256.05pt;margin-top:472.05pt;width:161.05pt;height:2in;z-index:251701248;mso-position-horizontal-relative:margin;mso-position-vertical-relative:margin" coordorigin="-1089" coordsize="27500,92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">
                      <v:rect id="Autoforma 14" o:spid="_x0000_s1059" style="position:absolute;left:-1089;width:27499;height:8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" fillcolor="white [3212]" stroked="f" strokeweight="1.25pt">
                        <v:textbox inset="14.4pt,36pt,14.4pt,5.76pt">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E37253" w:rsidRDefault="00E87599" w:rsidP="00546058">
                              <w:r w:rsidRPr="00E37253">
                                <w:rPr>
                                  <w:rFonts w:ascii="Arial" w:hAnsi="Arial" w:cs="Arial"/>
                                  <w:bCs/>
                                  <w:color w:val="292F33"/>
                                  <w:szCs w:val="20"/>
                                </w:rPr>
                                <w:t>Telemadrid (Noticias y Madrid Directo), La Sexta, TVE, Cadena Ser, Onda Cero, RNE, Diario Médico, Consalud, Infosalus y Gacetín Madrid.</w:t>
                              </w:r>
                            </w:p>
                            <w:p w:rsidR="00E87599" w:rsidRDefault="00E87599" w:rsidP="00546058"/>
                            <w:p w:rsidR="00E87599" w:rsidRPr="00EC24CE" w:rsidRDefault="00E87599" w:rsidP="00546058">
                              <w:pPr>
                                <w:rPr>
                                  <w:sz w:val="18"/>
                                  <w:szCs w:val="18"/>
                                </w:rPr>
                              </w:pPr>
                            </w:p>
                            <w:p w:rsidR="00E87599" w:rsidRDefault="00E87599" w:rsidP="00546058">
                              <w:pPr>
                                <w:rPr>
                                  <w:color w:val="44546A" w:themeColor="text2"/>
                                </w:rPr>
                              </w:pPr>
                            </w:p>
                          </w:txbxContent>
                        </v:textbox>
                      </v:rect>
                      <v:rect id="Rectángulo 233" o:spid="_x0000_s1060" style="position:absolute;left:-600;width:24636;height:564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234" o:spid="_x0000_s1061"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" fillcolor="#5b9bd5 [3204]" stroked="f" strokeweight="1pt">
                        <v:textbox inset="14.4pt,14.4pt,14.4pt,28.8pt">
                          <w:txbxContent>
                            <w:p w:rsidR="00E87599" w:rsidRDefault="00E87599" w:rsidP="00546058">
                              <w:pPr>
                                <w:spacing w:before="240"/>
                                <w:rPr>
                                  <w:color w:val="FFFFFF" w:themeColor="background1"/>
                                </w:rPr>
                              </w:pPr>
                            </w:p>
                          </w:txbxContent>
                        </v:textbox>
                      </v:rect>
                      <w10:wrap type="square" anchorx="margin" anchory="margin"/>
                    </v:group>
                  </w:pict>
                </mc:Fallback>
              </mc:AlternateContent>
            </w:r>
          </w:p>
        </w:tc>
      </w:tr>
    </w:tbl>
    <w:p w:rsidR="00546058" w:rsidRDefault="00546058" w:rsidP="00546058">
      <w:pPr>
        <w:rPr>
          <w:b/>
        </w:rPr>
      </w:pPr>
    </w:p>
    <w:p w:rsidR="00546058" w:rsidRDefault="00546058" w:rsidP="00546058">
      <w:pPr>
        <w:rPr>
          <w:b/>
        </w:rPr>
      </w:pPr>
      <w:r w:rsidRPr="00770832">
        <w:rPr>
          <w:rFonts w:ascii="Arial" w:hAnsi="Arial" w:cs="Arial"/>
          <w:noProof/>
          <w:color w:val="000000"/>
        </w:rPr>
        <w:lastRenderedPageBreak/>
        <mc:AlternateContent>
          <mc:Choice Requires="wps">
            <w:drawing>
              <wp:anchor distT="45720" distB="45720" distL="114300" distR="114300" simplePos="0" relativeHeight="251702272" behindDoc="0" locked="0" layoutInCell="1" allowOverlap="1" wp14:anchorId="02D0BAB4" wp14:editId="1C972ACA">
                <wp:simplePos x="0" y="0"/>
                <wp:positionH relativeFrom="column">
                  <wp:posOffset>3234128</wp:posOffset>
                </wp:positionH>
                <wp:positionV relativeFrom="paragraph">
                  <wp:posOffset>348284</wp:posOffset>
                </wp:positionV>
                <wp:extent cx="1972310" cy="1250950"/>
                <wp:effectExtent l="0" t="0" r="8890" b="6350"/>
                <wp:wrapSquare wrapText="bothSides"/>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310" cy="1250950"/>
                        </a:xfrm>
                        <a:prstGeom prst="rect">
                          <a:avLst/>
                        </a:prstGeom>
                        <a:solidFill>
                          <a:srgbClr val="FFFFFF"/>
                        </a:solidFill>
                        <a:ln w="9525">
                          <a:noFill/>
                          <a:miter lim="800000"/>
                          <a:headEnd/>
                          <a:tailEnd/>
                        </a:ln>
                      </wps:spPr>
                      <wps:txbx>
                        <w:txbxContent>
                          <w:p w:rsidR="00E87599" w:rsidRDefault="00E87599" w:rsidP="00546058">
                            <w:pPr>
                              <w:pStyle w:val="Ttulo3"/>
                              <w:shd w:val="clear" w:color="auto" w:fill="FFFFFF"/>
                              <w:spacing w:before="0" w:line="420" w:lineRule="atLeast"/>
                              <w:ind w:left="142" w:hanging="142"/>
                            </w:pPr>
                            <w:r>
                              <w:rPr>
                                <w:noProof/>
                                <w:color w:val="44546A" w:themeColor="text2"/>
                              </w:rPr>
                              <w:drawing>
                                <wp:inline distT="0" distB="0" distL="0" distR="0" wp14:anchorId="5257F79C" wp14:editId="13C2FCB5">
                                  <wp:extent cx="351692" cy="282399"/>
                                  <wp:effectExtent l="0" t="0" r="0" b="381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546058">
                            <w:pPr>
                              <w:pStyle w:val="Ttulo3"/>
                              <w:shd w:val="clear" w:color="auto" w:fill="FFFFFF"/>
                              <w:spacing w:before="0" w:line="420" w:lineRule="atLeast"/>
                              <w:rPr>
                                <w:rFonts w:ascii="Arial" w:hAnsi="Arial" w:cs="Arial"/>
                                <w:b/>
                                <w:bCs/>
                                <w:color w:val="292F33"/>
                                <w:sz w:val="32"/>
                                <w:szCs w:val="32"/>
                              </w:rPr>
                            </w:pPr>
                            <w:r>
                              <w:rPr>
                                <w:rStyle w:val="Textoennegrita"/>
                                <w:rFonts w:ascii="Arial" w:hAnsi="Arial" w:cs="Arial"/>
                                <w:b w:val="0"/>
                                <w:bCs w:val="0"/>
                                <w:color w:val="292F33"/>
                                <w:sz w:val="32"/>
                                <w:szCs w:val="32"/>
                              </w:rPr>
                              <w:t>65.6K</w:t>
                            </w:r>
                          </w:p>
                          <w:p w:rsidR="00E87599" w:rsidRPr="0060555A" w:rsidRDefault="00E87599" w:rsidP="00546058">
                            <w:pPr>
                              <w:pStyle w:val="Ttulo3"/>
                              <w:shd w:val="clear" w:color="auto" w:fill="FFFFFF"/>
                              <w:spacing w:before="0" w:line="420" w:lineRule="atLeast"/>
                              <w:ind w:left="142" w:hanging="142"/>
                              <w:rPr>
                                <w:rFonts w:ascii="Arial" w:hAnsi="Arial" w:cs="Arial"/>
                                <w:bCs/>
                                <w:color w:val="292F33"/>
                                <w:szCs w:val="22"/>
                              </w:rPr>
                            </w:pPr>
                            <w:r w:rsidRPr="0060555A">
                              <w:rPr>
                                <w:rFonts w:ascii="Arial" w:hAnsi="Arial" w:cs="Arial"/>
                                <w:color w:val="292F33"/>
                                <w:szCs w:val="22"/>
                              </w:rPr>
                              <w:t>Impresiones e</w:t>
                            </w:r>
                            <w:r w:rsidRPr="0060555A">
                              <w:rPr>
                                <w:rFonts w:ascii="Calibri" w:hAnsi="Calibri" w:cs="Calibri"/>
                                <w:szCs w:val="22"/>
                              </w:rPr>
                              <w:t>n 2 días</w:t>
                            </w:r>
                          </w:p>
                          <w:p w:rsidR="00E87599" w:rsidRPr="001E6862" w:rsidRDefault="00E87599" w:rsidP="00546058">
                            <w:pPr>
                              <w:ind w:left="142" w:hanging="142"/>
                              <w:rPr>
                                <w:rFonts w:ascii="Calibri" w:hAnsi="Calibri"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0BAB4" id="_x0000_s1062" type="#_x0000_t202" style="position:absolute;left:0;text-align:left;margin-left:254.65pt;margin-top:27.4pt;width:155.3pt;height:98.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" stroked="f">
                <v:textbox>
                  <w:txbxContent>
                    <w:p w:rsidR="00E87599" w:rsidRDefault="00E87599" w:rsidP="00546058">
                      <w:pPr>
                        <w:pStyle w:val="Ttulo3"/>
                        <w:shd w:val="clear" w:color="auto" w:fill="FFFFFF"/>
                        <w:spacing w:before="0" w:line="420" w:lineRule="atLeast"/>
                        <w:ind w:left="142" w:hanging="142"/>
                      </w:pPr>
                      <w:r>
                        <w:rPr>
                          <w:noProof/>
                          <w:color w:val="44546A" w:themeColor="text2"/>
                        </w:rPr>
                        <w:drawing>
                          <wp:inline distT="0" distB="0" distL="0" distR="0" wp14:anchorId="5257F79C" wp14:editId="13C2FCB5">
                            <wp:extent cx="351692" cy="282399"/>
                            <wp:effectExtent l="0" t="0" r="0" b="381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546058">
                      <w:pPr>
                        <w:pStyle w:val="Ttulo3"/>
                        <w:shd w:val="clear" w:color="auto" w:fill="FFFFFF"/>
                        <w:spacing w:before="0" w:line="420" w:lineRule="atLeast"/>
                        <w:rPr>
                          <w:rFonts w:ascii="Arial" w:hAnsi="Arial" w:cs="Arial"/>
                          <w:b/>
                          <w:bCs/>
                          <w:color w:val="292F33"/>
                          <w:sz w:val="32"/>
                          <w:szCs w:val="32"/>
                        </w:rPr>
                      </w:pPr>
                      <w:r>
                        <w:rPr>
                          <w:rStyle w:val="Textoennegrita"/>
                          <w:rFonts w:ascii="Arial" w:hAnsi="Arial" w:cs="Arial"/>
                          <w:b w:val="0"/>
                          <w:bCs w:val="0"/>
                          <w:color w:val="292F33"/>
                          <w:sz w:val="32"/>
                          <w:szCs w:val="32"/>
                        </w:rPr>
                        <w:t>65.6K</w:t>
                      </w:r>
                    </w:p>
                    <w:p w:rsidR="00E87599" w:rsidRPr="0060555A" w:rsidRDefault="00E87599" w:rsidP="00546058">
                      <w:pPr>
                        <w:pStyle w:val="Ttulo3"/>
                        <w:shd w:val="clear" w:color="auto" w:fill="FFFFFF"/>
                        <w:spacing w:before="0" w:line="420" w:lineRule="atLeast"/>
                        <w:ind w:left="142" w:hanging="142"/>
                        <w:rPr>
                          <w:rFonts w:ascii="Arial" w:hAnsi="Arial" w:cs="Arial"/>
                          <w:bCs/>
                          <w:color w:val="292F33"/>
                          <w:szCs w:val="22"/>
                        </w:rPr>
                      </w:pPr>
                      <w:r w:rsidRPr="0060555A">
                        <w:rPr>
                          <w:rFonts w:ascii="Arial" w:hAnsi="Arial" w:cs="Arial"/>
                          <w:color w:val="292F33"/>
                          <w:szCs w:val="22"/>
                        </w:rPr>
                        <w:t>Impresiones e</w:t>
                      </w:r>
                      <w:r w:rsidRPr="0060555A">
                        <w:rPr>
                          <w:rFonts w:ascii="Calibri" w:hAnsi="Calibri" w:cs="Calibri"/>
                          <w:szCs w:val="22"/>
                        </w:rPr>
                        <w:t>n 2 días</w:t>
                      </w:r>
                    </w:p>
                    <w:p w:rsidR="00E87599" w:rsidRPr="001E6862" w:rsidRDefault="00E87599" w:rsidP="00546058">
                      <w:pPr>
                        <w:ind w:left="142" w:hanging="142"/>
                        <w:rPr>
                          <w:rFonts w:ascii="Calibri" w:hAnsi="Calibri" w:cs="Calibri"/>
                          <w:b/>
                        </w:rPr>
                      </w:pPr>
                    </w:p>
                  </w:txbxContent>
                </v:textbox>
                <w10:wrap type="square"/>
              </v:shape>
            </w:pict>
          </mc:Fallback>
        </mc:AlternateContent>
      </w:r>
      <w:r>
        <w:rPr>
          <w:noProof/>
        </w:rPr>
        <w:drawing>
          <wp:inline distT="0" distB="0" distL="0" distR="0" wp14:anchorId="6E513EFB" wp14:editId="3DEA0B7C">
            <wp:extent cx="2114550" cy="1402080"/>
            <wp:effectExtent l="0" t="0" r="0" b="762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5754" t="9761" r="37224" b="18523"/>
                    <a:stretch/>
                  </pic:blipFill>
                  <pic:spPr bwMode="auto">
                    <a:xfrm>
                      <a:off x="0" y="0"/>
                      <a:ext cx="2120577" cy="1406076"/>
                    </a:xfrm>
                    <a:prstGeom prst="rect">
                      <a:avLst/>
                    </a:prstGeom>
                    <a:ln>
                      <a:noFill/>
                    </a:ln>
                    <a:extLst>
                      <a:ext uri="{53640926-AAD7-44D8-BBD7-CCE9431645EC}">
                        <a14:shadowObscured xmlns:a14="http://schemas.microsoft.com/office/drawing/2010/main"/>
                      </a:ext>
                    </a:extLst>
                  </pic:spPr>
                </pic:pic>
              </a:graphicData>
            </a:graphic>
          </wp:inline>
        </w:drawing>
      </w:r>
    </w:p>
    <w:p w:rsidR="00546058" w:rsidRDefault="00546058" w:rsidP="00546058">
      <w:pPr>
        <w:rPr>
          <w:b/>
        </w:rPr>
      </w:pPr>
    </w:p>
    <w:p w:rsidR="00546058" w:rsidRDefault="00546058" w:rsidP="00546058"/>
    <w:p w:rsidR="00546058" w:rsidRDefault="00546058" w:rsidP="00546058">
      <w:pPr>
        <w:rPr>
          <w:b/>
          <w:sz w:val="28"/>
          <w:szCs w:val="28"/>
        </w:rPr>
      </w:pPr>
    </w:p>
    <w:p w:rsidR="00546058" w:rsidRPr="001C1FFC" w:rsidRDefault="00546058" w:rsidP="00546058">
      <w:pPr>
        <w:rPr>
          <w:b/>
          <w:sz w:val="24"/>
          <w:szCs w:val="24"/>
        </w:rPr>
      </w:pPr>
      <w:r w:rsidRPr="001C1FFC">
        <w:rPr>
          <w:b/>
          <w:sz w:val="24"/>
          <w:szCs w:val="24"/>
        </w:rPr>
        <w:t>Campaña de verano “Lo primero es lo primero”, vídeo testimonios y visita del consejero de Sanidad</w:t>
      </w:r>
    </w:p>
    <w:p w:rsidR="00546058" w:rsidRDefault="00546058" w:rsidP="00546058">
      <w:pPr>
        <w:rPr>
          <w:b/>
          <w:sz w:val="28"/>
          <w:szCs w:val="28"/>
        </w:rPr>
      </w:pPr>
    </w:p>
    <w:p w:rsidR="00546058" w:rsidRDefault="00546058" w:rsidP="00546058">
      <w:r>
        <w:t>Si las tres primeras semanas de junio fueron un respiro con una media de casi 900 donaciones al día, las dos últimas por poco superaron las 600. Llegaban las vacaciones y tras meses de confinamiento y restricciones, la población hizo planes y las donaciones cayeron. Con la Campaña de verano había que recordar que “lo primero” seguía siendo “lo primero”. No fue suficiente. A mediados de julio fue necesario otro llamamiento difundido con un vídeo de testimonios de tres pacientes del Hospital Gregorio Marañón, del Niño Jesús y del Hospital de Fuenlabrada. Y el 27 de julio, el consejero de Sanidad visita el Centro para pedir a los madrileños que donen: #Objetivo5000.</w:t>
      </w:r>
    </w:p>
    <w:p w:rsidR="00546058" w:rsidRDefault="0099564A" w:rsidP="00546058">
      <w:r>
        <w:rPr>
          <w:noProof/>
        </w:rPr>
        <w:drawing>
          <wp:inline distT="0" distB="0" distL="0" distR="0" wp14:anchorId="4D3E83F0" wp14:editId="725878CF">
            <wp:extent cx="2260600" cy="1741170"/>
            <wp:effectExtent l="0" t="0" r="635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screen">
                      <a:extLst>
                        <a:ext uri="{28A0092B-C50C-407E-A947-70E740481C1C}">
                          <a14:useLocalDpi xmlns:a14="http://schemas.microsoft.com/office/drawing/2010/main" val="0"/>
                        </a:ext>
                      </a:extLst>
                    </a:blip>
                    <a:srcRect l="22318" t="16338" r="25169" b="11733"/>
                    <a:stretch/>
                  </pic:blipFill>
                  <pic:spPr bwMode="auto">
                    <a:xfrm>
                      <a:off x="0" y="0"/>
                      <a:ext cx="2260600" cy="17411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1EC1647" wp14:editId="491F63BB">
            <wp:extent cx="2592070" cy="1460500"/>
            <wp:effectExtent l="0" t="0" r="0" b="635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val="0"/>
                        </a:ext>
                      </a:extLst>
                    </a:blip>
                    <a:srcRect l="9667" t="10397" r="11326" b="10460"/>
                    <a:stretch/>
                  </pic:blipFill>
                  <pic:spPr bwMode="auto">
                    <a:xfrm>
                      <a:off x="0" y="0"/>
                      <a:ext cx="2592070" cy="1460500"/>
                    </a:xfrm>
                    <a:prstGeom prst="rect">
                      <a:avLst/>
                    </a:prstGeom>
                    <a:ln>
                      <a:noFill/>
                    </a:ln>
                    <a:extLst>
                      <a:ext uri="{53640926-AAD7-44D8-BBD7-CCE9431645EC}">
                        <a14:shadowObscured xmlns:a14="http://schemas.microsoft.com/office/drawing/2010/main"/>
                      </a:ext>
                    </a:extLst>
                  </pic:spPr>
                </pic:pic>
              </a:graphicData>
            </a:graphic>
          </wp:inline>
        </w:drawing>
      </w:r>
      <w:r w:rsidRPr="00770832">
        <w:rPr>
          <w:rFonts w:ascii="Arial" w:hAnsi="Arial" w:cs="Arial"/>
          <w:noProof/>
          <w:color w:val="000000"/>
        </w:rPr>
        <mc:AlternateContent>
          <mc:Choice Requires="wps">
            <w:drawing>
              <wp:inline distT="0" distB="0" distL="0" distR="0" wp14:anchorId="17BDA8E7" wp14:editId="620553D9">
                <wp:extent cx="5106389" cy="997527"/>
                <wp:effectExtent l="0" t="0" r="0" b="0"/>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389" cy="997527"/>
                        </a:xfrm>
                        <a:prstGeom prst="rect">
                          <a:avLst/>
                        </a:prstGeom>
                        <a:solidFill>
                          <a:srgbClr val="FFFFFF"/>
                        </a:solidFill>
                        <a:ln w="9525">
                          <a:noFill/>
                          <a:miter lim="800000"/>
                          <a:headEnd/>
                          <a:tailEnd/>
                        </a:ln>
                      </wps:spPr>
                      <wps:txbx>
                        <w:txbxContent>
                          <w:p w:rsidR="00E87599" w:rsidRPr="00B70BC9" w:rsidRDefault="00E87599" w:rsidP="0099564A">
                            <w:pPr>
                              <w:rPr>
                                <w:rFonts w:ascii="Calibri" w:hAnsi="Calibri"/>
                                <w:sz w:val="18"/>
                                <w:szCs w:val="18"/>
                              </w:rPr>
                            </w:pPr>
                            <w:r w:rsidRPr="00B70BC9">
                              <w:rPr>
                                <w:rFonts w:ascii="Calibri" w:hAnsi="Calibri"/>
                                <w:b/>
                                <w:sz w:val="18"/>
                                <w:szCs w:val="18"/>
                              </w:rPr>
                              <w:t>IMPACTO</w:t>
                            </w:r>
                            <w:r w:rsidRPr="00B70BC9">
                              <w:rPr>
                                <w:rFonts w:ascii="Calibri" w:hAnsi="Calibri"/>
                                <w:sz w:val="18"/>
                                <w:szCs w:val="18"/>
                              </w:rPr>
                              <w:t>S</w:t>
                            </w:r>
                          </w:p>
                          <w:p w:rsidR="00E87599" w:rsidRDefault="00E87599" w:rsidP="0099564A">
                            <w:pPr>
                              <w:rPr>
                                <w:rFonts w:ascii="Calibri" w:hAnsi="Calibri"/>
                                <w:sz w:val="18"/>
                                <w:szCs w:val="18"/>
                              </w:rPr>
                            </w:pPr>
                            <w:r>
                              <w:rPr>
                                <w:rFonts w:ascii="Calibri" w:hAnsi="Calibri"/>
                                <w:sz w:val="18"/>
                                <w:szCs w:val="18"/>
                              </w:rPr>
                              <w:t>Onda Madrid, La Sexta, Onda Cero, La Vanguardia, Madrid Actual, El Confidencial Digital, Onda Cero, ABC, Esradio, Onda Cero, TVE, Telemadrid, RNE1, RNE 5 (reportaje en directo) ABC, SUR y medios locales como Al Cabo de la calle, Canal Norte Tv y con entrevistas en directo en Ser Henares, Ser Madrid Oeste y Onda Cero Coslada.</w:t>
                            </w:r>
                          </w:p>
                          <w:p w:rsidR="00E87599" w:rsidRDefault="00E87599" w:rsidP="0099564A">
                            <w:r>
                              <w:rPr>
                                <w:rFonts w:ascii="Calibri" w:hAnsi="Calibri"/>
                                <w:sz w:val="18"/>
                                <w:szCs w:val="18"/>
                              </w:rPr>
                              <w:t>#Objetivo5000: La Razón, RNE, Cope, Cadena Ser, Esradio, RNE, Onda Cero.</w:t>
                            </w:r>
                          </w:p>
                          <w:tbl>
                            <w:tblPr>
                              <w:tblW w:w="3840" w:type="dxa"/>
                              <w:tblCellMar>
                                <w:left w:w="70" w:type="dxa"/>
                                <w:right w:w="70" w:type="dxa"/>
                              </w:tblCellMar>
                              <w:tblLook w:val="04A0" w:firstRow="1" w:lastRow="0" w:firstColumn="1" w:lastColumn="0" w:noHBand="0" w:noVBand="1"/>
                            </w:tblPr>
                            <w:tblGrid>
                              <w:gridCol w:w="3840"/>
                            </w:tblGrid>
                            <w:tr w:rsidR="00E87599" w:rsidRPr="001B7023" w:rsidTr="00546058">
                              <w:trPr>
                                <w:trHeight w:val="28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LA RAZÓN</w:t>
                                  </w:r>
                                </w:p>
                              </w:tc>
                            </w:tr>
                            <w:tr w:rsidR="00E87599" w:rsidRPr="001B7023" w:rsidTr="00546058">
                              <w:trPr>
                                <w:trHeight w:val="310"/>
                              </w:trPr>
                              <w:tc>
                                <w:tcPr>
                                  <w:tcW w:w="3840" w:type="dxa"/>
                                  <w:tcBorders>
                                    <w:top w:val="nil"/>
                                    <w:left w:val="nil"/>
                                    <w:bottom w:val="nil"/>
                                    <w:right w:val="nil"/>
                                  </w:tcBorders>
                                  <w:shd w:val="clear" w:color="auto" w:fill="auto"/>
                                  <w:noWrap/>
                                  <w:vAlign w:val="center"/>
                                  <w:hideMark/>
                                </w:tcPr>
                                <w:p w:rsidR="00E87599" w:rsidRPr="001B7023" w:rsidRDefault="00E87599" w:rsidP="00546058">
                                  <w:pPr>
                                    <w:rPr>
                                      <w:rFonts w:ascii="Arial" w:hAnsi="Arial" w:cs="Arial"/>
                                      <w:color w:val="000000"/>
                                    </w:rPr>
                                  </w:pPr>
                                  <w:r w:rsidRPr="001B7023">
                                    <w:rPr>
                                      <w:rFonts w:ascii="Arial" w:hAnsi="Arial" w:cs="Arial"/>
                                      <w:color w:val="000000"/>
                                    </w:rPr>
                                    <w:t>RNE-1</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Cadena Cope</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EsRadio</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RNE-1</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28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LA RAZÓN</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Onda Cero</w:t>
                                  </w:r>
                                </w:p>
                              </w:tc>
                            </w:tr>
                            <w:tr w:rsidR="00E87599" w:rsidRPr="001B7023" w:rsidTr="00546058">
                              <w:trPr>
                                <w:trHeight w:val="310"/>
                              </w:trPr>
                              <w:tc>
                                <w:tcPr>
                                  <w:tcW w:w="3840" w:type="dxa"/>
                                  <w:tcBorders>
                                    <w:top w:val="nil"/>
                                    <w:left w:val="nil"/>
                                    <w:bottom w:val="nil"/>
                                    <w:right w:val="nil"/>
                                  </w:tcBorders>
                                  <w:shd w:val="clear" w:color="auto" w:fill="auto"/>
                                  <w:noWrap/>
                                  <w:vAlign w:val="center"/>
                                  <w:hideMark/>
                                </w:tcPr>
                                <w:p w:rsidR="00E87599" w:rsidRPr="001B7023" w:rsidRDefault="00E87599" w:rsidP="00546058">
                                  <w:pPr>
                                    <w:rPr>
                                      <w:rFonts w:ascii="Arial" w:hAnsi="Arial" w:cs="Arial"/>
                                      <w:color w:val="000000"/>
                                    </w:rPr>
                                  </w:pPr>
                                  <w:r w:rsidRPr="001B7023">
                                    <w:rPr>
                                      <w:rFonts w:ascii="Arial" w:hAnsi="Arial" w:cs="Arial"/>
                                      <w:color w:val="000000"/>
                                    </w:rPr>
                                    <w:t>Cadena Cope</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Onda Cero</w:t>
                                  </w:r>
                                </w:p>
                              </w:tc>
                            </w:tr>
                            <w:tr w:rsidR="00E87599" w:rsidRPr="001B7023" w:rsidTr="00546058">
                              <w:trPr>
                                <w:trHeight w:val="28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DGT</w:t>
                                  </w:r>
                                </w:p>
                              </w:tc>
                            </w:tr>
                          </w:tbl>
                          <w:p w:rsidR="00E87599" w:rsidRDefault="00E87599" w:rsidP="0099564A"/>
                        </w:txbxContent>
                      </wps:txbx>
                      <wps:bodyPr rot="0" vert="horz" wrap="square" lIns="91440" tIns="45720" rIns="91440" bIns="45720" anchor="t" anchorCtr="0">
                        <a:noAutofit/>
                      </wps:bodyPr>
                    </wps:wsp>
                  </a:graphicData>
                </a:graphic>
              </wp:inline>
            </w:drawing>
          </mc:Choice>
          <mc:Fallback>
            <w:pict>
              <v:shape w14:anchorId="17BDA8E7" id="_x0000_s1063" type="#_x0000_t202" style="width:402.1pt;height:7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" stroked="f">
                <v:textbox>
                  <w:txbxContent>
                    <w:p w:rsidR="00E87599" w:rsidRPr="00B70BC9" w:rsidRDefault="00E87599" w:rsidP="0099564A">
                      <w:pPr>
                        <w:rPr>
                          <w:rFonts w:ascii="Calibri" w:hAnsi="Calibri"/>
                          <w:sz w:val="18"/>
                          <w:szCs w:val="18"/>
                        </w:rPr>
                      </w:pPr>
                      <w:r w:rsidRPr="00B70BC9">
                        <w:rPr>
                          <w:rFonts w:ascii="Calibri" w:hAnsi="Calibri"/>
                          <w:b/>
                          <w:sz w:val="18"/>
                          <w:szCs w:val="18"/>
                        </w:rPr>
                        <w:t>IMPACTO</w:t>
                      </w:r>
                      <w:r w:rsidRPr="00B70BC9">
                        <w:rPr>
                          <w:rFonts w:ascii="Calibri" w:hAnsi="Calibri"/>
                          <w:sz w:val="18"/>
                          <w:szCs w:val="18"/>
                        </w:rPr>
                        <w:t>S</w:t>
                      </w:r>
                    </w:p>
                    <w:p w:rsidR="00E87599" w:rsidRDefault="00E87599" w:rsidP="0099564A">
                      <w:pPr>
                        <w:rPr>
                          <w:rFonts w:ascii="Calibri" w:hAnsi="Calibri"/>
                          <w:sz w:val="18"/>
                          <w:szCs w:val="18"/>
                        </w:rPr>
                      </w:pPr>
                      <w:r>
                        <w:rPr>
                          <w:rFonts w:ascii="Calibri" w:hAnsi="Calibri"/>
                          <w:sz w:val="18"/>
                          <w:szCs w:val="18"/>
                        </w:rPr>
                        <w:t>Onda Madrid, La Sexta, Onda Cero, La Vanguardia, Madrid Actual, El Confidencial Digital, Onda Cero, ABC, Esradio, Onda Cero, TVE, Telemadrid, RNE1, RNE 5 (reportaje en directo) ABC, SUR y medios locales como Al Cabo de la calle, Canal Norte Tv y con entrevistas en directo en Ser Henares, Ser Madrid Oeste y Onda Cero Coslada.</w:t>
                      </w:r>
                    </w:p>
                    <w:p w:rsidR="00E87599" w:rsidRDefault="00E87599" w:rsidP="0099564A">
                      <w:r>
                        <w:rPr>
                          <w:rFonts w:ascii="Calibri" w:hAnsi="Calibri"/>
                          <w:sz w:val="18"/>
                          <w:szCs w:val="18"/>
                        </w:rPr>
                        <w:t>#Objetivo5000: La Razón, RNE, Cope, Cadena Ser, Esradio, RNE, Onda Cero.</w:t>
                      </w:r>
                    </w:p>
                    <w:tbl>
                      <w:tblPr>
                        <w:tblW w:w="3840" w:type="dxa"/>
                        <w:tblCellMar>
                          <w:left w:w="70" w:type="dxa"/>
                          <w:right w:w="70" w:type="dxa"/>
                        </w:tblCellMar>
                        <w:tblLook w:val="04A0" w:firstRow="1" w:lastRow="0" w:firstColumn="1" w:lastColumn="0" w:noHBand="0" w:noVBand="1"/>
                      </w:tblPr>
                      <w:tblGrid>
                        <w:gridCol w:w="3840"/>
                      </w:tblGrid>
                      <w:tr w:rsidR="00E87599" w:rsidRPr="001B7023" w:rsidTr="00546058">
                        <w:trPr>
                          <w:trHeight w:val="28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LA RAZÓN</w:t>
                            </w:r>
                          </w:p>
                        </w:tc>
                      </w:tr>
                      <w:tr w:rsidR="00E87599" w:rsidRPr="001B7023" w:rsidTr="00546058">
                        <w:trPr>
                          <w:trHeight w:val="310"/>
                        </w:trPr>
                        <w:tc>
                          <w:tcPr>
                            <w:tcW w:w="3840" w:type="dxa"/>
                            <w:tcBorders>
                              <w:top w:val="nil"/>
                              <w:left w:val="nil"/>
                              <w:bottom w:val="nil"/>
                              <w:right w:val="nil"/>
                            </w:tcBorders>
                            <w:shd w:val="clear" w:color="auto" w:fill="auto"/>
                            <w:noWrap/>
                            <w:vAlign w:val="center"/>
                            <w:hideMark/>
                          </w:tcPr>
                          <w:p w:rsidR="00E87599" w:rsidRPr="001B7023" w:rsidRDefault="00E87599" w:rsidP="00546058">
                            <w:pPr>
                              <w:rPr>
                                <w:rFonts w:ascii="Arial" w:hAnsi="Arial" w:cs="Arial"/>
                                <w:color w:val="000000"/>
                              </w:rPr>
                            </w:pPr>
                            <w:r w:rsidRPr="001B7023">
                              <w:rPr>
                                <w:rFonts w:ascii="Arial" w:hAnsi="Arial" w:cs="Arial"/>
                                <w:color w:val="000000"/>
                              </w:rPr>
                              <w:t>RNE-1</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Cadena Cope</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EsRadio</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RNE-1</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28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LA RAZÓN</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Onda Cero</w:t>
                            </w:r>
                          </w:p>
                        </w:tc>
                      </w:tr>
                      <w:tr w:rsidR="00E87599" w:rsidRPr="001B7023" w:rsidTr="00546058">
                        <w:trPr>
                          <w:trHeight w:val="310"/>
                        </w:trPr>
                        <w:tc>
                          <w:tcPr>
                            <w:tcW w:w="3840" w:type="dxa"/>
                            <w:tcBorders>
                              <w:top w:val="nil"/>
                              <w:left w:val="nil"/>
                              <w:bottom w:val="nil"/>
                              <w:right w:val="nil"/>
                            </w:tcBorders>
                            <w:shd w:val="clear" w:color="auto" w:fill="auto"/>
                            <w:noWrap/>
                            <w:vAlign w:val="center"/>
                            <w:hideMark/>
                          </w:tcPr>
                          <w:p w:rsidR="00E87599" w:rsidRPr="001B7023" w:rsidRDefault="00E87599" w:rsidP="00546058">
                            <w:pPr>
                              <w:rPr>
                                <w:rFonts w:ascii="Arial" w:hAnsi="Arial" w:cs="Arial"/>
                                <w:color w:val="000000"/>
                              </w:rPr>
                            </w:pPr>
                            <w:r w:rsidRPr="001B7023">
                              <w:rPr>
                                <w:rFonts w:ascii="Arial" w:hAnsi="Arial" w:cs="Arial"/>
                                <w:color w:val="000000"/>
                              </w:rPr>
                              <w:t>Cadena Cope</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333333"/>
                              </w:rPr>
                            </w:pPr>
                            <w:r w:rsidRPr="001B7023">
                              <w:rPr>
                                <w:rFonts w:ascii="Arial" w:hAnsi="Arial" w:cs="Arial"/>
                                <w:color w:val="333333"/>
                              </w:rPr>
                              <w:t>Cadena Ser</w:t>
                            </w:r>
                          </w:p>
                        </w:tc>
                      </w:tr>
                      <w:tr w:rsidR="00E87599" w:rsidRPr="001B7023" w:rsidTr="00546058">
                        <w:trPr>
                          <w:trHeight w:val="31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Onda Cero</w:t>
                            </w:r>
                          </w:p>
                        </w:tc>
                      </w:tr>
                      <w:tr w:rsidR="00E87599" w:rsidRPr="001B7023" w:rsidTr="00546058">
                        <w:trPr>
                          <w:trHeight w:val="280"/>
                        </w:trPr>
                        <w:tc>
                          <w:tcPr>
                            <w:tcW w:w="3840" w:type="dxa"/>
                            <w:tcBorders>
                              <w:top w:val="nil"/>
                              <w:left w:val="nil"/>
                              <w:bottom w:val="nil"/>
                              <w:right w:val="nil"/>
                            </w:tcBorders>
                            <w:shd w:val="clear" w:color="auto" w:fill="auto"/>
                            <w:noWrap/>
                            <w:vAlign w:val="bottom"/>
                            <w:hideMark/>
                          </w:tcPr>
                          <w:p w:rsidR="00E87599" w:rsidRPr="001B7023" w:rsidRDefault="00E87599" w:rsidP="00546058">
                            <w:pPr>
                              <w:rPr>
                                <w:rFonts w:ascii="Arial" w:hAnsi="Arial" w:cs="Arial"/>
                                <w:color w:val="000000"/>
                              </w:rPr>
                            </w:pPr>
                            <w:r w:rsidRPr="001B7023">
                              <w:rPr>
                                <w:rFonts w:ascii="Arial" w:hAnsi="Arial" w:cs="Arial"/>
                                <w:color w:val="000000"/>
                              </w:rPr>
                              <w:t>DGT</w:t>
                            </w:r>
                          </w:p>
                        </w:tc>
                      </w:tr>
                    </w:tbl>
                    <w:p w:rsidR="00E87599" w:rsidRDefault="00E87599" w:rsidP="0099564A"/>
                  </w:txbxContent>
                </v:textbox>
                <w10:anchorlock/>
              </v:shape>
            </w:pict>
          </mc:Fallback>
        </mc:AlternateContent>
      </w:r>
    </w:p>
    <w:p w:rsidR="00546058" w:rsidRDefault="0099564A" w:rsidP="00546058">
      <w:pPr>
        <w:rPr>
          <w:noProof/>
        </w:rPr>
      </w:pPr>
      <w:r>
        <w:rPr>
          <w:noProof/>
        </w:rPr>
        <w:lastRenderedPageBreak/>
        <w:drawing>
          <wp:inline distT="0" distB="0" distL="0" distR="0">
            <wp:extent cx="1733550" cy="221615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screen">
                      <a:extLst>
                        <a:ext uri="{28A0092B-C50C-407E-A947-70E740481C1C}">
                          <a14:useLocalDpi xmlns:a14="http://schemas.microsoft.com/office/drawing/2010/main" val="0"/>
                        </a:ext>
                      </a:extLst>
                    </a:blip>
                    <a:srcRect l="29717" t="9123" r="37701" b="16826"/>
                    <a:stretch/>
                  </pic:blipFill>
                  <pic:spPr bwMode="auto">
                    <a:xfrm>
                      <a:off x="0" y="0"/>
                      <a:ext cx="1733550" cy="2216150"/>
                    </a:xfrm>
                    <a:prstGeom prst="rect">
                      <a:avLst/>
                    </a:prstGeom>
                    <a:ln>
                      <a:noFill/>
                    </a:ln>
                    <a:extLst>
                      <a:ext uri="{53640926-AAD7-44D8-BBD7-CCE9431645EC}">
                        <a14:shadowObscured xmlns:a14="http://schemas.microsoft.com/office/drawing/2010/main"/>
                      </a:ext>
                    </a:extLst>
                  </pic:spPr>
                </pic:pic>
              </a:graphicData>
            </a:graphic>
          </wp:inline>
        </w:drawing>
      </w:r>
      <w:r w:rsidR="00546058">
        <w:rPr>
          <w:noProof/>
        </w:rPr>
        <w:drawing>
          <wp:inline distT="0" distB="0" distL="0" distR="0">
            <wp:extent cx="3003550" cy="1885950"/>
            <wp:effectExtent l="0" t="0" r="635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val="0"/>
                        </a:ext>
                      </a:extLst>
                    </a:blip>
                    <a:srcRect l="15634" t="8912" r="16697" b="15553"/>
                    <a:stretch/>
                  </pic:blipFill>
                  <pic:spPr bwMode="auto">
                    <a:xfrm>
                      <a:off x="0" y="0"/>
                      <a:ext cx="3003550" cy="1885950"/>
                    </a:xfrm>
                    <a:prstGeom prst="rect">
                      <a:avLst/>
                    </a:prstGeom>
                    <a:ln>
                      <a:noFill/>
                    </a:ln>
                    <a:extLst>
                      <a:ext uri="{53640926-AAD7-44D8-BBD7-CCE9431645EC}">
                        <a14:shadowObscured xmlns:a14="http://schemas.microsoft.com/office/drawing/2010/main"/>
                      </a:ext>
                    </a:extLst>
                  </pic:spPr>
                </pic:pic>
              </a:graphicData>
            </a:graphic>
          </wp:inline>
        </w:drawing>
      </w:r>
    </w:p>
    <w:p w:rsidR="00546058" w:rsidRDefault="0099564A" w:rsidP="00546058">
      <w:pPr>
        <w:rPr>
          <w:noProof/>
        </w:rPr>
      </w:pPr>
      <w:r w:rsidRPr="00770832">
        <w:rPr>
          <w:rFonts w:ascii="Arial" w:hAnsi="Arial" w:cs="Arial"/>
          <w:noProof/>
          <w:color w:val="000000"/>
        </w:rPr>
        <mc:AlternateContent>
          <mc:Choice Requires="wps">
            <w:drawing>
              <wp:anchor distT="45720" distB="45720" distL="114300" distR="114300" simplePos="0" relativeHeight="251705344" behindDoc="0" locked="0" layoutInCell="1" allowOverlap="1" wp14:anchorId="057A0574" wp14:editId="352FF4DB">
                <wp:simplePos x="0" y="0"/>
                <wp:positionH relativeFrom="page">
                  <wp:align>center</wp:align>
                </wp:positionH>
                <wp:positionV relativeFrom="paragraph">
                  <wp:posOffset>239477</wp:posOffset>
                </wp:positionV>
                <wp:extent cx="5289550" cy="1092200"/>
                <wp:effectExtent l="0" t="0" r="6350" b="0"/>
                <wp:wrapSquare wrapText="bothSides"/>
                <wp:docPr id="2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0" cy="1092200"/>
                        </a:xfrm>
                        <a:prstGeom prst="rect">
                          <a:avLst/>
                        </a:prstGeom>
                        <a:solidFill>
                          <a:srgbClr val="FFFFFF"/>
                        </a:solidFill>
                        <a:ln w="9525">
                          <a:noFill/>
                          <a:miter lim="800000"/>
                          <a:headEnd/>
                          <a:tailEnd/>
                        </a:ln>
                      </wps:spPr>
                      <wps:txbx>
                        <w:txbxContent>
                          <w:p w:rsidR="00E87599" w:rsidRDefault="00E87599" w:rsidP="0099564A">
                            <w:r>
                              <w:rPr>
                                <w:noProof/>
                                <w:color w:val="44546A" w:themeColor="text2"/>
                              </w:rPr>
                              <w:drawing>
                                <wp:inline distT="0" distB="0" distL="0" distR="0" wp14:anchorId="0DA9D645" wp14:editId="478DBBA8">
                                  <wp:extent cx="351692" cy="282399"/>
                                  <wp:effectExtent l="0" t="0" r="0" b="381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99564A">
                            <w:pPr>
                              <w:rPr>
                                <w:b/>
                              </w:rPr>
                            </w:pPr>
                            <w:r>
                              <w:rPr>
                                <w:rStyle w:val="Textoennegrita"/>
                                <w:rFonts w:ascii="Arial" w:hAnsi="Arial" w:cs="Arial"/>
                                <w:b w:val="0"/>
                                <w:bCs w:val="0"/>
                                <w:color w:val="292F33"/>
                                <w:sz w:val="32"/>
                                <w:szCs w:val="32"/>
                              </w:rPr>
                              <w:t xml:space="preserve">237.5K impresiones. </w:t>
                            </w:r>
                            <w:r>
                              <w:t>Días 7, 11 y 27, visita del consejero.</w:t>
                            </w:r>
                          </w:p>
                          <w:p w:rsidR="00E87599" w:rsidRPr="001E6862" w:rsidRDefault="00E87599" w:rsidP="00546058">
                            <w:pPr>
                              <w:ind w:left="142" w:hanging="142"/>
                              <w:rPr>
                                <w:rFonts w:ascii="Calibri" w:hAnsi="Calibri"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A0574" id="_x0000_s1064" type="#_x0000_t202" style="position:absolute;left:0;text-align:left;margin-left:0;margin-top:18.85pt;width:416.5pt;height:86pt;z-index:25170534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" stroked="f">
                <v:textbox>
                  <w:txbxContent>
                    <w:p w:rsidR="00E87599" w:rsidRDefault="00E87599" w:rsidP="0099564A">
                      <w:r>
                        <w:rPr>
                          <w:noProof/>
                          <w:color w:val="44546A" w:themeColor="text2"/>
                        </w:rPr>
                        <w:drawing>
                          <wp:inline distT="0" distB="0" distL="0" distR="0" wp14:anchorId="0DA9D645" wp14:editId="478DBBA8">
                            <wp:extent cx="351692" cy="282399"/>
                            <wp:effectExtent l="0" t="0" r="0" b="381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99564A">
                      <w:pPr>
                        <w:rPr>
                          <w:b/>
                        </w:rPr>
                      </w:pPr>
                      <w:r>
                        <w:rPr>
                          <w:rStyle w:val="Textoennegrita"/>
                          <w:rFonts w:ascii="Arial" w:hAnsi="Arial" w:cs="Arial"/>
                          <w:b w:val="0"/>
                          <w:bCs w:val="0"/>
                          <w:color w:val="292F33"/>
                          <w:sz w:val="32"/>
                          <w:szCs w:val="32"/>
                        </w:rPr>
                        <w:t xml:space="preserve">237.5K impresiones. </w:t>
                      </w:r>
                      <w:r>
                        <w:t>Días 7, 11 y 27, visita del consejero.</w:t>
                      </w:r>
                    </w:p>
                    <w:p w:rsidR="00E87599" w:rsidRPr="001E6862" w:rsidRDefault="00E87599" w:rsidP="00546058">
                      <w:pPr>
                        <w:ind w:left="142" w:hanging="142"/>
                        <w:rPr>
                          <w:rFonts w:ascii="Calibri" w:hAnsi="Calibri" w:cs="Calibri"/>
                          <w:b/>
                        </w:rPr>
                      </w:pPr>
                    </w:p>
                  </w:txbxContent>
                </v:textbox>
                <w10:wrap type="square" anchorx="page"/>
              </v:shape>
            </w:pict>
          </mc:Fallback>
        </mc:AlternateContent>
      </w:r>
    </w:p>
    <w:p w:rsidR="00546058" w:rsidRPr="001C1FFC" w:rsidRDefault="00546058" w:rsidP="00546058">
      <w:pPr>
        <w:rPr>
          <w:b/>
          <w:sz w:val="24"/>
          <w:szCs w:val="24"/>
        </w:rPr>
      </w:pPr>
      <w:r w:rsidRPr="001C1FFC">
        <w:rPr>
          <w:b/>
          <w:sz w:val="24"/>
          <w:szCs w:val="24"/>
        </w:rPr>
        <w:t>Agosto. Alerta roja para los grupos negativos</w:t>
      </w:r>
    </w:p>
    <w:p w:rsidR="00546058" w:rsidRDefault="00546058" w:rsidP="00546058">
      <w:r>
        <w:t>En agosto, nuevo llamamiento por alerta roja de los grupos negativos los días 10 y 31. Hasta el 18 de agosto, 31 impactos.</w:t>
      </w:r>
    </w:p>
    <w:p w:rsidR="00546058" w:rsidRDefault="00546058" w:rsidP="00546058">
      <w:pPr>
        <w:rPr>
          <w:rFonts w:ascii="Calibri" w:hAnsi="Calibri"/>
        </w:rPr>
      </w:pPr>
      <w:r>
        <w:rPr>
          <w:noProof/>
        </w:rPr>
        <w:drawing>
          <wp:inline distT="0" distB="0" distL="0" distR="0">
            <wp:extent cx="2355850" cy="1324610"/>
            <wp:effectExtent l="0" t="0" r="6350" b="889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2355850" cy="1324610"/>
                    </a:xfrm>
                    <a:prstGeom prst="rect">
                      <a:avLst/>
                    </a:prstGeom>
                  </pic:spPr>
                </pic:pic>
              </a:graphicData>
            </a:graphic>
          </wp:inline>
        </w:drawing>
      </w:r>
      <w:r w:rsidR="0099564A" w:rsidRPr="00B32F7F">
        <w:rPr>
          <w:rFonts w:ascii="Calibri" w:hAnsi="Calibri"/>
          <w:noProof/>
          <w:sz w:val="28"/>
          <w:szCs w:val="28"/>
        </w:rPr>
        <mc:AlternateContent>
          <mc:Choice Requires="wpg">
            <w:drawing>
              <wp:inline distT="0" distB="0" distL="0" distR="0" wp14:anchorId="08159987" wp14:editId="3FAF780E">
                <wp:extent cx="2339439" cy="1816925"/>
                <wp:effectExtent l="0" t="0" r="3810" b="0"/>
                <wp:docPr id="280" name="Grupo 280"/>
                <wp:cNvGraphicFramePr/>
                <a:graphic xmlns:a="http://schemas.openxmlformats.org/drawingml/2006/main">
                  <a:graphicData uri="http://schemas.microsoft.com/office/word/2010/wordprocessingGroup">
                    <wpg:wgp>
                      <wpg:cNvGrpSpPr/>
                      <wpg:grpSpPr>
                        <a:xfrm>
                          <a:off x="0" y="0"/>
                          <a:ext cx="2339439" cy="1816925"/>
                          <a:chOff x="-146060" y="-4540595"/>
                          <a:chExt cx="2750023" cy="13759295"/>
                        </a:xfrm>
                      </wpg:grpSpPr>
                      <wps:wsp>
                        <wps:cNvPr id="284" name="Autoforma 14"/>
                        <wps:cNvSpPr>
                          <a:spLocks noChangeArrowheads="1"/>
                        </wps:cNvSpPr>
                        <wps:spPr bwMode="auto">
                          <a:xfrm>
                            <a:off x="-146060" y="-4540595"/>
                            <a:ext cx="2750023" cy="13458409"/>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99564A">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99564A" w:rsidRDefault="00E87599" w:rsidP="0099564A">
                              <w:pPr>
                                <w:rPr>
                                  <w:rFonts w:ascii="Calibri" w:hAnsi="Calibri" w:cs="Calibri"/>
                                  <w:sz w:val="18"/>
                                  <w:szCs w:val="18"/>
                                </w:rPr>
                              </w:pPr>
                              <w:r w:rsidRPr="0099564A">
                                <w:rPr>
                                  <w:rFonts w:ascii="Calibri" w:hAnsi="Calibri" w:cs="Calibri"/>
                                  <w:sz w:val="18"/>
                                  <w:szCs w:val="18"/>
                                </w:rPr>
                                <w:t>Telemadrid (Noticias, Madrid Directo, Buenos días Madrid), TVE, La Sexta, RNE, Onda Cero, Onda Madrid, Esradio, Caden Ser, Cope, entrevistas en Ser Henares, Onda Cero Alcalá.</w:t>
                              </w:r>
                            </w:p>
                            <w:p w:rsidR="00E87599" w:rsidRPr="00EC24CE" w:rsidRDefault="00E87599" w:rsidP="0099564A">
                              <w:pPr>
                                <w:rPr>
                                  <w:sz w:val="18"/>
                                  <w:szCs w:val="18"/>
                                </w:rPr>
                              </w:pPr>
                            </w:p>
                            <w:p w:rsidR="00E87599" w:rsidRDefault="00E87599" w:rsidP="0099564A">
                              <w:pPr>
                                <w:rPr>
                                  <w:color w:val="44546A" w:themeColor="text2"/>
                                </w:rPr>
                              </w:pPr>
                            </w:p>
                          </w:txbxContent>
                        </wps:txbx>
                        <wps:bodyPr rot="0" vert="horz" wrap="square" lIns="182880" tIns="457200" rIns="182880" bIns="73152" anchor="t" anchorCtr="0" upright="1">
                          <a:noAutofit/>
                        </wps:bodyPr>
                      </wps:wsp>
                      <wps:wsp>
                        <wps:cNvPr id="288" name="Rectángulo 288"/>
                        <wps:cNvSpPr/>
                        <wps:spPr>
                          <a:xfrm>
                            <a:off x="-8595" y="-2838540"/>
                            <a:ext cx="2463717" cy="56488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99564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89" name="Rectángulo 289"/>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99564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w14:anchorId="08159987" id="Grupo 280" o:spid="_x0000_s1065" style="width:184.2pt;height:143.05pt;mso-position-horizontal-relative:char;mso-position-vertical-relative:line" coordorigin="-1460,-45405" coordsize="27500,137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">
                <v:rect id="Autoforma 14" o:spid="_x0000_s1066" style="position:absolute;left:-1460;top:-45405;width:27499;height:134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" fillcolor="white [3212]" stroked="f" strokeweight="1.25pt">
                  <v:textbox inset="14.4pt,36pt,14.4pt,5.76pt">
                    <w:txbxContent>
                      <w:p w:rsidR="00E87599" w:rsidRPr="004A5402" w:rsidRDefault="00E87599" w:rsidP="0099564A">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99564A" w:rsidRDefault="00E87599" w:rsidP="0099564A">
                        <w:pPr>
                          <w:rPr>
                            <w:rFonts w:ascii="Calibri" w:hAnsi="Calibri" w:cs="Calibri"/>
                            <w:sz w:val="18"/>
                            <w:szCs w:val="18"/>
                          </w:rPr>
                        </w:pPr>
                        <w:r w:rsidRPr="0099564A">
                          <w:rPr>
                            <w:rFonts w:ascii="Calibri" w:hAnsi="Calibri" w:cs="Calibri"/>
                            <w:sz w:val="18"/>
                            <w:szCs w:val="18"/>
                          </w:rPr>
                          <w:t>Telemadrid (Noticias, Madrid Directo, Buenos días Madrid), TVE, La Sexta, RNE, Onda Cero, Onda Madrid, Esradio, Caden Ser, Cope, entrevistas en Ser Henares, Onda Cero Alcalá.</w:t>
                        </w:r>
                      </w:p>
                      <w:p w:rsidR="00E87599" w:rsidRPr="00EC24CE" w:rsidRDefault="00E87599" w:rsidP="0099564A">
                        <w:pPr>
                          <w:rPr>
                            <w:sz w:val="18"/>
                            <w:szCs w:val="18"/>
                          </w:rPr>
                        </w:pPr>
                      </w:p>
                      <w:p w:rsidR="00E87599" w:rsidRDefault="00E87599" w:rsidP="0099564A">
                        <w:pPr>
                          <w:rPr>
                            <w:color w:val="44546A" w:themeColor="text2"/>
                          </w:rPr>
                        </w:pPr>
                      </w:p>
                    </w:txbxContent>
                  </v:textbox>
                </v:rect>
                <v:rect id="Rectángulo 288" o:spid="_x0000_s1067" style="position:absolute;left:-85;top:-28385;width:24636;height:56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" fillcolor="#44546a [3215]" stroked="f" strokeweight="1pt">
                  <v:textbox inset="14.4pt,14.4pt,14.4pt,28.8pt">
                    <w:txbxContent>
                      <w:p w:rsidR="00E87599" w:rsidRDefault="00E87599" w:rsidP="0099564A">
                        <w:pPr>
                          <w:spacing w:before="240"/>
                          <w:rPr>
                            <w:color w:val="FFFFFF" w:themeColor="background1"/>
                          </w:rPr>
                        </w:pPr>
                      </w:p>
                    </w:txbxContent>
                  </v:textbox>
                </v:rect>
                <v:rect id="Rectángulo 289" o:spid="_x0000_s1068"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" fillcolor="#5b9bd5 [3204]" stroked="f" strokeweight="1pt">
                  <v:textbox inset="14.4pt,14.4pt,14.4pt,28.8pt">
                    <w:txbxContent>
                      <w:p w:rsidR="00E87599" w:rsidRDefault="00E87599" w:rsidP="0099564A">
                        <w:pPr>
                          <w:spacing w:before="240"/>
                          <w:rPr>
                            <w:color w:val="FFFFFF" w:themeColor="background1"/>
                          </w:rPr>
                        </w:pPr>
                      </w:p>
                    </w:txbxContent>
                  </v:textbox>
                </v:rect>
                <w10:anchorlock/>
              </v:group>
            </w:pict>
          </mc:Fallback>
        </mc:AlternateContent>
      </w:r>
    </w:p>
    <w:p w:rsidR="00546058" w:rsidRDefault="00546058" w:rsidP="00546058"/>
    <w:p w:rsidR="00546058" w:rsidRDefault="00546058" w:rsidP="00546058">
      <w:pPr>
        <w:rPr>
          <w:b/>
          <w:sz w:val="28"/>
          <w:szCs w:val="28"/>
        </w:rPr>
      </w:pPr>
      <w:r>
        <w:rPr>
          <w:noProof/>
        </w:rPr>
        <w:drawing>
          <wp:inline distT="0" distB="0" distL="0" distR="0">
            <wp:extent cx="1695450" cy="1864360"/>
            <wp:effectExtent l="0" t="0" r="0" b="254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screen">
                      <a:extLst>
                        <a:ext uri="{28A0092B-C50C-407E-A947-70E740481C1C}">
                          <a14:useLocalDpi xmlns:a14="http://schemas.microsoft.com/office/drawing/2010/main" val="0"/>
                        </a:ext>
                      </a:extLst>
                    </a:blip>
                    <a:srcRect l="24736" t="9669" r="39099" b="19669"/>
                    <a:stretch/>
                  </pic:blipFill>
                  <pic:spPr bwMode="auto">
                    <a:xfrm>
                      <a:off x="0" y="0"/>
                      <a:ext cx="1695450" cy="186436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2204085" cy="1816735"/>
            <wp:effectExtent l="0" t="0" r="5715"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screen">
                      <a:extLst>
                        <a:ext uri="{28A0092B-C50C-407E-A947-70E740481C1C}">
                          <a14:useLocalDpi xmlns:a14="http://schemas.microsoft.com/office/drawing/2010/main" val="0"/>
                        </a:ext>
                      </a:extLst>
                    </a:blip>
                    <a:srcRect l="11576" t="10780" r="36269" b="12795"/>
                    <a:stretch/>
                  </pic:blipFill>
                  <pic:spPr bwMode="auto">
                    <a:xfrm>
                      <a:off x="0" y="0"/>
                      <a:ext cx="2204085" cy="1816735"/>
                    </a:xfrm>
                    <a:prstGeom prst="rect">
                      <a:avLst/>
                    </a:prstGeom>
                    <a:ln>
                      <a:noFill/>
                    </a:ln>
                    <a:extLst>
                      <a:ext uri="{53640926-AAD7-44D8-BBD7-CCE9431645EC}">
                        <a14:shadowObscured xmlns:a14="http://schemas.microsoft.com/office/drawing/2010/main"/>
                      </a:ext>
                    </a:extLst>
                  </pic:spPr>
                </pic:pic>
              </a:graphicData>
            </a:graphic>
          </wp:inline>
        </w:drawing>
      </w:r>
      <w:r w:rsidRPr="00C441FC">
        <w:rPr>
          <w:b/>
          <w:sz w:val="28"/>
          <w:szCs w:val="28"/>
        </w:rPr>
        <w:t xml:space="preserve"> </w:t>
      </w:r>
      <w:r w:rsidR="005D7187" w:rsidRPr="00770832">
        <w:rPr>
          <w:rFonts w:ascii="Arial" w:hAnsi="Arial" w:cs="Arial"/>
          <w:noProof/>
          <w:color w:val="000000"/>
        </w:rPr>
        <mc:AlternateContent>
          <mc:Choice Requires="wps">
            <w:drawing>
              <wp:inline distT="0" distB="0" distL="0" distR="0" wp14:anchorId="39D5D476" wp14:editId="5B449147">
                <wp:extent cx="1009402" cy="1308100"/>
                <wp:effectExtent l="0" t="0" r="635" b="6350"/>
                <wp:docPr id="2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402" cy="1308100"/>
                        </a:xfrm>
                        <a:prstGeom prst="rect">
                          <a:avLst/>
                        </a:prstGeom>
                        <a:solidFill>
                          <a:srgbClr val="FFFFFF"/>
                        </a:solidFill>
                        <a:ln w="9525">
                          <a:noFill/>
                          <a:miter lim="800000"/>
                          <a:headEnd/>
                          <a:tailEnd/>
                        </a:ln>
                      </wps:spPr>
                      <wps:txbx>
                        <w:txbxContent>
                          <w:p w:rsidR="00E87599" w:rsidRDefault="00E87599" w:rsidP="005D7187">
                            <w:r>
                              <w:rPr>
                                <w:noProof/>
                                <w:color w:val="44546A" w:themeColor="text2"/>
                              </w:rPr>
                              <w:drawing>
                                <wp:inline distT="0" distB="0" distL="0" distR="0" wp14:anchorId="3F84D462" wp14:editId="65D479A8">
                                  <wp:extent cx="351692" cy="282399"/>
                                  <wp:effectExtent l="0" t="0" r="0" b="381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5D7187">
                            <w:pPr>
                              <w:rPr>
                                <w:b/>
                                <w:bCs/>
                              </w:rPr>
                            </w:pPr>
                            <w:r>
                              <w:rPr>
                                <w:rStyle w:val="Textoennegrita"/>
                                <w:rFonts w:ascii="Arial" w:hAnsi="Arial" w:cs="Arial"/>
                                <w:b w:val="0"/>
                                <w:bCs w:val="0"/>
                                <w:color w:val="292F33"/>
                                <w:sz w:val="32"/>
                                <w:szCs w:val="32"/>
                              </w:rPr>
                              <w:t>305.8K</w:t>
                            </w:r>
                          </w:p>
                          <w:p w:rsidR="00E87599" w:rsidRPr="00336D13" w:rsidRDefault="00E87599" w:rsidP="005D7187">
                            <w:pPr>
                              <w:rPr>
                                <w:b/>
                                <w:bCs/>
                              </w:rPr>
                            </w:pPr>
                            <w:r>
                              <w:t>I</w:t>
                            </w:r>
                            <w:r w:rsidRPr="00336D13">
                              <w:t>mpresiones</w:t>
                            </w:r>
                          </w:p>
                          <w:p w:rsidR="00E87599" w:rsidRDefault="00E87599" w:rsidP="005D7187">
                            <w:pPr>
                              <w:ind w:left="142" w:hanging="142"/>
                              <w:rPr>
                                <w:rFonts w:ascii="Calibri" w:hAnsi="Calibri" w:cs="Calibri"/>
                                <w:b/>
                              </w:rPr>
                            </w:pPr>
                            <w:r w:rsidRPr="001E6862">
                              <w:rPr>
                                <w:rFonts w:ascii="Calibri" w:hAnsi="Calibri" w:cs="Calibri"/>
                                <w:b/>
                              </w:rPr>
                              <w:t xml:space="preserve">En </w:t>
                            </w:r>
                            <w:r>
                              <w:rPr>
                                <w:rFonts w:ascii="Calibri" w:hAnsi="Calibri" w:cs="Calibri"/>
                                <w:b/>
                              </w:rPr>
                              <w:t>dos días.</w:t>
                            </w:r>
                          </w:p>
                          <w:p w:rsidR="00E87599" w:rsidRPr="001E6862" w:rsidRDefault="00E87599" w:rsidP="005D7187">
                            <w:pPr>
                              <w:ind w:left="142" w:hanging="142"/>
                              <w:rPr>
                                <w:rFonts w:ascii="Calibri" w:hAnsi="Calibri" w:cs="Calibri"/>
                                <w:b/>
                              </w:rPr>
                            </w:pPr>
                          </w:p>
                        </w:txbxContent>
                      </wps:txbx>
                      <wps:bodyPr rot="0" vert="horz" wrap="square" lIns="91440" tIns="45720" rIns="91440" bIns="45720" anchor="t" anchorCtr="0">
                        <a:noAutofit/>
                      </wps:bodyPr>
                    </wps:wsp>
                  </a:graphicData>
                </a:graphic>
              </wp:inline>
            </w:drawing>
          </mc:Choice>
          <mc:Fallback>
            <w:pict>
              <v:shape w14:anchorId="39D5D476" id="_x0000_s1069" type="#_x0000_t202" style="width:79.5pt;height:1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" stroked="f">
                <v:textbox>
                  <w:txbxContent>
                    <w:p w:rsidR="00E87599" w:rsidRDefault="00E87599" w:rsidP="005D7187">
                      <w:r>
                        <w:rPr>
                          <w:noProof/>
                          <w:color w:val="44546A" w:themeColor="text2"/>
                        </w:rPr>
                        <w:drawing>
                          <wp:inline distT="0" distB="0" distL="0" distR="0" wp14:anchorId="3F84D462" wp14:editId="65D479A8">
                            <wp:extent cx="351692" cy="282399"/>
                            <wp:effectExtent l="0" t="0" r="0" b="381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5D7187">
                      <w:pPr>
                        <w:rPr>
                          <w:b/>
                          <w:bCs/>
                        </w:rPr>
                      </w:pPr>
                      <w:r>
                        <w:rPr>
                          <w:rStyle w:val="Textoennegrita"/>
                          <w:rFonts w:ascii="Arial" w:hAnsi="Arial" w:cs="Arial"/>
                          <w:b w:val="0"/>
                          <w:bCs w:val="0"/>
                          <w:color w:val="292F33"/>
                          <w:sz w:val="32"/>
                          <w:szCs w:val="32"/>
                        </w:rPr>
                        <w:t>305.8K</w:t>
                      </w:r>
                    </w:p>
                    <w:p w:rsidR="00E87599" w:rsidRPr="00336D13" w:rsidRDefault="00E87599" w:rsidP="005D7187">
                      <w:pPr>
                        <w:rPr>
                          <w:b/>
                          <w:bCs/>
                        </w:rPr>
                      </w:pPr>
                      <w:r>
                        <w:t>I</w:t>
                      </w:r>
                      <w:r w:rsidRPr="00336D13">
                        <w:t>mpresiones</w:t>
                      </w:r>
                    </w:p>
                    <w:p w:rsidR="00E87599" w:rsidRDefault="00E87599" w:rsidP="005D7187">
                      <w:pPr>
                        <w:ind w:left="142" w:hanging="142"/>
                        <w:rPr>
                          <w:rFonts w:ascii="Calibri" w:hAnsi="Calibri" w:cs="Calibri"/>
                          <w:b/>
                        </w:rPr>
                      </w:pPr>
                      <w:r w:rsidRPr="001E6862">
                        <w:rPr>
                          <w:rFonts w:ascii="Calibri" w:hAnsi="Calibri" w:cs="Calibri"/>
                          <w:b/>
                        </w:rPr>
                        <w:t xml:space="preserve">En </w:t>
                      </w:r>
                      <w:r>
                        <w:rPr>
                          <w:rFonts w:ascii="Calibri" w:hAnsi="Calibri" w:cs="Calibri"/>
                          <w:b/>
                        </w:rPr>
                        <w:t>dos días.</w:t>
                      </w:r>
                    </w:p>
                    <w:p w:rsidR="00E87599" w:rsidRPr="001E6862" w:rsidRDefault="00E87599" w:rsidP="005D7187">
                      <w:pPr>
                        <w:ind w:left="142" w:hanging="142"/>
                        <w:rPr>
                          <w:rFonts w:ascii="Calibri" w:hAnsi="Calibri" w:cs="Calibri"/>
                          <w:b/>
                        </w:rPr>
                      </w:pPr>
                    </w:p>
                  </w:txbxContent>
                </v:textbox>
                <w10:anchorlock/>
              </v:shape>
            </w:pict>
          </mc:Fallback>
        </mc:AlternateContent>
      </w:r>
    </w:p>
    <w:p w:rsidR="00546058" w:rsidRDefault="00546058" w:rsidP="00546058">
      <w:pPr>
        <w:rPr>
          <w:b/>
          <w:sz w:val="28"/>
          <w:szCs w:val="28"/>
        </w:rPr>
      </w:pPr>
    </w:p>
    <w:p w:rsidR="00546058" w:rsidRPr="001C1FFC" w:rsidRDefault="00546058" w:rsidP="00546058">
      <w:pPr>
        <w:rPr>
          <w:b/>
          <w:sz w:val="24"/>
          <w:szCs w:val="24"/>
        </w:rPr>
      </w:pPr>
      <w:r w:rsidRPr="001C1FFC">
        <w:rPr>
          <w:b/>
          <w:sz w:val="24"/>
          <w:szCs w:val="24"/>
        </w:rPr>
        <w:t>Campaña de Navidad y Jornadas especiales de donación</w:t>
      </w:r>
    </w:p>
    <w:p w:rsidR="00546058" w:rsidRDefault="001C1FFC" w:rsidP="00546058">
      <w:pPr>
        <w:rPr>
          <w:b/>
          <w:sz w:val="28"/>
          <w:szCs w:val="28"/>
        </w:rPr>
      </w:pPr>
      <w:r>
        <w:rPr>
          <w:noProof/>
        </w:rPr>
        <w:drawing>
          <wp:inline distT="0" distB="0" distL="0" distR="0" wp14:anchorId="7942F42C" wp14:editId="189E27F5">
            <wp:extent cx="1962150" cy="2159123"/>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screen">
                      <a:extLst>
                        <a:ext uri="{28A0092B-C50C-407E-A947-70E740481C1C}">
                          <a14:useLocalDpi xmlns:a14="http://schemas.microsoft.com/office/drawing/2010/main" val="0"/>
                        </a:ext>
                      </a:extLst>
                    </a:blip>
                    <a:srcRect l="17723" t="5411" r="35911" b="3883"/>
                    <a:stretch/>
                  </pic:blipFill>
                  <pic:spPr bwMode="auto">
                    <a:xfrm>
                      <a:off x="0" y="0"/>
                      <a:ext cx="1962150" cy="2159123"/>
                    </a:xfrm>
                    <a:prstGeom prst="rect">
                      <a:avLst/>
                    </a:prstGeom>
                    <a:ln>
                      <a:noFill/>
                    </a:ln>
                    <a:extLst>
                      <a:ext uri="{53640926-AAD7-44D8-BBD7-CCE9431645EC}">
                        <a14:shadowObscured xmlns:a14="http://schemas.microsoft.com/office/drawing/2010/main"/>
                      </a:ext>
                    </a:extLst>
                  </pic:spPr>
                </pic:pic>
              </a:graphicData>
            </a:graphic>
          </wp:inline>
        </w:drawing>
      </w:r>
      <w:r w:rsidR="005D7187" w:rsidRPr="00B32F7F">
        <w:rPr>
          <w:rFonts w:ascii="Calibri" w:hAnsi="Calibri"/>
          <w:noProof/>
          <w:sz w:val="28"/>
          <w:szCs w:val="28"/>
        </w:rPr>
        <mc:AlternateContent>
          <mc:Choice Requires="wpg">
            <w:drawing>
              <wp:inline distT="0" distB="0" distL="0" distR="0">
                <wp:extent cx="2825750" cy="1905000"/>
                <wp:effectExtent l="0" t="0" r="0" b="0"/>
                <wp:docPr id="123" name="Grupo 123"/>
                <wp:cNvGraphicFramePr/>
                <a:graphic xmlns:a="http://schemas.openxmlformats.org/drawingml/2006/main">
                  <a:graphicData uri="http://schemas.microsoft.com/office/word/2010/wordprocessingGroup">
                    <wpg:wgp>
                      <wpg:cNvGrpSpPr/>
                      <wpg:grpSpPr>
                        <a:xfrm>
                          <a:off x="0" y="0"/>
                          <a:ext cx="2825750" cy="1905000"/>
                          <a:chOff x="-146060" y="-6022623"/>
                          <a:chExt cx="2750023" cy="16981409"/>
                        </a:xfrm>
                      </wpg:grpSpPr>
                      <wps:wsp>
                        <wps:cNvPr id="124" name="Autoforma 14"/>
                        <wps:cNvSpPr>
                          <a:spLocks noChangeArrowheads="1"/>
                        </wps:cNvSpPr>
                        <wps:spPr bwMode="auto">
                          <a:xfrm>
                            <a:off x="-146060" y="-6022623"/>
                            <a:ext cx="2750023" cy="16981409"/>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546058">
                              <w:pPr>
                                <w:rPr>
                                  <w:rFonts w:ascii="Calibri" w:hAnsi="Calibri" w:cs="Calibri"/>
                                </w:rPr>
                              </w:pPr>
                              <w:r w:rsidRPr="001C1FFC">
                                <w:rPr>
                                  <w:rFonts w:ascii="Calibri" w:hAnsi="Calibri" w:cs="Calibri"/>
                                  <w:szCs w:val="20"/>
                                </w:rPr>
                                <w:t>Onda Cero, Onda Madrid, Actualidad 21, Consalud, Qué, Esradio, Fuenlabrada noticias, Gacetín de Madrid, Noroeste de Madrid, Telemadrid (digital), ABC, Madrid Norte 24 horas, Diario Enfermero Dicen, Infosalus.</w:t>
                              </w:r>
                            </w:p>
                            <w:p w:rsidR="00E87599" w:rsidRPr="00EC24CE" w:rsidRDefault="00E87599" w:rsidP="00546058">
                              <w:pPr>
                                <w:rPr>
                                  <w:sz w:val="18"/>
                                  <w:szCs w:val="18"/>
                                </w:rPr>
                              </w:pPr>
                            </w:p>
                            <w:p w:rsidR="00E87599" w:rsidRDefault="00E87599" w:rsidP="00546058">
                              <w:pPr>
                                <w:rPr>
                                  <w:color w:val="44546A" w:themeColor="text2"/>
                                </w:rPr>
                              </w:pPr>
                            </w:p>
                          </w:txbxContent>
                        </wps:txbx>
                        <wps:bodyPr rot="0" vert="horz" wrap="square" lIns="182880" tIns="457200" rIns="182880" bIns="73152" anchor="t" anchorCtr="0" upright="1">
                          <a:noAutofit/>
                        </wps:bodyPr>
                      </wps:wsp>
                      <wps:wsp>
                        <wps:cNvPr id="125" name="Rectángulo 125"/>
                        <wps:cNvSpPr/>
                        <wps:spPr>
                          <a:xfrm>
                            <a:off x="-8595" y="-2838540"/>
                            <a:ext cx="2463717" cy="56488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26" name="Rectángulo 126"/>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id="Grupo 123" o:spid="_x0000_s1070" style="width:222.5pt;height:150pt;mso-position-horizontal-relative:char;mso-position-vertical-relative:line" coordorigin="-1460,-60226" coordsize="27500,16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">
                <v:rect id="Autoforma 14" o:spid="_x0000_s1071" style="position:absolute;left:-1460;top:-60226;width:27499;height:169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" fillcolor="white [3212]" stroked="f" strokeweight="1.25pt">
                  <v:textbox inset="14.4pt,36pt,14.4pt,5.76pt">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546058">
                        <w:pPr>
                          <w:rPr>
                            <w:rFonts w:ascii="Calibri" w:hAnsi="Calibri" w:cs="Calibri"/>
                          </w:rPr>
                        </w:pPr>
                        <w:r w:rsidRPr="001C1FFC">
                          <w:rPr>
                            <w:rFonts w:ascii="Calibri" w:hAnsi="Calibri" w:cs="Calibri"/>
                            <w:szCs w:val="20"/>
                          </w:rPr>
                          <w:t>Onda Cero, Onda Madrid, Actualidad 21, Consalud, Qué, Esradio, Fuenlabrada noticias, Gacetín de Madrid, Noroeste de Madrid, Telemadrid (digital), ABC, Madrid Norte 24 horas, Diario Enfermero Dicen, Infosalus.</w:t>
                        </w:r>
                      </w:p>
                      <w:p w:rsidR="00E87599" w:rsidRPr="00EC24CE" w:rsidRDefault="00E87599" w:rsidP="00546058">
                        <w:pPr>
                          <w:rPr>
                            <w:sz w:val="18"/>
                            <w:szCs w:val="18"/>
                          </w:rPr>
                        </w:pPr>
                      </w:p>
                      <w:p w:rsidR="00E87599" w:rsidRDefault="00E87599" w:rsidP="00546058">
                        <w:pPr>
                          <w:rPr>
                            <w:color w:val="44546A" w:themeColor="text2"/>
                          </w:rPr>
                        </w:pPr>
                      </w:p>
                    </w:txbxContent>
                  </v:textbox>
                </v:rect>
                <v:rect id="Rectángulo 125" o:spid="_x0000_s1072" style="position:absolute;left:-85;top:-28385;width:24636;height:56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126" o:spid="_x0000_s1073"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" fillcolor="#5b9bd5 [3204]" stroked="f" strokeweight="1pt">
                  <v:textbox inset="14.4pt,14.4pt,14.4pt,28.8pt">
                    <w:txbxContent>
                      <w:p w:rsidR="00E87599" w:rsidRDefault="00E87599" w:rsidP="00546058">
                        <w:pPr>
                          <w:spacing w:before="240"/>
                          <w:rPr>
                            <w:color w:val="FFFFFF" w:themeColor="background1"/>
                          </w:rPr>
                        </w:pPr>
                      </w:p>
                    </w:txbxContent>
                  </v:textbox>
                </v:rect>
                <w10:anchorlock/>
              </v:group>
            </w:pict>
          </mc:Fallback>
        </mc:AlternateContent>
      </w:r>
    </w:p>
    <w:p w:rsidR="00546058" w:rsidRDefault="00546058" w:rsidP="00546058">
      <w:pPr>
        <w:rPr>
          <w:b/>
          <w:sz w:val="28"/>
          <w:szCs w:val="28"/>
        </w:rPr>
      </w:pPr>
      <w:r>
        <w:rPr>
          <w:b/>
          <w:sz w:val="28"/>
          <w:szCs w:val="28"/>
        </w:rPr>
        <w:t xml:space="preserve"> </w:t>
      </w:r>
    </w:p>
    <w:p w:rsidR="00546058" w:rsidRDefault="00546058" w:rsidP="00546058">
      <w:pPr>
        <w:rPr>
          <w:b/>
          <w:sz w:val="28"/>
          <w:szCs w:val="28"/>
        </w:rPr>
      </w:pPr>
      <w:r w:rsidRPr="00770832">
        <w:rPr>
          <w:rFonts w:ascii="Arial" w:hAnsi="Arial" w:cs="Arial"/>
          <w:noProof/>
          <w:color w:val="000000"/>
        </w:rPr>
        <mc:AlternateContent>
          <mc:Choice Requires="wps">
            <w:drawing>
              <wp:anchor distT="45720" distB="45720" distL="114300" distR="114300" simplePos="0" relativeHeight="251716608" behindDoc="0" locked="0" layoutInCell="1" allowOverlap="1" wp14:anchorId="2D2C9EBB" wp14:editId="23D2378A">
                <wp:simplePos x="0" y="0"/>
                <wp:positionH relativeFrom="margin">
                  <wp:align>left</wp:align>
                </wp:positionH>
                <wp:positionV relativeFrom="paragraph">
                  <wp:posOffset>232410</wp:posOffset>
                </wp:positionV>
                <wp:extent cx="1341755" cy="1308100"/>
                <wp:effectExtent l="0" t="0" r="0" b="6350"/>
                <wp:wrapSquare wrapText="bothSides"/>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1308100"/>
                        </a:xfrm>
                        <a:prstGeom prst="rect">
                          <a:avLst/>
                        </a:prstGeom>
                        <a:solidFill>
                          <a:srgbClr val="FFFFFF"/>
                        </a:solidFill>
                        <a:ln w="9525">
                          <a:noFill/>
                          <a:miter lim="800000"/>
                          <a:headEnd/>
                          <a:tailEnd/>
                        </a:ln>
                      </wps:spPr>
                      <wps:txbx>
                        <w:txbxContent>
                          <w:p w:rsidR="00E87599" w:rsidRDefault="00E87599" w:rsidP="005D7187">
                            <w:r>
                              <w:rPr>
                                <w:noProof/>
                                <w:color w:val="44546A" w:themeColor="text2"/>
                              </w:rPr>
                              <w:drawing>
                                <wp:inline distT="0" distB="0" distL="0" distR="0" wp14:anchorId="14485C83" wp14:editId="3711D8BE">
                                  <wp:extent cx="351692" cy="282399"/>
                                  <wp:effectExtent l="0" t="0" r="0" b="381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5D7187">
                            <w:pPr>
                              <w:rPr>
                                <w:b/>
                                <w:bCs/>
                              </w:rPr>
                            </w:pPr>
                            <w:r>
                              <w:rPr>
                                <w:rStyle w:val="Textoennegrita"/>
                                <w:rFonts w:ascii="Arial" w:hAnsi="Arial" w:cs="Arial"/>
                                <w:b w:val="0"/>
                                <w:bCs w:val="0"/>
                                <w:color w:val="292F33"/>
                                <w:sz w:val="32"/>
                                <w:szCs w:val="32"/>
                              </w:rPr>
                              <w:t>299.0K</w:t>
                            </w:r>
                          </w:p>
                          <w:p w:rsidR="00E87599" w:rsidRPr="00336D13" w:rsidRDefault="00E87599" w:rsidP="005D7187">
                            <w:pPr>
                              <w:rPr>
                                <w:b/>
                                <w:bCs/>
                              </w:rPr>
                            </w:pPr>
                            <w:r>
                              <w:t>I</w:t>
                            </w:r>
                            <w:r w:rsidRPr="00336D13">
                              <w:t>mpresiones</w:t>
                            </w:r>
                          </w:p>
                          <w:p w:rsidR="00E87599" w:rsidRPr="001E6862" w:rsidRDefault="00E87599" w:rsidP="00546058">
                            <w:pPr>
                              <w:ind w:left="142" w:hanging="142"/>
                              <w:rPr>
                                <w:rFonts w:ascii="Calibri" w:hAnsi="Calibri"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C9EBB" id="_x0000_s1074" type="#_x0000_t202" style="position:absolute;left:0;text-align:left;margin-left:0;margin-top:18.3pt;width:105.65pt;height:103pt;z-index:251716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" stroked="f">
                <v:textbox>
                  <w:txbxContent>
                    <w:p w:rsidR="00E87599" w:rsidRDefault="00E87599" w:rsidP="005D7187">
                      <w:r>
                        <w:rPr>
                          <w:noProof/>
                          <w:color w:val="44546A" w:themeColor="text2"/>
                        </w:rPr>
                        <w:drawing>
                          <wp:inline distT="0" distB="0" distL="0" distR="0" wp14:anchorId="14485C83" wp14:editId="3711D8BE">
                            <wp:extent cx="351692" cy="282399"/>
                            <wp:effectExtent l="0" t="0" r="0" b="381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twitter-logo-1788039_192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070" cy="290733"/>
                                    </a:xfrm>
                                    <a:prstGeom prst="rect">
                                      <a:avLst/>
                                    </a:prstGeom>
                                  </pic:spPr>
                                </pic:pic>
                              </a:graphicData>
                            </a:graphic>
                          </wp:inline>
                        </w:drawing>
                      </w:r>
                      <w:r w:rsidRPr="00533D47">
                        <w:t xml:space="preserve"> </w:t>
                      </w:r>
                    </w:p>
                    <w:p w:rsidR="00E87599" w:rsidRDefault="00E87599" w:rsidP="005D7187">
                      <w:pPr>
                        <w:rPr>
                          <w:b/>
                          <w:bCs/>
                        </w:rPr>
                      </w:pPr>
                      <w:r>
                        <w:rPr>
                          <w:rStyle w:val="Textoennegrita"/>
                          <w:rFonts w:ascii="Arial" w:hAnsi="Arial" w:cs="Arial"/>
                          <w:b w:val="0"/>
                          <w:bCs w:val="0"/>
                          <w:color w:val="292F33"/>
                          <w:sz w:val="32"/>
                          <w:szCs w:val="32"/>
                        </w:rPr>
                        <w:t>299.0K</w:t>
                      </w:r>
                    </w:p>
                    <w:p w:rsidR="00E87599" w:rsidRPr="00336D13" w:rsidRDefault="00E87599" w:rsidP="005D7187">
                      <w:pPr>
                        <w:rPr>
                          <w:b/>
                          <w:bCs/>
                        </w:rPr>
                      </w:pPr>
                      <w:r>
                        <w:t>I</w:t>
                      </w:r>
                      <w:r w:rsidRPr="00336D13">
                        <w:t>mpresiones</w:t>
                      </w:r>
                    </w:p>
                    <w:p w:rsidR="00E87599" w:rsidRPr="001E6862" w:rsidRDefault="00E87599" w:rsidP="00546058">
                      <w:pPr>
                        <w:ind w:left="142" w:hanging="142"/>
                        <w:rPr>
                          <w:rFonts w:ascii="Calibri" w:hAnsi="Calibri" w:cs="Calibri"/>
                          <w:b/>
                        </w:rPr>
                      </w:pPr>
                    </w:p>
                  </w:txbxContent>
                </v:textbox>
                <w10:wrap type="square" anchorx="margin"/>
              </v:shape>
            </w:pict>
          </mc:Fallback>
        </mc:AlternateContent>
      </w:r>
      <w:r>
        <w:rPr>
          <w:noProof/>
        </w:rPr>
        <w:drawing>
          <wp:anchor distT="0" distB="0" distL="114300" distR="114300" simplePos="0" relativeHeight="251732992" behindDoc="0" locked="0" layoutInCell="1" allowOverlap="1" wp14:anchorId="52A9672C" wp14:editId="47E7EC1C">
            <wp:simplePos x="0" y="0"/>
            <wp:positionH relativeFrom="margin">
              <wp:align>right</wp:align>
            </wp:positionH>
            <wp:positionV relativeFrom="paragraph">
              <wp:posOffset>255905</wp:posOffset>
            </wp:positionV>
            <wp:extent cx="2828925" cy="1379855"/>
            <wp:effectExtent l="0" t="0" r="9525" b="0"/>
            <wp:wrapSquare wrapText="bothSides"/>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extLst>
                        <a:ext uri="{28A0092B-C50C-407E-A947-70E740481C1C}">
                          <a14:useLocalDpi xmlns:a14="http://schemas.microsoft.com/office/drawing/2010/main" val="0"/>
                        </a:ext>
                      </a:extLst>
                    </a:blip>
                    <a:srcRect l="23093" t="42648" r="25170" b="12476"/>
                    <a:stretch/>
                  </pic:blipFill>
                  <pic:spPr bwMode="auto">
                    <a:xfrm>
                      <a:off x="0" y="0"/>
                      <a:ext cx="2828925" cy="1379855"/>
                    </a:xfrm>
                    <a:prstGeom prst="rect">
                      <a:avLst/>
                    </a:prstGeom>
                    <a:ln>
                      <a:noFill/>
                    </a:ln>
                    <a:extLst>
                      <a:ext uri="{53640926-AAD7-44D8-BBD7-CCE9431645EC}">
                        <a14:shadowObscured xmlns:a14="http://schemas.microsoft.com/office/drawing/2010/main"/>
                      </a:ext>
                    </a:extLst>
                  </pic:spPr>
                </pic:pic>
              </a:graphicData>
            </a:graphic>
          </wp:anchor>
        </w:drawing>
      </w:r>
    </w:p>
    <w:p w:rsidR="00546058" w:rsidRDefault="00546058" w:rsidP="00546058">
      <w:pPr>
        <w:rPr>
          <w:b/>
          <w:sz w:val="28"/>
          <w:szCs w:val="28"/>
        </w:rPr>
      </w:pPr>
    </w:p>
    <w:p w:rsidR="00546058" w:rsidRDefault="00546058" w:rsidP="00546058">
      <w:pPr>
        <w:rPr>
          <w:b/>
          <w:sz w:val="28"/>
          <w:szCs w:val="28"/>
        </w:rPr>
      </w:pPr>
    </w:p>
    <w:p w:rsidR="00546058" w:rsidRDefault="00546058" w:rsidP="00546058">
      <w:pPr>
        <w:rPr>
          <w:b/>
          <w:sz w:val="28"/>
          <w:szCs w:val="28"/>
        </w:rPr>
      </w:pPr>
    </w:p>
    <w:p w:rsidR="00546058" w:rsidRDefault="00546058" w:rsidP="00546058">
      <w:pPr>
        <w:rPr>
          <w:b/>
          <w:sz w:val="28"/>
          <w:szCs w:val="28"/>
        </w:rPr>
      </w:pPr>
    </w:p>
    <w:p w:rsidR="00546058" w:rsidRDefault="00546058" w:rsidP="00546058">
      <w:pPr>
        <w:rPr>
          <w:b/>
          <w:sz w:val="28"/>
          <w:szCs w:val="28"/>
        </w:rPr>
      </w:pPr>
    </w:p>
    <w:p w:rsidR="00546058" w:rsidRPr="001C1FFC" w:rsidRDefault="00546058" w:rsidP="00546058">
      <w:pPr>
        <w:rPr>
          <w:b/>
          <w:sz w:val="24"/>
          <w:szCs w:val="24"/>
        </w:rPr>
      </w:pPr>
      <w:r w:rsidRPr="001C1FFC">
        <w:rPr>
          <w:b/>
          <w:sz w:val="24"/>
          <w:szCs w:val="24"/>
        </w:rPr>
        <w:t>Día Mundial del Donante de Médula. Iniciativa online</w:t>
      </w:r>
    </w:p>
    <w:tbl>
      <w:tblPr>
        <w:tblW w:w="8505" w:type="dxa"/>
        <w:tblCellMar>
          <w:left w:w="70" w:type="dxa"/>
          <w:right w:w="70" w:type="dxa"/>
        </w:tblCellMar>
        <w:tblLook w:val="04A0" w:firstRow="1" w:lastRow="0" w:firstColumn="1" w:lastColumn="0" w:noHBand="0" w:noVBand="1"/>
      </w:tblPr>
      <w:tblGrid>
        <w:gridCol w:w="8505"/>
      </w:tblGrid>
      <w:tr w:rsidR="00546058" w:rsidRPr="00794FB4" w:rsidTr="00546058">
        <w:trPr>
          <w:trHeight w:val="285"/>
        </w:trPr>
        <w:tc>
          <w:tcPr>
            <w:tcW w:w="8505" w:type="dxa"/>
            <w:tcBorders>
              <w:top w:val="nil"/>
              <w:left w:val="nil"/>
              <w:bottom w:val="nil"/>
              <w:right w:val="nil"/>
            </w:tcBorders>
            <w:shd w:val="clear" w:color="auto" w:fill="auto"/>
            <w:noWrap/>
            <w:vAlign w:val="bottom"/>
            <w:hideMark/>
          </w:tcPr>
          <w:p w:rsidR="00546058" w:rsidRDefault="00546058" w:rsidP="00546058">
            <w:pPr>
              <w:rPr>
                <w:rFonts w:cs="Arial"/>
                <w:color w:val="000000"/>
              </w:rPr>
            </w:pPr>
            <w:r w:rsidRPr="00774318">
              <w:rPr>
                <w:rFonts w:cs="Arial"/>
                <w:color w:val="000000"/>
              </w:rPr>
              <w:t>Este año 2020 ante la imposibilidad de realizar el ya tradicional acto de agradecimiento con motivo del Día Mundial del Donante de Médula Ósea, 19 de septiembre, decidimos poner en marcha una iniciativa online. Se trataba de conseguir el apoyo de determinados ayuntamientos y entidades a nuestra campaña de donación de médula “Cambia su historia” para, a través de sus espacios web</w:t>
            </w:r>
            <w:r>
              <w:rPr>
                <w:rFonts w:cs="Arial"/>
                <w:color w:val="000000"/>
              </w:rPr>
              <w:t xml:space="preserve"> (con banners)</w:t>
            </w:r>
            <w:r w:rsidRPr="00774318">
              <w:rPr>
                <w:rFonts w:cs="Arial"/>
                <w:color w:val="000000"/>
              </w:rPr>
              <w:t>, sus redes sociales</w:t>
            </w:r>
            <w:r>
              <w:rPr>
                <w:rFonts w:cs="Arial"/>
                <w:color w:val="000000"/>
              </w:rPr>
              <w:t xml:space="preserve"> (tuits de apoyo)</w:t>
            </w:r>
            <w:r w:rsidRPr="00774318">
              <w:rPr>
                <w:rFonts w:cs="Arial"/>
                <w:color w:val="000000"/>
              </w:rPr>
              <w:t xml:space="preserve"> y los medios locales </w:t>
            </w:r>
            <w:r>
              <w:rPr>
                <w:rFonts w:cs="Arial"/>
                <w:color w:val="000000"/>
              </w:rPr>
              <w:t>(con notas de prensa)</w:t>
            </w:r>
            <w:r w:rsidRPr="00774318">
              <w:rPr>
                <w:rFonts w:cs="Arial"/>
                <w:color w:val="000000"/>
              </w:rPr>
              <w:t xml:space="preserve">, acercarnos a los jóvenes de sus municipios, en el caso de los ayuntamientos, y a los jóvenes del ámbito de influencia de las distintas entidades. </w:t>
            </w:r>
          </w:p>
          <w:p w:rsidR="00546058" w:rsidRDefault="00546058" w:rsidP="00546058">
            <w:pPr>
              <w:rPr>
                <w:rFonts w:cs="Arial"/>
                <w:color w:val="000000"/>
              </w:rPr>
            </w:pPr>
          </w:p>
          <w:p w:rsidR="001C1FFC" w:rsidRDefault="00546058" w:rsidP="00546058">
            <w:pPr>
              <w:rPr>
                <w:noProof/>
              </w:rPr>
            </w:pPr>
            <w:r>
              <w:rPr>
                <w:rFonts w:cs="Arial"/>
                <w:color w:val="000000"/>
              </w:rPr>
              <w:t>Participaron 17 ayuntamientos y distintas entidades como Globlalbia, universidades como la UPM, la UAH o el Colegio Alhucemas y Protección Civil de Madrid.</w:t>
            </w:r>
            <w:r w:rsidR="001C1FFC">
              <w:rPr>
                <w:noProof/>
              </w:rPr>
              <w:t xml:space="preserve"> </w:t>
            </w:r>
          </w:p>
          <w:p w:rsidR="001C1FFC" w:rsidRDefault="001C1FFC" w:rsidP="00546058">
            <w:pPr>
              <w:rPr>
                <w:noProof/>
              </w:rPr>
            </w:pPr>
          </w:p>
          <w:p w:rsidR="00546058" w:rsidRDefault="001C1FFC" w:rsidP="00546058">
            <w:pPr>
              <w:rPr>
                <w:rFonts w:cs="Arial"/>
                <w:color w:val="000000"/>
              </w:rPr>
            </w:pPr>
            <w:r>
              <w:rPr>
                <w:noProof/>
              </w:rPr>
              <w:lastRenderedPageBreak/>
              <w:drawing>
                <wp:inline distT="0" distB="0" distL="0" distR="0" wp14:anchorId="24DF76A4" wp14:editId="2BD743B3">
                  <wp:extent cx="3385428" cy="1983180"/>
                  <wp:effectExtent l="0" t="0" r="5715"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screen">
                            <a:extLst>
                              <a:ext uri="{28A0092B-C50C-407E-A947-70E740481C1C}">
                                <a14:useLocalDpi xmlns:a14="http://schemas.microsoft.com/office/drawing/2010/main" val="0"/>
                              </a:ext>
                            </a:extLst>
                          </a:blip>
                          <a:srcRect l="22377" t="21006" r="17114" b="15977"/>
                          <a:stretch/>
                        </pic:blipFill>
                        <pic:spPr bwMode="auto">
                          <a:xfrm>
                            <a:off x="0" y="0"/>
                            <a:ext cx="3420536" cy="2003746"/>
                          </a:xfrm>
                          <a:prstGeom prst="rect">
                            <a:avLst/>
                          </a:prstGeom>
                          <a:ln>
                            <a:noFill/>
                          </a:ln>
                          <a:extLst>
                            <a:ext uri="{53640926-AAD7-44D8-BBD7-CCE9431645EC}">
                              <a14:shadowObscured xmlns:a14="http://schemas.microsoft.com/office/drawing/2010/main"/>
                            </a:ext>
                          </a:extLst>
                        </pic:spPr>
                      </pic:pic>
                    </a:graphicData>
                  </a:graphic>
                </wp:inline>
              </w:drawing>
            </w:r>
            <w:r w:rsidRPr="00B32F7F">
              <w:rPr>
                <w:rFonts w:ascii="Calibri" w:hAnsi="Calibri"/>
                <w:noProof/>
                <w:sz w:val="28"/>
                <w:szCs w:val="28"/>
              </w:rPr>
              <mc:AlternateContent>
                <mc:Choice Requires="wpg">
                  <w:drawing>
                    <wp:inline distT="0" distB="0" distL="0" distR="0" wp14:anchorId="2D4DD97E" wp14:editId="1E9D7FD5">
                      <wp:extent cx="1835150" cy="2166010"/>
                      <wp:effectExtent l="0" t="0" r="0" b="5715"/>
                      <wp:docPr id="225" name="Grupo 225"/>
                      <wp:cNvGraphicFramePr/>
                      <a:graphic xmlns:a="http://schemas.openxmlformats.org/drawingml/2006/main">
                        <a:graphicData uri="http://schemas.microsoft.com/office/word/2010/wordprocessingGroup">
                          <wpg:wgp>
                            <wpg:cNvGrpSpPr/>
                            <wpg:grpSpPr>
                              <a:xfrm>
                                <a:off x="0" y="0"/>
                                <a:ext cx="1835150" cy="2166010"/>
                                <a:chOff x="-235039" y="-6030238"/>
                                <a:chExt cx="2750023" cy="16981411"/>
                              </a:xfrm>
                            </wpg:grpSpPr>
                            <wps:wsp>
                              <wps:cNvPr id="226" name="Autoforma 14"/>
                              <wps:cNvSpPr>
                                <a:spLocks noChangeArrowheads="1"/>
                              </wps:cNvSpPr>
                              <wps:spPr bwMode="auto">
                                <a:xfrm>
                                  <a:off x="-235039" y="-6030238"/>
                                  <a:ext cx="2750023" cy="16981411"/>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1C1FFC">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1C1FFC">
                                    <w:pPr>
                                      <w:rPr>
                                        <w:rFonts w:ascii="Calibri" w:hAnsi="Calibri" w:cs="Calibri"/>
                                        <w:sz w:val="18"/>
                                        <w:szCs w:val="18"/>
                                      </w:rPr>
                                    </w:pPr>
                                    <w:r w:rsidRPr="001C1FFC">
                                      <w:rPr>
                                        <w:rFonts w:ascii="Calibri" w:hAnsi="Calibri" w:cs="Calibri"/>
                                        <w:sz w:val="18"/>
                                        <w:szCs w:val="18"/>
                                      </w:rPr>
                                      <w:t>Alcalá Hoy, Dejóvenes, Soy de, Leganés activo, Noticias para municipios, Dream Alcalá, Telemadrid, Onda Cero, Cope de la Sierra, Canal Norte TV, UAH, Soy de , Aquí en la Sierra, Cadena Ser, RNE</w:t>
                                    </w:r>
                                  </w:p>
                                  <w:p w:rsidR="00E87599" w:rsidRPr="00EC24CE" w:rsidRDefault="00E87599" w:rsidP="001C1FFC">
                                    <w:pPr>
                                      <w:rPr>
                                        <w:sz w:val="18"/>
                                        <w:szCs w:val="18"/>
                                      </w:rPr>
                                    </w:pPr>
                                  </w:p>
                                  <w:p w:rsidR="00E87599" w:rsidRDefault="00E87599" w:rsidP="001C1FFC">
                                    <w:pPr>
                                      <w:rPr>
                                        <w:color w:val="44546A" w:themeColor="text2"/>
                                      </w:rPr>
                                    </w:pPr>
                                  </w:p>
                                </w:txbxContent>
                              </wps:txbx>
                              <wps:bodyPr rot="0" vert="horz" wrap="square" lIns="182880" tIns="457200" rIns="182880" bIns="73152" anchor="t" anchorCtr="0" upright="1">
                                <a:noAutofit/>
                              </wps:bodyPr>
                            </wps:wsp>
                            <wps:wsp>
                              <wps:cNvPr id="227" name="Rectángulo 227"/>
                              <wps:cNvSpPr/>
                              <wps:spPr>
                                <a:xfrm>
                                  <a:off x="-8595" y="-2838540"/>
                                  <a:ext cx="2463717" cy="56488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1C1FF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28" name="Rectángulo 228"/>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1C1FF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w14:anchorId="2D4DD97E" id="Grupo 225" o:spid="_x0000_s1075" style="width:144.5pt;height:170.55pt;mso-position-horizontal-relative:char;mso-position-vertical-relative:line" coordorigin="-2350,-60302" coordsize="27500,16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">
                      <v:rect id="Autoforma 14" o:spid="_x0000_s1076" style="position:absolute;left:-2350;top:-60302;width:27499;height:169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" fillcolor="white [3212]" stroked="f" strokeweight="1.25pt">
                        <v:textbox inset="14.4pt,36pt,14.4pt,5.76pt">
                          <w:txbxContent>
                            <w:p w:rsidR="00E87599" w:rsidRPr="004A5402" w:rsidRDefault="00E87599" w:rsidP="001C1FFC">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1C1FFC">
                              <w:pPr>
                                <w:rPr>
                                  <w:rFonts w:ascii="Calibri" w:hAnsi="Calibri" w:cs="Calibri"/>
                                  <w:sz w:val="18"/>
                                  <w:szCs w:val="18"/>
                                </w:rPr>
                              </w:pPr>
                              <w:r w:rsidRPr="001C1FFC">
                                <w:rPr>
                                  <w:rFonts w:ascii="Calibri" w:hAnsi="Calibri" w:cs="Calibri"/>
                                  <w:sz w:val="18"/>
                                  <w:szCs w:val="18"/>
                                </w:rPr>
                                <w:t>Alcalá Hoy, Dejóvenes, Soy de, Leganés activo, Noticias para municipios, Dream Alcalá, Telemadrid, Onda Cero, Cope de la Sierra, Canal Norte TV, UAH, Soy de , Aquí en la Sierra, Cadena Ser, RNE</w:t>
                              </w:r>
                            </w:p>
                            <w:p w:rsidR="00E87599" w:rsidRPr="00EC24CE" w:rsidRDefault="00E87599" w:rsidP="001C1FFC">
                              <w:pPr>
                                <w:rPr>
                                  <w:sz w:val="18"/>
                                  <w:szCs w:val="18"/>
                                </w:rPr>
                              </w:pPr>
                            </w:p>
                            <w:p w:rsidR="00E87599" w:rsidRDefault="00E87599" w:rsidP="001C1FFC">
                              <w:pPr>
                                <w:rPr>
                                  <w:color w:val="44546A" w:themeColor="text2"/>
                                </w:rPr>
                              </w:pPr>
                            </w:p>
                          </w:txbxContent>
                        </v:textbox>
                      </v:rect>
                      <v:rect id="Rectángulo 227" o:spid="_x0000_s1077" style="position:absolute;left:-85;top:-28385;width:24636;height:56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" fillcolor="#44546a [3215]" stroked="f" strokeweight="1pt">
                        <v:textbox inset="14.4pt,14.4pt,14.4pt,28.8pt">
                          <w:txbxContent>
                            <w:p w:rsidR="00E87599" w:rsidRDefault="00E87599" w:rsidP="001C1FFC">
                              <w:pPr>
                                <w:spacing w:before="240"/>
                                <w:rPr>
                                  <w:color w:val="FFFFFF" w:themeColor="background1"/>
                                </w:rPr>
                              </w:pPr>
                            </w:p>
                          </w:txbxContent>
                        </v:textbox>
                      </v:rect>
                      <v:rect id="Rectángulo 228" o:spid="_x0000_s1078"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" fillcolor="#5b9bd5 [3204]" stroked="f" strokeweight="1pt">
                        <v:textbox inset="14.4pt,14.4pt,14.4pt,28.8pt">
                          <w:txbxContent>
                            <w:p w:rsidR="00E87599" w:rsidRDefault="00E87599" w:rsidP="001C1FFC">
                              <w:pPr>
                                <w:spacing w:before="240"/>
                                <w:rPr>
                                  <w:color w:val="FFFFFF" w:themeColor="background1"/>
                                </w:rPr>
                              </w:pPr>
                            </w:p>
                          </w:txbxContent>
                        </v:textbox>
                      </v:rect>
                      <w10:anchorlock/>
                    </v:group>
                  </w:pict>
                </mc:Fallback>
              </mc:AlternateContent>
            </w:r>
          </w:p>
          <w:p w:rsidR="00546058" w:rsidRDefault="00546058" w:rsidP="00546058">
            <w:pPr>
              <w:rPr>
                <w:rFonts w:cs="Arial"/>
                <w:color w:val="000000"/>
              </w:rPr>
            </w:pPr>
          </w:p>
          <w:p w:rsidR="00546058" w:rsidRDefault="00546058" w:rsidP="00546058">
            <w:pPr>
              <w:rPr>
                <w:rFonts w:cs="Arial"/>
                <w:b/>
                <w:color w:val="000000"/>
              </w:rPr>
            </w:pPr>
          </w:p>
          <w:p w:rsidR="00546058" w:rsidRPr="001C1FFC" w:rsidRDefault="00546058" w:rsidP="00546058">
            <w:pPr>
              <w:rPr>
                <w:rFonts w:cs="Arial"/>
                <w:b/>
                <w:color w:val="000000"/>
                <w:sz w:val="24"/>
                <w:szCs w:val="24"/>
              </w:rPr>
            </w:pPr>
            <w:r w:rsidRPr="001C1FFC">
              <w:rPr>
                <w:rFonts w:cs="Arial"/>
                <w:b/>
                <w:color w:val="000000"/>
                <w:sz w:val="24"/>
                <w:szCs w:val="24"/>
              </w:rPr>
              <w:t xml:space="preserve">Durante la semana del 14 al 20 de septiembre se recibieron en el Centro de Transfusión 350 formularios, más del triple de lo habitual en ese momento. </w:t>
            </w:r>
          </w:p>
          <w:p w:rsidR="00546058" w:rsidRDefault="00546058" w:rsidP="00546058">
            <w:pPr>
              <w:rPr>
                <w:rFonts w:cs="Arial"/>
                <w:color w:val="000000"/>
              </w:rPr>
            </w:pPr>
          </w:p>
          <w:p w:rsidR="00546058" w:rsidRDefault="00546058" w:rsidP="00546058">
            <w:pPr>
              <w:rPr>
                <w:rFonts w:cs="Arial"/>
                <w:color w:val="000000"/>
              </w:rPr>
            </w:pPr>
            <w:r w:rsidRPr="00EA7377">
              <w:rPr>
                <w:rFonts w:cs="Arial"/>
                <w:color w:val="000000"/>
              </w:rPr>
              <w:t>El perfil de twitter @equipomedula publicó</w:t>
            </w:r>
            <w:r>
              <w:rPr>
                <w:rFonts w:cs="Arial"/>
                <w:color w:val="000000"/>
              </w:rPr>
              <w:t xml:space="preserve"> </w:t>
            </w:r>
            <w:r w:rsidRPr="00EA7377">
              <w:rPr>
                <w:rFonts w:cs="Arial"/>
                <w:color w:val="000000"/>
              </w:rPr>
              <w:t>120 tuits durante la semana del 14 al 19,</w:t>
            </w:r>
            <w:r w:rsidRPr="00770832">
              <w:rPr>
                <w:rFonts w:ascii="Arial" w:hAnsi="Arial" w:cs="Arial"/>
                <w:noProof/>
                <w:color w:val="000000"/>
              </w:rPr>
              <w:t xml:space="preserve"> </w:t>
            </w:r>
            <w:r>
              <w:rPr>
                <w:rFonts w:cs="Arial"/>
                <w:color w:val="000000"/>
              </w:rPr>
              <w:t>sumando 77.200 impresiones</w:t>
            </w:r>
            <w:r w:rsidRPr="00EA7377">
              <w:rPr>
                <w:rFonts w:cs="Arial"/>
                <w:color w:val="000000"/>
              </w:rPr>
              <w:t>. Durante el mes de septiembre los</w:t>
            </w:r>
            <w:r>
              <w:rPr>
                <w:rFonts w:cs="Arial"/>
                <w:color w:val="000000"/>
              </w:rPr>
              <w:t xml:space="preserve"> </w:t>
            </w:r>
            <w:r w:rsidRPr="00EA7377">
              <w:rPr>
                <w:rFonts w:cs="Arial"/>
                <w:color w:val="000000"/>
              </w:rPr>
              <w:t>tuits publicados alcanzaron 129.000</w:t>
            </w:r>
            <w:r>
              <w:rPr>
                <w:rFonts w:cs="Arial"/>
                <w:color w:val="000000"/>
              </w:rPr>
              <w:t xml:space="preserve"> </w:t>
            </w:r>
            <w:r w:rsidRPr="00EA7377">
              <w:rPr>
                <w:rFonts w:cs="Arial"/>
                <w:color w:val="000000"/>
              </w:rPr>
              <w:t>impresiones, el doble que en el mes de julio,</w:t>
            </w:r>
            <w:r>
              <w:rPr>
                <w:rFonts w:cs="Arial"/>
                <w:color w:val="000000"/>
              </w:rPr>
              <w:t xml:space="preserve"> </w:t>
            </w:r>
            <w:r w:rsidRPr="00EA7377">
              <w:rPr>
                <w:rFonts w:cs="Arial"/>
                <w:color w:val="000000"/>
              </w:rPr>
              <w:t>casi se han cuadriplicado las visitas y las</w:t>
            </w:r>
            <w:r>
              <w:rPr>
                <w:rFonts w:cs="Arial"/>
                <w:color w:val="000000"/>
              </w:rPr>
              <w:t xml:space="preserve"> </w:t>
            </w:r>
            <w:r w:rsidRPr="00EA7377">
              <w:rPr>
                <w:rFonts w:cs="Arial"/>
                <w:color w:val="000000"/>
              </w:rPr>
              <w:t>menciones y se han triplicado el número de</w:t>
            </w:r>
            <w:r>
              <w:rPr>
                <w:rFonts w:cs="Arial"/>
                <w:color w:val="000000"/>
              </w:rPr>
              <w:t xml:space="preserve"> </w:t>
            </w:r>
            <w:r w:rsidRPr="00EA7377">
              <w:rPr>
                <w:rFonts w:cs="Arial"/>
                <w:color w:val="000000"/>
              </w:rPr>
              <w:t>nuevos seguidores. El perfil @equipomedula</w:t>
            </w:r>
            <w:r>
              <w:rPr>
                <w:rFonts w:cs="Arial"/>
                <w:color w:val="000000"/>
              </w:rPr>
              <w:t xml:space="preserve"> </w:t>
            </w:r>
            <w:r w:rsidRPr="00EA7377">
              <w:rPr>
                <w:rFonts w:cs="Arial"/>
                <w:color w:val="000000"/>
              </w:rPr>
              <w:t>de Instagram subió además 21 publicaciones.</w:t>
            </w:r>
          </w:p>
          <w:p w:rsidR="00546058" w:rsidRDefault="00546058" w:rsidP="00546058">
            <w:pPr>
              <w:rPr>
                <w:rFonts w:cs="Arial"/>
                <w:color w:val="000000"/>
              </w:rPr>
            </w:pPr>
          </w:p>
          <w:p w:rsidR="00546058" w:rsidRDefault="00546058" w:rsidP="00546058">
            <w:pPr>
              <w:rPr>
                <w:rFonts w:ascii="Arial" w:hAnsi="Arial" w:cs="Arial"/>
                <w:color w:val="000000"/>
              </w:rPr>
            </w:pPr>
          </w:p>
          <w:p w:rsidR="00546058" w:rsidRPr="001C1FFC" w:rsidRDefault="00546058" w:rsidP="00546058">
            <w:pPr>
              <w:rPr>
                <w:rFonts w:cs="Arial"/>
                <w:b/>
                <w:color w:val="000000"/>
                <w:sz w:val="24"/>
                <w:szCs w:val="24"/>
              </w:rPr>
            </w:pPr>
            <w:r w:rsidRPr="001C1FFC">
              <w:rPr>
                <w:rFonts w:cs="Arial"/>
                <w:b/>
                <w:color w:val="000000"/>
                <w:sz w:val="24"/>
                <w:szCs w:val="24"/>
              </w:rPr>
              <w:t>Evento CC Madrid Río. Campaña Un mach x una vida</w:t>
            </w:r>
          </w:p>
          <w:p w:rsidR="00546058" w:rsidRDefault="00546058" w:rsidP="00546058">
            <w:pPr>
              <w:rPr>
                <w:rFonts w:ascii="Arial" w:hAnsi="Arial" w:cs="Arial"/>
                <w:color w:val="000000"/>
              </w:rPr>
            </w:pPr>
          </w:p>
          <w:p w:rsidR="00546058" w:rsidRPr="003277CC" w:rsidRDefault="00546058" w:rsidP="00546058">
            <w:pPr>
              <w:rPr>
                <w:rFonts w:cs="Arial"/>
                <w:color w:val="000000"/>
              </w:rPr>
            </w:pPr>
            <w:r w:rsidRPr="003277CC">
              <w:rPr>
                <w:rFonts w:cs="Arial"/>
                <w:color w:val="000000"/>
              </w:rPr>
              <w:t xml:space="preserve">El 10 de enero Equipo Médula montó un dispositivo en el CC Madrid Río con el fin de contribuir a la promoción de la Campaña Un Match x una vida puesta en marcha por la ONT. Aprovechamos para hacer el balance de nuevos donantes registrados en 2019 y difundir que habíamos alcanzado el objetivo 7000. </w:t>
            </w:r>
          </w:p>
          <w:p w:rsidR="00546058" w:rsidRDefault="001C1FFC" w:rsidP="00546058">
            <w:pPr>
              <w:rPr>
                <w:rFonts w:ascii="Arial" w:hAnsi="Arial" w:cs="Arial"/>
                <w:color w:val="000000"/>
              </w:rPr>
            </w:pPr>
            <w:r>
              <w:rPr>
                <w:rFonts w:ascii="Arial" w:hAnsi="Arial" w:cs="Arial"/>
                <w:noProof/>
                <w:color w:val="000000"/>
              </w:rPr>
              <w:lastRenderedPageBreak/>
              <w:drawing>
                <wp:inline distT="0" distB="0" distL="0" distR="0" wp14:anchorId="4A7EBBED" wp14:editId="7AFC60F0">
                  <wp:extent cx="3229695" cy="1816925"/>
                  <wp:effectExtent l="0" t="0" r="889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vlcsnap-2021-12-13-09h20m34s262.png"/>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3235887" cy="1820408"/>
                          </a:xfrm>
                          <a:prstGeom prst="rect">
                            <a:avLst/>
                          </a:prstGeom>
                        </pic:spPr>
                      </pic:pic>
                    </a:graphicData>
                  </a:graphic>
                </wp:inline>
              </w:drawing>
            </w:r>
            <w:r w:rsidR="00546058" w:rsidRPr="00B32F7F">
              <w:rPr>
                <w:rFonts w:ascii="Calibri" w:hAnsi="Calibri"/>
                <w:noProof/>
                <w:sz w:val="28"/>
                <w:szCs w:val="28"/>
              </w:rPr>
              <mc:AlternateContent>
                <mc:Choice Requires="wpg">
                  <w:drawing>
                    <wp:inline distT="0" distB="0" distL="0" distR="0">
                      <wp:extent cx="1835150" cy="1847479"/>
                      <wp:effectExtent l="0" t="0" r="0" b="635"/>
                      <wp:docPr id="236" name="Grupo 236"/>
                      <wp:cNvGraphicFramePr/>
                      <a:graphic xmlns:a="http://schemas.openxmlformats.org/drawingml/2006/main">
                        <a:graphicData uri="http://schemas.microsoft.com/office/word/2010/wordprocessingGroup">
                          <wpg:wgp>
                            <wpg:cNvGrpSpPr/>
                            <wpg:grpSpPr>
                              <a:xfrm>
                                <a:off x="0" y="0"/>
                                <a:ext cx="1835150" cy="1847479"/>
                                <a:chOff x="-270629" y="-5690629"/>
                                <a:chExt cx="2750023" cy="14909329"/>
                              </a:xfrm>
                            </wpg:grpSpPr>
                            <wps:wsp>
                              <wps:cNvPr id="237" name="Autoforma 14"/>
                              <wps:cNvSpPr>
                                <a:spLocks noChangeArrowheads="1"/>
                              </wps:cNvSpPr>
                              <wps:spPr bwMode="auto">
                                <a:xfrm>
                                  <a:off x="-270629" y="-5690629"/>
                                  <a:ext cx="2750023" cy="14471083"/>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546058">
                                    <w:pPr>
                                      <w:rPr>
                                        <w:rFonts w:ascii="Calibri" w:hAnsi="Calibri" w:cs="Calibri"/>
                                        <w:color w:val="44546A" w:themeColor="text2"/>
                                      </w:rPr>
                                    </w:pPr>
                                    <w:r w:rsidRPr="001C1FFC">
                                      <w:rPr>
                                        <w:rFonts w:ascii="Calibri" w:hAnsi="Calibri" w:cs="Calibri"/>
                                        <w:szCs w:val="20"/>
                                      </w:rPr>
                                      <w:t>Onda Cero, Cadena Ser, TVE, RNE, Esradio, Madrid Actual, La Vanguardia, Siglo XXI, Diario de Pozuelo, Gacetín de Madrid.</w:t>
                                    </w:r>
                                  </w:p>
                                </w:txbxContent>
                              </wps:txbx>
                              <wps:bodyPr rot="0" vert="horz" wrap="square" lIns="182880" tIns="457200" rIns="182880" bIns="73152" anchor="t" anchorCtr="0" upright="1">
                                <a:noAutofit/>
                              </wps:bodyPr>
                            </wps:wsp>
                            <wps:wsp>
                              <wps:cNvPr id="241" name="Rectángulo 241"/>
                              <wps:cNvSpPr/>
                              <wps:spPr>
                                <a:xfrm>
                                  <a:off x="-8595" y="-2838540"/>
                                  <a:ext cx="2463717" cy="56488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2" name="Rectángulo 242"/>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54605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id="Grupo 236" o:spid="_x0000_s1079" style="width:144.5pt;height:145.45pt;mso-position-horizontal-relative:char;mso-position-vertical-relative:line" coordorigin="-2706,-56906" coordsize="27500,14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">
                      <v:rect id="Autoforma 14" o:spid="_x0000_s1080" style="position:absolute;left:-2706;top:-56906;width:27499;height:144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" fillcolor="white [3212]" stroked="f" strokeweight="1.25pt">
                        <v:textbox inset="14.4pt,36pt,14.4pt,5.76pt">
                          <w:txbxContent>
                            <w:p w:rsidR="00E87599" w:rsidRPr="004A5402" w:rsidRDefault="00E87599" w:rsidP="00546058">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546058">
                              <w:pPr>
                                <w:rPr>
                                  <w:rFonts w:ascii="Calibri" w:hAnsi="Calibri" w:cs="Calibri"/>
                                  <w:color w:val="44546A" w:themeColor="text2"/>
                                </w:rPr>
                              </w:pPr>
                              <w:r w:rsidRPr="001C1FFC">
                                <w:rPr>
                                  <w:rFonts w:ascii="Calibri" w:hAnsi="Calibri" w:cs="Calibri"/>
                                  <w:szCs w:val="20"/>
                                </w:rPr>
                                <w:t>Onda Cero, Cadena Ser, TVE, RNE, Esradio, Madrid Actual, La Vanguardia, Siglo XXI, Diario de Pozuelo, Gacetín de Madrid.</w:t>
                              </w:r>
                            </w:p>
                          </w:txbxContent>
                        </v:textbox>
                      </v:rect>
                      <v:rect id="Rectángulo 241" o:spid="_x0000_s1081" style="position:absolute;left:-85;top:-28385;width:24636;height:56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" fillcolor="#44546a [3215]" stroked="f" strokeweight="1pt">
                        <v:textbox inset="14.4pt,14.4pt,14.4pt,28.8pt">
                          <w:txbxContent>
                            <w:p w:rsidR="00E87599" w:rsidRDefault="00E87599" w:rsidP="00546058">
                              <w:pPr>
                                <w:spacing w:before="240"/>
                                <w:rPr>
                                  <w:color w:val="FFFFFF" w:themeColor="background1"/>
                                </w:rPr>
                              </w:pPr>
                            </w:p>
                          </w:txbxContent>
                        </v:textbox>
                      </v:rect>
                      <v:rect id="Rectángulo 242" o:spid="_x0000_s1082"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" fillcolor="#5b9bd5 [3204]" stroked="f" strokeweight="1pt">
                        <v:textbox inset="14.4pt,14.4pt,14.4pt,28.8pt">
                          <w:txbxContent>
                            <w:p w:rsidR="00E87599" w:rsidRDefault="00E87599" w:rsidP="00546058">
                              <w:pPr>
                                <w:spacing w:before="240"/>
                                <w:rPr>
                                  <w:color w:val="FFFFFF" w:themeColor="background1"/>
                                </w:rPr>
                              </w:pPr>
                            </w:p>
                          </w:txbxContent>
                        </v:textbox>
                      </v:rect>
                      <w10:anchorlock/>
                    </v:group>
                  </w:pict>
                </mc:Fallback>
              </mc:AlternateContent>
            </w:r>
          </w:p>
          <w:p w:rsidR="00546058" w:rsidRDefault="00546058" w:rsidP="00546058">
            <w:pPr>
              <w:rPr>
                <w:rFonts w:ascii="Arial" w:hAnsi="Arial" w:cs="Arial"/>
                <w:color w:val="000000"/>
              </w:rPr>
            </w:pPr>
          </w:p>
          <w:p w:rsidR="00546058" w:rsidRPr="00794FB4" w:rsidRDefault="00546058" w:rsidP="001C1FFC">
            <w:pPr>
              <w:rPr>
                <w:rFonts w:cs="Arial"/>
                <w:color w:val="000000"/>
              </w:rPr>
            </w:pPr>
            <w:r>
              <w:rPr>
                <w:noProof/>
              </w:rPr>
              <w:drawing>
                <wp:anchor distT="0" distB="0" distL="114300" distR="114300" simplePos="0" relativeHeight="251727872" behindDoc="0" locked="0" layoutInCell="1" allowOverlap="1" wp14:anchorId="1EEA60B0" wp14:editId="208C13A2">
                  <wp:simplePos x="0" y="0"/>
                  <wp:positionH relativeFrom="margin">
                    <wp:posOffset>15240</wp:posOffset>
                  </wp:positionH>
                  <wp:positionV relativeFrom="paragraph">
                    <wp:posOffset>147955</wp:posOffset>
                  </wp:positionV>
                  <wp:extent cx="1323975" cy="1194435"/>
                  <wp:effectExtent l="0" t="0" r="9525" b="5715"/>
                  <wp:wrapSquare wrapText="bothSides"/>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screen">
                            <a:extLst>
                              <a:ext uri="{28A0092B-C50C-407E-A947-70E740481C1C}">
                                <a14:useLocalDpi xmlns:a14="http://schemas.microsoft.com/office/drawing/2010/main" val="0"/>
                              </a:ext>
                            </a:extLst>
                          </a:blip>
                          <a:srcRect l="22377" t="10821" r="24634" b="4201"/>
                          <a:stretch/>
                        </pic:blipFill>
                        <pic:spPr bwMode="auto">
                          <a:xfrm>
                            <a:off x="0" y="0"/>
                            <a:ext cx="1323975" cy="1194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277CC">
              <w:rPr>
                <w:rFonts w:cs="Arial"/>
                <w:color w:val="000000"/>
              </w:rPr>
              <w:t>Este reportaje en El Mundo, publicado el 10 de agosto habla del trabajo realizado desde Promoción de Médula para captar donantes durante el confinamiento. Una labor reali</w:t>
            </w:r>
            <w:r>
              <w:rPr>
                <w:rFonts w:cs="Arial"/>
                <w:color w:val="000000"/>
              </w:rPr>
              <w:t>z</w:t>
            </w:r>
            <w:r w:rsidRPr="003277CC">
              <w:rPr>
                <w:rFonts w:cs="Arial"/>
                <w:color w:val="000000"/>
              </w:rPr>
              <w:t>ada a base de contactar cada día vía whatsapp con los donantes de sangre del día anterior con el fin de</w:t>
            </w:r>
            <w:r>
              <w:rPr>
                <w:rFonts w:cs="Arial"/>
                <w:color w:val="000000"/>
              </w:rPr>
              <w:t xml:space="preserve"> que</w:t>
            </w:r>
            <w:r w:rsidRPr="003277CC">
              <w:rPr>
                <w:rFonts w:cs="Arial"/>
                <w:color w:val="000000"/>
              </w:rPr>
              <w:t>, una vez informados</w:t>
            </w:r>
            <w:r>
              <w:rPr>
                <w:rFonts w:cs="Arial"/>
                <w:color w:val="000000"/>
              </w:rPr>
              <w:t>,</w:t>
            </w:r>
            <w:r w:rsidRPr="003277CC">
              <w:rPr>
                <w:rFonts w:cs="Arial"/>
                <w:color w:val="000000"/>
              </w:rPr>
              <w:t xml:space="preserve"> si deseaban hacerse donantes, rescatar un tubo de sangre de su donación </w:t>
            </w:r>
            <w:r>
              <w:rPr>
                <w:rFonts w:cs="Arial"/>
                <w:color w:val="000000"/>
              </w:rPr>
              <w:t>del día anterior. Y así poder</w:t>
            </w:r>
            <w:r w:rsidRPr="003277CC">
              <w:rPr>
                <w:rFonts w:cs="Arial"/>
                <w:color w:val="000000"/>
              </w:rPr>
              <w:t xml:space="preserve"> registrarlo</w:t>
            </w:r>
            <w:r>
              <w:rPr>
                <w:rFonts w:cs="Arial"/>
                <w:color w:val="000000"/>
              </w:rPr>
              <w:t xml:space="preserve"> como donante</w:t>
            </w:r>
            <w:r w:rsidRPr="003277CC">
              <w:rPr>
                <w:rFonts w:cs="Arial"/>
                <w:color w:val="000000"/>
              </w:rPr>
              <w:t>. 711 personas lo hicieron.</w:t>
            </w:r>
          </w:p>
        </w:tc>
      </w:tr>
    </w:tbl>
    <w:p w:rsidR="00546058" w:rsidRDefault="00546058" w:rsidP="00546058">
      <w:pPr>
        <w:rPr>
          <w:b/>
          <w:sz w:val="28"/>
          <w:szCs w:val="28"/>
        </w:rPr>
      </w:pPr>
    </w:p>
    <w:p w:rsidR="00546058" w:rsidRPr="001C1FFC" w:rsidRDefault="00546058" w:rsidP="00546058">
      <w:pPr>
        <w:rPr>
          <w:b/>
          <w:sz w:val="24"/>
          <w:szCs w:val="24"/>
        </w:rPr>
      </w:pPr>
      <w:r w:rsidRPr="001C1FFC">
        <w:rPr>
          <w:b/>
          <w:sz w:val="24"/>
          <w:szCs w:val="24"/>
        </w:rPr>
        <w:t>Banco de tejido ovárico</w:t>
      </w:r>
    </w:p>
    <w:p w:rsidR="00546058" w:rsidRDefault="00546058" w:rsidP="00546058">
      <w:r>
        <w:t xml:space="preserve">El 25 de febrero se anunció la puesta en marcha de un programa de criopreservación de tejido ovárico </w:t>
      </w:r>
      <w:r w:rsidRPr="00280CD2">
        <w:t xml:space="preserve">para </w:t>
      </w:r>
      <w:r>
        <w:t xml:space="preserve">posibilitar </w:t>
      </w:r>
      <w:r w:rsidRPr="00280CD2">
        <w:t xml:space="preserve">a niñas y jóvenes </w:t>
      </w:r>
      <w:r>
        <w:t xml:space="preserve">la posibilidad de ser madres </w:t>
      </w:r>
      <w:r w:rsidRPr="00280CD2">
        <w:t xml:space="preserve"> después de haber padecido un cáncer</w:t>
      </w:r>
      <w:r>
        <w:t xml:space="preserve">. Participaban varios hospitales y el Centro de Transfusión, donde se procesarían y preservarían las muestras de tejido, coordinados por la Oficina Regional de Trasplantes. La presentación se hizo en el Centro de Transfusión con la visita de la presidenta Isabel Díaz Ayuso. Previamente se había grabado un vídeo del proceso, difundido a medios. </w:t>
      </w:r>
    </w:p>
    <w:p w:rsidR="00546058" w:rsidRDefault="001C1FFC" w:rsidP="00546058">
      <w:pPr>
        <w:rPr>
          <w:b/>
          <w:sz w:val="28"/>
          <w:szCs w:val="28"/>
        </w:rPr>
      </w:pPr>
      <w:r>
        <w:rPr>
          <w:noProof/>
        </w:rPr>
        <w:lastRenderedPageBreak/>
        <w:drawing>
          <wp:inline distT="0" distB="0" distL="0" distR="0" wp14:anchorId="5A02265A" wp14:editId="1F862C54">
            <wp:extent cx="2324100" cy="2695575"/>
            <wp:effectExtent l="0" t="0" r="0" b="952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screen">
                      <a:extLst>
                        <a:ext uri="{28A0092B-C50C-407E-A947-70E740481C1C}">
                          <a14:useLocalDpi xmlns:a14="http://schemas.microsoft.com/office/drawing/2010/main" val="0"/>
                        </a:ext>
                      </a:extLst>
                    </a:blip>
                    <a:srcRect l="27748" t="7320" r="28571" b="2610"/>
                    <a:stretch/>
                  </pic:blipFill>
                  <pic:spPr bwMode="auto">
                    <a:xfrm>
                      <a:off x="0" y="0"/>
                      <a:ext cx="2324100" cy="2695575"/>
                    </a:xfrm>
                    <a:prstGeom prst="rect">
                      <a:avLst/>
                    </a:prstGeom>
                    <a:ln>
                      <a:noFill/>
                    </a:ln>
                    <a:extLst>
                      <a:ext uri="{53640926-AAD7-44D8-BBD7-CCE9431645EC}">
                        <a14:shadowObscured xmlns:a14="http://schemas.microsoft.com/office/drawing/2010/main"/>
                      </a:ext>
                    </a:extLst>
                  </pic:spPr>
                </pic:pic>
              </a:graphicData>
            </a:graphic>
          </wp:inline>
        </w:drawing>
      </w:r>
      <w:r w:rsidRPr="00B32F7F">
        <w:rPr>
          <w:rFonts w:ascii="Calibri" w:hAnsi="Calibri"/>
          <w:noProof/>
          <w:sz w:val="28"/>
          <w:szCs w:val="28"/>
        </w:rPr>
        <mc:AlternateContent>
          <mc:Choice Requires="wpg">
            <w:drawing>
              <wp:inline distT="0" distB="0" distL="0" distR="0" wp14:anchorId="359B1801" wp14:editId="19F4BB21">
                <wp:extent cx="2422566" cy="1816925"/>
                <wp:effectExtent l="0" t="0" r="0" b="0"/>
                <wp:docPr id="244" name="Grupo 244"/>
                <wp:cNvGraphicFramePr/>
                <a:graphic xmlns:a="http://schemas.openxmlformats.org/drawingml/2006/main">
                  <a:graphicData uri="http://schemas.microsoft.com/office/word/2010/wordprocessingGroup">
                    <wpg:wgp>
                      <wpg:cNvGrpSpPr/>
                      <wpg:grpSpPr>
                        <a:xfrm>
                          <a:off x="0" y="0"/>
                          <a:ext cx="2422566" cy="1816925"/>
                          <a:chOff x="-146061" y="-4540608"/>
                          <a:chExt cx="2750023" cy="13759308"/>
                        </a:xfrm>
                      </wpg:grpSpPr>
                      <wps:wsp>
                        <wps:cNvPr id="245" name="Autoforma 14"/>
                        <wps:cNvSpPr>
                          <a:spLocks noChangeArrowheads="1"/>
                        </wps:cNvSpPr>
                        <wps:spPr bwMode="auto">
                          <a:xfrm>
                            <a:off x="-146061" y="-4540608"/>
                            <a:ext cx="2750023" cy="13656382"/>
                          </a:xfrm>
                          <a:prstGeom prst="rect">
                            <a:avLst/>
                          </a:prstGeom>
                          <a:solidFill>
                            <a:schemeClr val="bg1"/>
                          </a:solidFill>
                          <a:ln w="15875">
                            <a:noFill/>
                          </a:ln>
                          <a:extLst/>
                        </wps:spPr>
                        <wps:style>
                          <a:lnRef idx="0">
                            <a:scrgbClr r="0" g="0" b="0"/>
                          </a:lnRef>
                          <a:fillRef idx="1002">
                            <a:schemeClr val="lt2"/>
                          </a:fillRef>
                          <a:effectRef idx="0">
                            <a:scrgbClr r="0" g="0" b="0"/>
                          </a:effectRef>
                          <a:fontRef idx="major"/>
                        </wps:style>
                        <wps:txbx>
                          <w:txbxContent>
                            <w:p w:rsidR="00E87599" w:rsidRPr="004A5402" w:rsidRDefault="00E87599" w:rsidP="001C1FFC">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1C1FFC">
                              <w:pPr>
                                <w:rPr>
                                  <w:rFonts w:ascii="Calibri" w:hAnsi="Calibri" w:cs="Calibri"/>
                                  <w:color w:val="44546A" w:themeColor="text2"/>
                                </w:rPr>
                              </w:pPr>
                              <w:r w:rsidRPr="001C1FFC">
                                <w:rPr>
                                  <w:rFonts w:ascii="Calibri" w:hAnsi="Calibri" w:cs="Calibri"/>
                                  <w:szCs w:val="20"/>
                                </w:rPr>
                                <w:t>El País, El Mundo, ABC, La Razón, Onda Cero, Es radio, Onda Madrid, La Vanguardia, Consalud, 20 Minutos, ABC.</w:t>
                              </w:r>
                            </w:p>
                          </w:txbxContent>
                        </wps:txbx>
                        <wps:bodyPr rot="0" vert="horz" wrap="square" lIns="182880" tIns="457200" rIns="182880" bIns="73152" anchor="t" anchorCtr="0" upright="1">
                          <a:noAutofit/>
                        </wps:bodyPr>
                      </wps:wsp>
                      <wps:wsp>
                        <wps:cNvPr id="246" name="Rectángulo 246"/>
                        <wps:cNvSpPr/>
                        <wps:spPr>
                          <a:xfrm>
                            <a:off x="-8595" y="-2838540"/>
                            <a:ext cx="2463717" cy="56488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1C1FF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7" name="Rectángulo 247"/>
                        <wps:cNvSpPr/>
                        <wps:spPr>
                          <a:xfrm>
                            <a:off x="-82084" y="8922185"/>
                            <a:ext cx="2485724" cy="2965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87599" w:rsidRDefault="00E87599" w:rsidP="001C1FF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inline>
            </w:drawing>
          </mc:Choice>
          <mc:Fallback>
            <w:pict>
              <v:group w14:anchorId="359B1801" id="Grupo 244" o:spid="_x0000_s1083" style="width:190.75pt;height:143.05pt;mso-position-horizontal-relative:char;mso-position-vertical-relative:line" coordorigin="-1460,-45406" coordsize="27500,137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">
                <v:rect id="Autoforma 14" o:spid="_x0000_s1084" style="position:absolute;left:-1460;top:-45406;width:27499;height:13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" fillcolor="white [3212]" stroked="f" strokeweight="1.25pt">
                  <v:textbox inset="14.4pt,36pt,14.4pt,5.76pt">
                    <w:txbxContent>
                      <w:p w:rsidR="00E87599" w:rsidRPr="004A5402" w:rsidRDefault="00E87599" w:rsidP="001C1FFC">
                        <w:pPr>
                          <w:rPr>
                            <w:rFonts w:asciiTheme="majorHAnsi" w:eastAsiaTheme="majorEastAsia" w:hAnsiTheme="majorHAnsi" w:cstheme="majorBidi"/>
                            <w:b/>
                            <w:color w:val="5B9BD5" w:themeColor="accent1"/>
                            <w:sz w:val="28"/>
                            <w:szCs w:val="28"/>
                          </w:rPr>
                        </w:pPr>
                        <w:r>
                          <w:rPr>
                            <w:rFonts w:asciiTheme="majorHAnsi" w:eastAsiaTheme="majorEastAsia" w:hAnsiTheme="majorHAnsi" w:cstheme="majorBidi"/>
                            <w:b/>
                            <w:color w:val="5B9BD5" w:themeColor="accent1"/>
                            <w:sz w:val="28"/>
                            <w:szCs w:val="28"/>
                          </w:rPr>
                          <w:t>Impactos</w:t>
                        </w:r>
                      </w:p>
                      <w:p w:rsidR="00E87599" w:rsidRPr="001C1FFC" w:rsidRDefault="00E87599" w:rsidP="001C1FFC">
                        <w:pPr>
                          <w:rPr>
                            <w:rFonts w:ascii="Calibri" w:hAnsi="Calibri" w:cs="Calibri"/>
                            <w:color w:val="44546A" w:themeColor="text2"/>
                          </w:rPr>
                        </w:pPr>
                        <w:r w:rsidRPr="001C1FFC">
                          <w:rPr>
                            <w:rFonts w:ascii="Calibri" w:hAnsi="Calibri" w:cs="Calibri"/>
                            <w:szCs w:val="20"/>
                          </w:rPr>
                          <w:t>El País, El Mundo, ABC, La Razón, Onda Cero, Es radio, Onda Madrid, La Vanguardia, Consalud, 20 Minutos, ABC.</w:t>
                        </w:r>
                      </w:p>
                    </w:txbxContent>
                  </v:textbox>
                </v:rect>
                <v:rect id="Rectángulo 246" o:spid="_x0000_s1085" style="position:absolute;left:-85;top:-28385;width:24636;height:56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" fillcolor="#44546a [3215]" stroked="f" strokeweight="1pt">
                  <v:textbox inset="14.4pt,14.4pt,14.4pt,28.8pt">
                    <w:txbxContent>
                      <w:p w:rsidR="00E87599" w:rsidRDefault="00E87599" w:rsidP="001C1FFC">
                        <w:pPr>
                          <w:spacing w:before="240"/>
                          <w:rPr>
                            <w:color w:val="FFFFFF" w:themeColor="background1"/>
                          </w:rPr>
                        </w:pPr>
                      </w:p>
                    </w:txbxContent>
                  </v:textbox>
                </v:rect>
                <v:rect id="Rectángulo 247" o:spid="_x0000_s1086" style="position:absolute;left:-820;top:89221;width:24856;height:29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" fillcolor="#5b9bd5 [3204]" stroked="f" strokeweight="1pt">
                  <v:textbox inset="14.4pt,14.4pt,14.4pt,28.8pt">
                    <w:txbxContent>
                      <w:p w:rsidR="00E87599" w:rsidRDefault="00E87599" w:rsidP="001C1FFC">
                        <w:pPr>
                          <w:spacing w:before="240"/>
                          <w:rPr>
                            <w:color w:val="FFFFFF" w:themeColor="background1"/>
                          </w:rPr>
                        </w:pPr>
                      </w:p>
                    </w:txbxContent>
                  </v:textbox>
                </v:rect>
                <w10:anchorlock/>
              </v:group>
            </w:pict>
          </mc:Fallback>
        </mc:AlternateContent>
      </w:r>
    </w:p>
    <w:p w:rsidR="001C1FFC" w:rsidRDefault="001C1FFC" w:rsidP="00546058">
      <w:pPr>
        <w:rPr>
          <w:b/>
          <w:sz w:val="28"/>
          <w:szCs w:val="28"/>
        </w:rPr>
      </w:pPr>
    </w:p>
    <w:p w:rsidR="00546058" w:rsidRPr="001C1FFC" w:rsidRDefault="00546058" w:rsidP="00546058">
      <w:pPr>
        <w:rPr>
          <w:b/>
          <w:sz w:val="24"/>
          <w:szCs w:val="24"/>
        </w:rPr>
      </w:pPr>
      <w:r w:rsidRPr="001C1FFC">
        <w:rPr>
          <w:b/>
          <w:sz w:val="24"/>
          <w:szCs w:val="24"/>
        </w:rPr>
        <w:t>Plasma Hiperinmune</w:t>
      </w:r>
    </w:p>
    <w:p w:rsidR="00546058" w:rsidRDefault="00546058" w:rsidP="00546058">
      <w:r>
        <w:t xml:space="preserve">La donación de plasma hiperinmune como terapia experimental para tratar a determinados enfermos de COVID19 dio lugar a muchas noticias y reportajes durante la pandemia, incluso antes de que se empezar a administrar. El 26 de marzo comenzó a circular una información que se hizo viral en las redes y de ahí saltó a los medios, según la cual el Centro de Transfusión hacia un llamamiento a donar plasma hiperinmune. La centralita se colapsó por las llamadas y llegaron cientos de correos. En horas hubo que desmentir la noticia. El Centro de Transfusión no había hecho ningún llamamiento y sí trabajaba junto a los hospitales en este posible tratamiento. </w:t>
      </w:r>
    </w:p>
    <w:p w:rsidR="00546058" w:rsidRDefault="00546058" w:rsidP="00546058">
      <w:pPr>
        <w:rPr>
          <w:rFonts w:ascii="Calibri" w:hAnsi="Calibri"/>
        </w:rPr>
      </w:pPr>
      <w:r w:rsidRPr="00014F15">
        <w:rPr>
          <w:rFonts w:ascii="Calibri" w:hAnsi="Calibri"/>
          <w:noProof/>
          <w:sz w:val="18"/>
          <w:szCs w:val="18"/>
        </w:rPr>
        <mc:AlternateContent>
          <mc:Choice Requires="wps">
            <w:drawing>
              <wp:anchor distT="45720" distB="45720" distL="114300" distR="114300" simplePos="0" relativeHeight="251724800" behindDoc="0" locked="0" layoutInCell="1" allowOverlap="1" wp14:anchorId="3D7E87FB" wp14:editId="3A338FE3">
                <wp:simplePos x="0" y="0"/>
                <wp:positionH relativeFrom="margin">
                  <wp:align>right</wp:align>
                </wp:positionH>
                <wp:positionV relativeFrom="paragraph">
                  <wp:posOffset>308610</wp:posOffset>
                </wp:positionV>
                <wp:extent cx="3400425" cy="800100"/>
                <wp:effectExtent l="0" t="0" r="28575"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800100"/>
                        </a:xfrm>
                        <a:prstGeom prst="rect">
                          <a:avLst/>
                        </a:prstGeom>
                        <a:solidFill>
                          <a:srgbClr val="FFFFFF"/>
                        </a:solidFill>
                        <a:ln w="9525">
                          <a:solidFill>
                            <a:srgbClr val="000000"/>
                          </a:solidFill>
                          <a:miter lim="800000"/>
                          <a:headEnd/>
                          <a:tailEnd/>
                        </a:ln>
                      </wps:spPr>
                      <wps:txbx>
                        <w:txbxContent>
                          <w:p w:rsidR="00E87599" w:rsidRDefault="00E87599" w:rsidP="00546058">
                            <w:pPr>
                              <w:rPr>
                                <w:rFonts w:ascii="Calibri" w:hAnsi="Calibri"/>
                                <w:sz w:val="18"/>
                                <w:szCs w:val="18"/>
                              </w:rPr>
                            </w:pPr>
                            <w:r>
                              <w:rPr>
                                <w:rFonts w:ascii="Calibri" w:hAnsi="Calibri"/>
                                <w:sz w:val="18"/>
                                <w:szCs w:val="18"/>
                              </w:rPr>
                              <w:t>Hilo publicado en @Madridonasangre desmintiendo e informando:</w:t>
                            </w:r>
                          </w:p>
                          <w:p w:rsidR="00E87599" w:rsidRPr="00014F15" w:rsidRDefault="00E87599" w:rsidP="00546058">
                            <w:pPr>
                              <w:rPr>
                                <w:rFonts w:ascii="Calibri" w:hAnsi="Calibri"/>
                                <w:b/>
                                <w:sz w:val="28"/>
                                <w:szCs w:val="28"/>
                              </w:rPr>
                            </w:pPr>
                            <w:r w:rsidRPr="00014F15">
                              <w:rPr>
                                <w:rFonts w:ascii="Calibri" w:hAnsi="Calibri"/>
                                <w:b/>
                                <w:sz w:val="28"/>
                                <w:szCs w:val="28"/>
                              </w:rPr>
                              <w:t>1</w:t>
                            </w:r>
                            <w:r>
                              <w:rPr>
                                <w:rFonts w:ascii="Calibri" w:hAnsi="Calibri"/>
                                <w:b/>
                                <w:sz w:val="28"/>
                                <w:szCs w:val="28"/>
                              </w:rPr>
                              <w:t>.</w:t>
                            </w:r>
                            <w:r w:rsidRPr="00014F15">
                              <w:rPr>
                                <w:rFonts w:ascii="Calibri" w:hAnsi="Calibri"/>
                                <w:b/>
                                <w:sz w:val="28"/>
                                <w:szCs w:val="28"/>
                              </w:rPr>
                              <w:t>500 Rt y 458.000 impresiones</w:t>
                            </w:r>
                          </w:p>
                          <w:p w:rsidR="00E87599" w:rsidRDefault="00E87599" w:rsidP="005460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E87FB" id="_x0000_s1087" type="#_x0000_t202" style="position:absolute;left:0;text-align:left;margin-left:216.55pt;margin-top:24.3pt;width:267.75pt;height:63pt;z-index:251724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">
                <v:textbox>
                  <w:txbxContent>
                    <w:p w:rsidR="00E87599" w:rsidRDefault="00E87599" w:rsidP="00546058">
                      <w:pPr>
                        <w:rPr>
                          <w:rFonts w:ascii="Calibri" w:hAnsi="Calibri"/>
                          <w:sz w:val="18"/>
                          <w:szCs w:val="18"/>
                        </w:rPr>
                      </w:pPr>
                      <w:r>
                        <w:rPr>
                          <w:rFonts w:ascii="Calibri" w:hAnsi="Calibri"/>
                          <w:sz w:val="18"/>
                          <w:szCs w:val="18"/>
                        </w:rPr>
                        <w:t>Hilo publicado en @Madridonasangre desmintiendo e informando:</w:t>
                      </w:r>
                    </w:p>
                    <w:p w:rsidR="00E87599" w:rsidRPr="00014F15" w:rsidRDefault="00E87599" w:rsidP="00546058">
                      <w:pPr>
                        <w:rPr>
                          <w:rFonts w:ascii="Calibri" w:hAnsi="Calibri"/>
                          <w:b/>
                          <w:sz w:val="28"/>
                          <w:szCs w:val="28"/>
                        </w:rPr>
                      </w:pPr>
                      <w:r w:rsidRPr="00014F15">
                        <w:rPr>
                          <w:rFonts w:ascii="Calibri" w:hAnsi="Calibri"/>
                          <w:b/>
                          <w:sz w:val="28"/>
                          <w:szCs w:val="28"/>
                        </w:rPr>
                        <w:t>1</w:t>
                      </w:r>
                      <w:r>
                        <w:rPr>
                          <w:rFonts w:ascii="Calibri" w:hAnsi="Calibri"/>
                          <w:b/>
                          <w:sz w:val="28"/>
                          <w:szCs w:val="28"/>
                        </w:rPr>
                        <w:t>.</w:t>
                      </w:r>
                      <w:r w:rsidRPr="00014F15">
                        <w:rPr>
                          <w:rFonts w:ascii="Calibri" w:hAnsi="Calibri"/>
                          <w:b/>
                          <w:sz w:val="28"/>
                          <w:szCs w:val="28"/>
                        </w:rPr>
                        <w:t>500 Rt y 458.000 impresiones</w:t>
                      </w:r>
                    </w:p>
                    <w:p w:rsidR="00E87599" w:rsidRDefault="00E87599" w:rsidP="00546058"/>
                  </w:txbxContent>
                </v:textbox>
                <w10:wrap type="square" anchorx="margin"/>
              </v:shape>
            </w:pict>
          </mc:Fallback>
        </mc:AlternateContent>
      </w:r>
      <w:r>
        <w:rPr>
          <w:rFonts w:ascii="Calibri" w:hAnsi="Calibri"/>
          <w:sz w:val="18"/>
          <w:szCs w:val="18"/>
        </w:rPr>
        <w:t xml:space="preserve">              </w:t>
      </w:r>
    </w:p>
    <w:p w:rsidR="00546058" w:rsidRDefault="00546058" w:rsidP="00546058">
      <w:r>
        <w:rPr>
          <w:noProof/>
        </w:rPr>
        <w:drawing>
          <wp:anchor distT="0" distB="0" distL="114300" distR="114300" simplePos="0" relativeHeight="251723776" behindDoc="0" locked="0" layoutInCell="1" allowOverlap="1" wp14:anchorId="6723B9ED" wp14:editId="60A0975B">
            <wp:simplePos x="0" y="0"/>
            <wp:positionH relativeFrom="margin">
              <wp:align>left</wp:align>
            </wp:positionH>
            <wp:positionV relativeFrom="paragraph">
              <wp:posOffset>-231775</wp:posOffset>
            </wp:positionV>
            <wp:extent cx="1590675" cy="1563370"/>
            <wp:effectExtent l="0" t="0" r="9525" b="0"/>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screen">
                      <a:extLst>
                        <a:ext uri="{28A0092B-C50C-407E-A947-70E740481C1C}">
                          <a14:useLocalDpi xmlns:a14="http://schemas.microsoft.com/office/drawing/2010/main" val="0"/>
                        </a:ext>
                      </a:extLst>
                    </a:blip>
                    <a:srcRect l="30075" t="8911" r="16577"/>
                    <a:stretch/>
                  </pic:blipFill>
                  <pic:spPr bwMode="auto">
                    <a:xfrm>
                      <a:off x="0" y="0"/>
                      <a:ext cx="1590675" cy="1563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058" w:rsidRDefault="00546058" w:rsidP="00546058"/>
    <w:p w:rsidR="00546058" w:rsidRDefault="00546058" w:rsidP="00546058">
      <w:pPr>
        <w:ind w:left="4248" w:firstLine="708"/>
      </w:pPr>
      <w:r>
        <w:rPr>
          <w:noProof/>
        </w:rPr>
        <w:lastRenderedPageBreak/>
        <w:drawing>
          <wp:anchor distT="0" distB="0" distL="114300" distR="114300" simplePos="0" relativeHeight="251725824" behindDoc="0" locked="0" layoutInCell="1" allowOverlap="1" wp14:anchorId="0BDB6B3C" wp14:editId="7BAD82DB">
            <wp:simplePos x="0" y="0"/>
            <wp:positionH relativeFrom="margin">
              <wp:align>left</wp:align>
            </wp:positionH>
            <wp:positionV relativeFrom="paragraph">
              <wp:posOffset>8890</wp:posOffset>
            </wp:positionV>
            <wp:extent cx="2333625" cy="1744345"/>
            <wp:effectExtent l="0" t="0" r="9525" b="8255"/>
            <wp:wrapSquare wrapText="bothSides"/>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screen">
                      <a:extLst>
                        <a:ext uri="{28A0092B-C50C-407E-A947-70E740481C1C}">
                          <a14:useLocalDpi xmlns:a14="http://schemas.microsoft.com/office/drawing/2010/main" val="0"/>
                        </a:ext>
                      </a:extLst>
                    </a:blip>
                    <a:srcRect l="17902" t="9548" r="18904" b="6429"/>
                    <a:stretch/>
                  </pic:blipFill>
                  <pic:spPr bwMode="auto">
                    <a:xfrm>
                      <a:off x="0" y="0"/>
                      <a:ext cx="2333625" cy="174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058" w:rsidRDefault="00546058" w:rsidP="00546058">
      <w:r>
        <w:t xml:space="preserve">La información correcta fue difundida en: Telemadrid, Cadena Ser, Onda Cero, Cadena Cope, Cambio 16, El País, La Sexta, Gaceta Médica, El Confidencial, Newtral, Maldita (que desmintió el bulo), El Imparcial. </w:t>
      </w:r>
    </w:p>
    <w:p w:rsidR="00546058" w:rsidRDefault="00546058" w:rsidP="00546058"/>
    <w:p w:rsidR="00546058" w:rsidRDefault="00546058" w:rsidP="00546058">
      <w:pPr>
        <w:rPr>
          <w:b/>
          <w:sz w:val="28"/>
          <w:szCs w:val="28"/>
        </w:rPr>
      </w:pPr>
    </w:p>
    <w:p w:rsidR="00546058" w:rsidRPr="001C1FFC" w:rsidRDefault="00546058" w:rsidP="00546058">
      <w:pPr>
        <w:rPr>
          <w:b/>
          <w:sz w:val="24"/>
          <w:szCs w:val="24"/>
        </w:rPr>
      </w:pPr>
      <w:r w:rsidRPr="001C1FFC">
        <w:rPr>
          <w:b/>
          <w:sz w:val="24"/>
          <w:szCs w:val="24"/>
        </w:rPr>
        <w:t>Llamamiento a la donación de plasma</w:t>
      </w:r>
    </w:p>
    <w:p w:rsidR="00546058" w:rsidRDefault="00546058" w:rsidP="00546058">
      <w:r w:rsidRPr="00F576DC">
        <w:t>Sí hubo un llamamiento a la donación de plasma pero fue mucho después el 11 de noviembre.</w:t>
      </w:r>
      <w:r>
        <w:t xml:space="preserve"> El número de correos recibidos para donar plasma hizo innecesario un nuevo llamamiento. </w:t>
      </w:r>
    </w:p>
    <w:p w:rsidR="00546058" w:rsidRDefault="001C1FFC" w:rsidP="00546058">
      <w:r>
        <w:rPr>
          <w:noProof/>
        </w:rPr>
        <w:drawing>
          <wp:inline distT="0" distB="0" distL="0" distR="0" wp14:anchorId="71E9235B" wp14:editId="17FE5DB6">
            <wp:extent cx="2505075" cy="2566670"/>
            <wp:effectExtent l="0" t="0" r="9525" b="508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screen">
                      <a:extLst>
                        <a:ext uri="{28A0092B-C50C-407E-A947-70E740481C1C}">
                          <a14:useLocalDpi xmlns:a14="http://schemas.microsoft.com/office/drawing/2010/main" val="0"/>
                        </a:ext>
                      </a:extLst>
                    </a:blip>
                    <a:srcRect l="25713" t="8709" r="24899" b="1307"/>
                    <a:stretch/>
                  </pic:blipFill>
                  <pic:spPr bwMode="auto">
                    <a:xfrm>
                      <a:off x="0" y="0"/>
                      <a:ext cx="2505075" cy="256667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C036FA">
        <w:rPr>
          <w:noProof/>
        </w:rPr>
        <mc:AlternateContent>
          <mc:Choice Requires="wps">
            <w:drawing>
              <wp:inline distT="0" distB="0" distL="0" distR="0" wp14:anchorId="7DF0A99B" wp14:editId="14A7A91B">
                <wp:extent cx="2360930" cy="2496169"/>
                <wp:effectExtent l="0" t="0" r="20320" b="19050"/>
                <wp:docPr id="2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96169"/>
                        </a:xfrm>
                        <a:prstGeom prst="rect">
                          <a:avLst/>
                        </a:prstGeom>
                        <a:solidFill>
                          <a:srgbClr val="FFFFFF"/>
                        </a:solidFill>
                        <a:ln w="9525">
                          <a:solidFill>
                            <a:srgbClr val="000000"/>
                          </a:solidFill>
                          <a:miter lim="800000"/>
                          <a:headEnd/>
                          <a:tailEnd/>
                        </a:ln>
                      </wps:spPr>
                      <wps:txbx>
                        <w:txbxContent>
                          <w:p w:rsidR="00E87599" w:rsidRPr="004625B0" w:rsidRDefault="00E87599" w:rsidP="001C1FFC">
                            <w:pPr>
                              <w:rPr>
                                <w:rFonts w:cs="Arial"/>
                                <w:b/>
                                <w:color w:val="000000"/>
                                <w:szCs w:val="20"/>
                              </w:rPr>
                            </w:pPr>
                            <w:r w:rsidRPr="004625B0">
                              <w:rPr>
                                <w:rFonts w:cs="Arial"/>
                                <w:b/>
                                <w:color w:val="000000"/>
                                <w:szCs w:val="20"/>
                              </w:rPr>
                              <w:t>IMPACTOS</w:t>
                            </w:r>
                          </w:p>
                          <w:p w:rsidR="00E87599" w:rsidRPr="001C1FFC" w:rsidRDefault="00E87599" w:rsidP="001C1FFC">
                            <w:pPr>
                              <w:jc w:val="left"/>
                              <w:rPr>
                                <w:rFonts w:ascii="Calibri" w:hAnsi="Calibri" w:cs="Calibri"/>
                                <w:color w:val="000000"/>
                              </w:rPr>
                            </w:pPr>
                            <w:r w:rsidRPr="001C1FFC">
                              <w:rPr>
                                <w:rFonts w:ascii="Calibri" w:hAnsi="Calibri" w:cs="Calibri"/>
                                <w:color w:val="000000"/>
                                <w:szCs w:val="20"/>
                              </w:rPr>
                              <w:t>TVE1, EsRadio, Onda Cero, Cadena Ser, Cadena Cope, Nius, El Español, La Razón, Madridpress, Telemadrid, 20 Minutos, ABC, Diario As, Antena 3, El Comercio, La Verdad, El Norte de Castila, El Confidencial Digital, La Razón, El Diario y publicaciones locales como</w:t>
                            </w:r>
                            <w:r w:rsidRPr="001C1FFC">
                              <w:rPr>
                                <w:rFonts w:ascii="Calibri" w:hAnsi="Calibri" w:cs="Calibri"/>
                                <w:color w:val="000000"/>
                              </w:rPr>
                              <w:t xml:space="preserve"> </w:t>
                            </w:r>
                            <w:r w:rsidRPr="001C1FFC">
                              <w:rPr>
                                <w:rFonts w:ascii="Calibri" w:hAnsi="Calibri" w:cs="Calibri"/>
                                <w:color w:val="000000"/>
                                <w:szCs w:val="20"/>
                              </w:rPr>
                              <w:t>Dream Alcalá o especializadas como Diario Enfermero Dicen</w:t>
                            </w:r>
                          </w:p>
                          <w:p w:rsidR="00E87599" w:rsidRDefault="00E87599" w:rsidP="001C1FFC"/>
                        </w:txbxContent>
                      </wps:txbx>
                      <wps:bodyPr rot="0" vert="horz" wrap="square" lIns="91440" tIns="45720" rIns="91440" bIns="45720" anchor="t" anchorCtr="0">
                        <a:noAutofit/>
                      </wps:bodyPr>
                    </wps:wsp>
                  </a:graphicData>
                </a:graphic>
              </wp:inline>
            </w:drawing>
          </mc:Choice>
          <mc:Fallback>
            <w:pict>
              <v:shape w14:anchorId="7DF0A99B" id="_x0000_s1088" type="#_x0000_t202" style="width:185.9pt;height:19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">
                <v:textbox>
                  <w:txbxContent>
                    <w:p w:rsidR="00E87599" w:rsidRPr="004625B0" w:rsidRDefault="00E87599" w:rsidP="001C1FFC">
                      <w:pPr>
                        <w:rPr>
                          <w:rFonts w:cs="Arial"/>
                          <w:b/>
                          <w:color w:val="000000"/>
                          <w:szCs w:val="20"/>
                        </w:rPr>
                      </w:pPr>
                      <w:r w:rsidRPr="004625B0">
                        <w:rPr>
                          <w:rFonts w:cs="Arial"/>
                          <w:b/>
                          <w:color w:val="000000"/>
                          <w:szCs w:val="20"/>
                        </w:rPr>
                        <w:t>IMPACTOS</w:t>
                      </w:r>
                    </w:p>
                    <w:p w:rsidR="00E87599" w:rsidRPr="001C1FFC" w:rsidRDefault="00E87599" w:rsidP="001C1FFC">
                      <w:pPr>
                        <w:jc w:val="left"/>
                        <w:rPr>
                          <w:rFonts w:ascii="Calibri" w:hAnsi="Calibri" w:cs="Calibri"/>
                          <w:color w:val="000000"/>
                        </w:rPr>
                      </w:pPr>
                      <w:r w:rsidRPr="001C1FFC">
                        <w:rPr>
                          <w:rFonts w:ascii="Calibri" w:hAnsi="Calibri" w:cs="Calibri"/>
                          <w:color w:val="000000"/>
                          <w:szCs w:val="20"/>
                        </w:rPr>
                        <w:t>TVE1, EsRadio, Onda Cero, Cadena Ser, Cadena Cope, Nius, El Español, La Razón, Madridpress, Telemadrid, 20 Minutos, ABC, Diario As, Antena 3, El Comercio, La Verdad, El Norte de Castila, El Confidencial Digital, La Razón, El Diario y publicaciones locales como</w:t>
                      </w:r>
                      <w:r w:rsidRPr="001C1FFC">
                        <w:rPr>
                          <w:rFonts w:ascii="Calibri" w:hAnsi="Calibri" w:cs="Calibri"/>
                          <w:color w:val="000000"/>
                        </w:rPr>
                        <w:t xml:space="preserve"> </w:t>
                      </w:r>
                      <w:r w:rsidRPr="001C1FFC">
                        <w:rPr>
                          <w:rFonts w:ascii="Calibri" w:hAnsi="Calibri" w:cs="Calibri"/>
                          <w:color w:val="000000"/>
                          <w:szCs w:val="20"/>
                        </w:rPr>
                        <w:t>Dream Alcalá o especializadas como Diario Enfermero Dicen</w:t>
                      </w:r>
                    </w:p>
                    <w:p w:rsidR="00E87599" w:rsidRDefault="00E87599" w:rsidP="001C1FFC"/>
                  </w:txbxContent>
                </v:textbox>
                <w10:anchorlock/>
              </v:shape>
            </w:pict>
          </mc:Fallback>
        </mc:AlternateContent>
      </w:r>
    </w:p>
    <w:p w:rsidR="00546058" w:rsidRDefault="00546058" w:rsidP="00546058"/>
    <w:p w:rsidR="00546058" w:rsidRDefault="00546058" w:rsidP="00546058"/>
    <w:p w:rsidR="00546058" w:rsidRDefault="00546058" w:rsidP="00546058"/>
    <w:p w:rsidR="00546058" w:rsidRDefault="00546058" w:rsidP="00546058"/>
    <w:p w:rsidR="00546058" w:rsidRDefault="00546058" w:rsidP="00546058">
      <w:pPr>
        <w:rPr>
          <w:b/>
          <w:sz w:val="28"/>
          <w:szCs w:val="28"/>
        </w:rPr>
      </w:pPr>
    </w:p>
    <w:p w:rsidR="001C1FFC" w:rsidRDefault="001C1FFC">
      <w:pPr>
        <w:jc w:val="left"/>
        <w:rPr>
          <w:b/>
          <w:sz w:val="28"/>
          <w:szCs w:val="28"/>
        </w:rPr>
      </w:pPr>
      <w:r>
        <w:rPr>
          <w:b/>
          <w:sz w:val="28"/>
          <w:szCs w:val="28"/>
        </w:rPr>
        <w:br w:type="page"/>
      </w:r>
    </w:p>
    <w:p w:rsidR="00546058" w:rsidRPr="00881630" w:rsidRDefault="00546058" w:rsidP="00546058">
      <w:pPr>
        <w:rPr>
          <w:b/>
          <w:sz w:val="28"/>
          <w:szCs w:val="28"/>
        </w:rPr>
      </w:pPr>
      <w:r w:rsidRPr="00881630">
        <w:rPr>
          <w:b/>
          <w:sz w:val="28"/>
          <w:szCs w:val="28"/>
        </w:rPr>
        <w:lastRenderedPageBreak/>
        <w:t>Otros reportajes</w:t>
      </w:r>
    </w:p>
    <w:p w:rsidR="00546058" w:rsidRDefault="00546058" w:rsidP="00546058">
      <w:pPr>
        <w:rPr>
          <w:b/>
        </w:rPr>
      </w:pPr>
      <w:r>
        <w:rPr>
          <w:noProof/>
        </w:rPr>
        <w:drawing>
          <wp:anchor distT="0" distB="0" distL="114300" distR="114300" simplePos="0" relativeHeight="251728896" behindDoc="0" locked="0" layoutInCell="1" allowOverlap="1" wp14:anchorId="3AC156F7" wp14:editId="26322550">
            <wp:simplePos x="0" y="0"/>
            <wp:positionH relativeFrom="margin">
              <wp:align>left</wp:align>
            </wp:positionH>
            <wp:positionV relativeFrom="paragraph">
              <wp:posOffset>8890</wp:posOffset>
            </wp:positionV>
            <wp:extent cx="2686050" cy="1510030"/>
            <wp:effectExtent l="0" t="0" r="0" b="0"/>
            <wp:wrapSquare wrapText="bothSides"/>
            <wp:docPr id="278" name="Imagen 278" descr="Todo Notici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do Noticias "/>
                    <pic:cNvPicPr>
                      <a:picLocks noChangeAspect="1" noChangeArrowheads="1"/>
                    </pic:cNvPicPr>
                  </pic:nvPicPr>
                  <pic:blipFill>
                    <a:blip r:embed="rId71" cstate="screen">
                      <a:extLst>
                        <a:ext uri="{28A0092B-C50C-407E-A947-70E740481C1C}">
                          <a14:useLocalDpi xmlns:a14="http://schemas.microsoft.com/office/drawing/2010/main" val="0"/>
                        </a:ext>
                      </a:extLst>
                    </a:blip>
                    <a:srcRect/>
                    <a:stretch>
                      <a:fillRect/>
                    </a:stretch>
                  </pic:blipFill>
                  <pic:spPr bwMode="auto">
                    <a:xfrm>
                      <a:off x="0" y="0"/>
                      <a:ext cx="2686050" cy="15100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6058" w:rsidRDefault="001C1FFC" w:rsidP="00546058">
      <w:pPr>
        <w:rPr>
          <w:b/>
        </w:rPr>
      </w:pPr>
      <w:r w:rsidRPr="00D366B9">
        <w:rPr>
          <w:noProof/>
          <w:szCs w:val="20"/>
        </w:rPr>
        <w:drawing>
          <wp:anchor distT="0" distB="0" distL="114300" distR="114300" simplePos="0" relativeHeight="251729920" behindDoc="0" locked="0" layoutInCell="1" allowOverlap="1" wp14:anchorId="0C633581" wp14:editId="55084EBC">
            <wp:simplePos x="0" y="0"/>
            <wp:positionH relativeFrom="margin">
              <wp:align>right</wp:align>
            </wp:positionH>
            <wp:positionV relativeFrom="paragraph">
              <wp:posOffset>65240</wp:posOffset>
            </wp:positionV>
            <wp:extent cx="1847850" cy="1762125"/>
            <wp:effectExtent l="0" t="0" r="0" b="9525"/>
            <wp:wrapSquare wrapText="bothSides"/>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screen">
                      <a:extLst>
                        <a:ext uri="{28A0092B-C50C-407E-A947-70E740481C1C}">
                          <a14:useLocalDpi xmlns:a14="http://schemas.microsoft.com/office/drawing/2010/main" val="0"/>
                        </a:ext>
                      </a:extLst>
                    </a:blip>
                    <a:srcRect l="15398" t="7639" r="38408" b="14067"/>
                    <a:stretch/>
                  </pic:blipFill>
                  <pic:spPr bwMode="auto">
                    <a:xfrm>
                      <a:off x="0" y="0"/>
                      <a:ext cx="184785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058" w:rsidRDefault="00546058" w:rsidP="00546058">
      <w:pPr>
        <w:rPr>
          <w:b/>
        </w:rPr>
      </w:pPr>
    </w:p>
    <w:p w:rsidR="00546058" w:rsidRDefault="00546058" w:rsidP="00546058">
      <w:pPr>
        <w:rPr>
          <w:b/>
        </w:rPr>
      </w:pPr>
    </w:p>
    <w:p w:rsidR="00546058" w:rsidRDefault="00546058" w:rsidP="00546058">
      <w:pPr>
        <w:rPr>
          <w:b/>
        </w:rPr>
      </w:pPr>
    </w:p>
    <w:p w:rsidR="00546058" w:rsidRPr="00D63C2F" w:rsidRDefault="00546058" w:rsidP="00546058">
      <w:pPr>
        <w:rPr>
          <w:szCs w:val="20"/>
        </w:rPr>
      </w:pPr>
    </w:p>
    <w:p w:rsidR="00546058" w:rsidRDefault="00546058" w:rsidP="001C1FFC">
      <w:pPr>
        <w:ind w:right="3684"/>
        <w:rPr>
          <w:szCs w:val="20"/>
        </w:rPr>
      </w:pPr>
      <w:r w:rsidRPr="00D63C2F">
        <w:rPr>
          <w:szCs w:val="20"/>
        </w:rPr>
        <w:t xml:space="preserve">El Camino de la sangre. Todo noticias. RNE5. </w:t>
      </w:r>
      <w:r>
        <w:rPr>
          <w:szCs w:val="20"/>
        </w:rPr>
        <w:t>21-01-2020</w:t>
      </w:r>
    </w:p>
    <w:p w:rsidR="00546058" w:rsidRPr="00D63C2F" w:rsidRDefault="00546058" w:rsidP="00546058">
      <w:pPr>
        <w:ind w:left="4956"/>
        <w:rPr>
          <w:szCs w:val="20"/>
        </w:rPr>
      </w:pPr>
      <w:r>
        <w:rPr>
          <w:szCs w:val="20"/>
        </w:rPr>
        <w:t>Homenaje a nuestros héroes. ABC. 14-04-2020</w:t>
      </w:r>
    </w:p>
    <w:p w:rsidR="00546058" w:rsidRDefault="00546058" w:rsidP="00546058"/>
    <w:p w:rsidR="001C1FFC" w:rsidRPr="001C1FFC" w:rsidRDefault="00546058" w:rsidP="001C1FFC">
      <w:r w:rsidRPr="004C36E2">
        <w:rPr>
          <w:noProof/>
        </w:rPr>
        <w:drawing>
          <wp:anchor distT="0" distB="0" distL="114300" distR="114300" simplePos="0" relativeHeight="251734016" behindDoc="0" locked="0" layoutInCell="1" allowOverlap="1" wp14:anchorId="6CCE30E5" wp14:editId="3D36C24B">
            <wp:simplePos x="0" y="0"/>
            <wp:positionH relativeFrom="margin">
              <wp:align>left</wp:align>
            </wp:positionH>
            <wp:positionV relativeFrom="paragraph">
              <wp:posOffset>7109</wp:posOffset>
            </wp:positionV>
            <wp:extent cx="2838450" cy="2526966"/>
            <wp:effectExtent l="0" t="0" r="0" b="6985"/>
            <wp:wrapSquare wrapText="bothSides"/>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0" y="0"/>
                      <a:ext cx="2838450" cy="2526966"/>
                    </a:xfrm>
                    <a:prstGeom prst="rect">
                      <a:avLst/>
                    </a:prstGeom>
                    <a:noFill/>
                    <a:ln>
                      <a:noFill/>
                    </a:ln>
                  </pic:spPr>
                </pic:pic>
              </a:graphicData>
            </a:graphic>
          </wp:anchor>
        </w:drawing>
      </w:r>
    </w:p>
    <w:p w:rsidR="001C1FFC" w:rsidRPr="001C1FFC" w:rsidRDefault="001C1FFC" w:rsidP="001C1FFC"/>
    <w:p w:rsidR="001C1FFC" w:rsidRPr="001C1FFC" w:rsidRDefault="001C1FFC" w:rsidP="001C1FFC"/>
    <w:p w:rsidR="001C1FFC" w:rsidRDefault="001C1FFC" w:rsidP="001C1FFC">
      <w:pPr>
        <w:rPr>
          <w:szCs w:val="20"/>
        </w:rPr>
      </w:pPr>
      <w:r w:rsidRPr="00D366B9">
        <w:rPr>
          <w:szCs w:val="20"/>
        </w:rPr>
        <w:t>“Ellos resisten por nosotros”. Cuestión de sangre. La Razón. 31-05-2020</w:t>
      </w:r>
      <w:r>
        <w:rPr>
          <w:szCs w:val="20"/>
        </w:rPr>
        <w:t xml:space="preserve"> Reportaje fotográfico sobre la labor de Rosario Villamayor, </w:t>
      </w:r>
    </w:p>
    <w:p w:rsidR="001C1FFC" w:rsidRPr="001C1FFC" w:rsidRDefault="001C1FFC" w:rsidP="001C1FFC"/>
    <w:p w:rsidR="001C1FFC" w:rsidRPr="001C1FFC" w:rsidRDefault="001C1FFC" w:rsidP="001C1FFC"/>
    <w:p w:rsidR="001C1FFC" w:rsidRDefault="001C1FFC" w:rsidP="001C1FFC"/>
    <w:p w:rsidR="001C1FFC" w:rsidRDefault="001C1FFC">
      <w:pPr>
        <w:jc w:val="left"/>
        <w:rPr>
          <w:b/>
          <w:sz w:val="28"/>
          <w:szCs w:val="28"/>
        </w:rPr>
      </w:pPr>
      <w:r>
        <w:rPr>
          <w:b/>
          <w:sz w:val="28"/>
          <w:szCs w:val="28"/>
        </w:rPr>
        <w:br w:type="page"/>
      </w:r>
    </w:p>
    <w:p w:rsidR="00546058" w:rsidRPr="001C1FFC" w:rsidRDefault="001C1FFC" w:rsidP="001C1FFC">
      <w:pPr>
        <w:tabs>
          <w:tab w:val="left" w:pos="2375"/>
        </w:tabs>
        <w:rPr>
          <w:b/>
          <w:sz w:val="24"/>
          <w:szCs w:val="24"/>
        </w:rPr>
      </w:pPr>
      <w:r w:rsidRPr="001C1FFC">
        <w:rPr>
          <w:b/>
          <w:sz w:val="24"/>
          <w:szCs w:val="24"/>
        </w:rPr>
        <w:lastRenderedPageBreak/>
        <w:t>Evolución del perfil twitter @Madridonsangre durante los meses de 2020</w:t>
      </w:r>
    </w:p>
    <w:p w:rsidR="001C1FFC" w:rsidRPr="001C1FFC" w:rsidRDefault="001C1FFC" w:rsidP="001C1FFC">
      <w:pPr>
        <w:tabs>
          <w:tab w:val="left" w:pos="2375"/>
        </w:tabs>
      </w:pPr>
    </w:p>
    <w:tbl>
      <w:tblPr>
        <w:tblStyle w:val="Tabladecuadrcula5oscura-nfasis1"/>
        <w:tblW w:w="8360" w:type="dxa"/>
        <w:tblLook w:val="0620" w:firstRow="1" w:lastRow="0" w:firstColumn="0" w:lastColumn="0" w:noHBand="1" w:noVBand="1"/>
      </w:tblPr>
      <w:tblGrid>
        <w:gridCol w:w="3040"/>
        <w:gridCol w:w="2620"/>
        <w:gridCol w:w="2700"/>
      </w:tblGrid>
      <w:tr w:rsidR="00546058" w:rsidRPr="00260936" w:rsidTr="00F30515">
        <w:trPr>
          <w:cnfStyle w:val="100000000000" w:firstRow="1" w:lastRow="0" w:firstColumn="0" w:lastColumn="0" w:oddVBand="0" w:evenVBand="0" w:oddHBand="0" w:evenHBand="0" w:firstRowFirstColumn="0" w:firstRowLastColumn="0" w:lastRowFirstColumn="0" w:lastRowLastColumn="0"/>
          <w:trHeight w:val="300"/>
        </w:trPr>
        <w:tc>
          <w:tcPr>
            <w:tcW w:w="3040" w:type="dxa"/>
            <w:noWrap/>
            <w:hideMark/>
          </w:tcPr>
          <w:p w:rsidR="00546058" w:rsidRPr="00260936" w:rsidRDefault="00546058" w:rsidP="001C1FFC">
            <w:pPr>
              <w:rPr>
                <w:b w:val="0"/>
                <w:bCs w:val="0"/>
                <w:sz w:val="18"/>
                <w:szCs w:val="18"/>
              </w:rPr>
            </w:pPr>
            <w:r w:rsidRPr="00260936">
              <w:rPr>
                <w:b w:val="0"/>
                <w:bCs w:val="0"/>
                <w:sz w:val="18"/>
                <w:szCs w:val="18"/>
              </w:rPr>
              <w:t>Mes</w:t>
            </w:r>
          </w:p>
        </w:tc>
        <w:tc>
          <w:tcPr>
            <w:tcW w:w="2620" w:type="dxa"/>
            <w:noWrap/>
            <w:hideMark/>
          </w:tcPr>
          <w:p w:rsidR="00546058" w:rsidRPr="00260936" w:rsidRDefault="00546058" w:rsidP="001C1FFC">
            <w:pPr>
              <w:rPr>
                <w:b w:val="0"/>
                <w:bCs w:val="0"/>
                <w:sz w:val="18"/>
                <w:szCs w:val="18"/>
              </w:rPr>
            </w:pPr>
            <w:r w:rsidRPr="00260936">
              <w:rPr>
                <w:b w:val="0"/>
                <w:bCs w:val="0"/>
                <w:sz w:val="18"/>
                <w:szCs w:val="18"/>
              </w:rPr>
              <w:t>Impresiones de Tweets</w:t>
            </w:r>
          </w:p>
        </w:tc>
        <w:tc>
          <w:tcPr>
            <w:tcW w:w="2700" w:type="dxa"/>
            <w:noWrap/>
            <w:hideMark/>
          </w:tcPr>
          <w:p w:rsidR="00546058" w:rsidRPr="00260936" w:rsidRDefault="00546058" w:rsidP="001C1FFC">
            <w:pPr>
              <w:rPr>
                <w:b w:val="0"/>
                <w:bCs w:val="0"/>
                <w:sz w:val="18"/>
                <w:szCs w:val="18"/>
              </w:rPr>
            </w:pPr>
            <w:r w:rsidRPr="00260936">
              <w:rPr>
                <w:b w:val="0"/>
                <w:bCs w:val="0"/>
                <w:sz w:val="18"/>
                <w:szCs w:val="18"/>
              </w:rPr>
              <w:t>Nuevos seguidores</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ENERO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388.000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253</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FEBRERO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326000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157</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MARZO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3.420.000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2.237</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ABRIL</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1290000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620</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MAYO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1.220.000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403</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JUNIO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302.000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59</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JULIO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807.000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167</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AGOSTO</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754.000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296</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SEPTIEMBRE</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281.000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111</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OCTUBRE</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830.000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432</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NOVIEMBRE</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740.300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242</w:t>
            </w:r>
          </w:p>
        </w:tc>
      </w:tr>
      <w:tr w:rsidR="00546058" w:rsidRPr="001C1FFC" w:rsidTr="00F30515">
        <w:trPr>
          <w:trHeight w:val="300"/>
        </w:trPr>
        <w:tc>
          <w:tcPr>
            <w:tcW w:w="3040" w:type="dxa"/>
            <w:noWrap/>
            <w:hideMark/>
          </w:tcPr>
          <w:p w:rsidR="00546058" w:rsidRPr="001C1FFC" w:rsidRDefault="00546058" w:rsidP="001C1FFC">
            <w:pPr>
              <w:rPr>
                <w:color w:val="000000"/>
                <w:sz w:val="18"/>
                <w:szCs w:val="18"/>
              </w:rPr>
            </w:pPr>
            <w:r w:rsidRPr="001C1FFC">
              <w:rPr>
                <w:color w:val="000000"/>
                <w:sz w:val="18"/>
                <w:szCs w:val="18"/>
              </w:rPr>
              <w:t>DICIEMBRE</w:t>
            </w:r>
          </w:p>
        </w:tc>
        <w:tc>
          <w:tcPr>
            <w:tcW w:w="2620" w:type="dxa"/>
            <w:noWrap/>
            <w:hideMark/>
          </w:tcPr>
          <w:p w:rsidR="00546058" w:rsidRPr="001C1FFC" w:rsidRDefault="00546058" w:rsidP="001C1FFC">
            <w:pPr>
              <w:jc w:val="right"/>
              <w:rPr>
                <w:color w:val="000000"/>
                <w:sz w:val="18"/>
                <w:szCs w:val="18"/>
              </w:rPr>
            </w:pPr>
            <w:r w:rsidRPr="001C1FFC">
              <w:rPr>
                <w:color w:val="000000"/>
                <w:sz w:val="18"/>
                <w:szCs w:val="18"/>
              </w:rPr>
              <w:t>587.300</w:t>
            </w:r>
          </w:p>
        </w:tc>
        <w:tc>
          <w:tcPr>
            <w:tcW w:w="2700" w:type="dxa"/>
            <w:noWrap/>
            <w:hideMark/>
          </w:tcPr>
          <w:p w:rsidR="00546058" w:rsidRPr="001C1FFC" w:rsidRDefault="00546058" w:rsidP="001C1FFC">
            <w:pPr>
              <w:jc w:val="right"/>
              <w:rPr>
                <w:color w:val="000000"/>
                <w:sz w:val="18"/>
                <w:szCs w:val="18"/>
              </w:rPr>
            </w:pPr>
            <w:r w:rsidRPr="001C1FFC">
              <w:rPr>
                <w:color w:val="000000"/>
                <w:sz w:val="18"/>
                <w:szCs w:val="18"/>
              </w:rPr>
              <w:t>126</w:t>
            </w:r>
          </w:p>
        </w:tc>
      </w:tr>
    </w:tbl>
    <w:p w:rsidR="00546058" w:rsidRDefault="00546058" w:rsidP="00546058"/>
    <w:p w:rsidR="00FE42F2" w:rsidRDefault="00FE42F2" w:rsidP="00FE42F2">
      <w:pPr>
        <w:rPr>
          <w:b/>
          <w:sz w:val="28"/>
          <w:szCs w:val="28"/>
        </w:rPr>
      </w:pPr>
    </w:p>
    <w:p w:rsidR="00FE42F2" w:rsidRDefault="00FE42F2" w:rsidP="00FE42F2">
      <w:pPr>
        <w:rPr>
          <w:b/>
          <w:sz w:val="28"/>
          <w:szCs w:val="28"/>
        </w:rPr>
      </w:pPr>
    </w:p>
    <w:p w:rsidR="00FE42F2" w:rsidRDefault="00FE42F2" w:rsidP="00FE42F2">
      <w:pPr>
        <w:rPr>
          <w:b/>
          <w:sz w:val="28"/>
          <w:szCs w:val="28"/>
        </w:rPr>
      </w:pPr>
    </w:p>
    <w:p w:rsidR="00FE42F2" w:rsidRDefault="00FE42F2" w:rsidP="00FE42F2">
      <w:pPr>
        <w:rPr>
          <w:b/>
          <w:sz w:val="28"/>
          <w:szCs w:val="28"/>
        </w:rPr>
      </w:pPr>
    </w:p>
    <w:p w:rsidR="00FE42F2" w:rsidRPr="00FE42F2" w:rsidRDefault="00FE42F2" w:rsidP="00FE42F2">
      <w:pPr>
        <w:rPr>
          <w:b/>
          <w:sz w:val="24"/>
          <w:szCs w:val="24"/>
        </w:rPr>
      </w:pPr>
      <w:r w:rsidRPr="00FE42F2">
        <w:rPr>
          <w:b/>
          <w:sz w:val="24"/>
          <w:szCs w:val="24"/>
        </w:rPr>
        <w:t>Evolución de las páginas webs durante 2020.</w:t>
      </w:r>
    </w:p>
    <w:p w:rsidR="00FE42F2" w:rsidRDefault="00FE42F2" w:rsidP="00FE42F2">
      <w:pPr>
        <w:rPr>
          <w:b/>
          <w:sz w:val="28"/>
          <w:szCs w:val="28"/>
        </w:rPr>
      </w:pPr>
    </w:p>
    <w:p w:rsidR="00FE42F2" w:rsidRDefault="00FE42F2" w:rsidP="00FE42F2">
      <w:pPr>
        <w:rPr>
          <w:b/>
          <w:sz w:val="28"/>
          <w:szCs w:val="28"/>
        </w:rPr>
      </w:pPr>
      <w:r>
        <w:rPr>
          <w:noProof/>
        </w:rPr>
        <w:drawing>
          <wp:inline distT="0" distB="0" distL="0" distR="0">
            <wp:extent cx="5320665" cy="2543810"/>
            <wp:effectExtent l="0" t="0" r="13335" b="8890"/>
            <wp:docPr id="309" name="Gráfico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FE42F2" w:rsidRDefault="00FE42F2" w:rsidP="00FE42F2">
      <w:pPr>
        <w:rPr>
          <w:b/>
          <w:sz w:val="28"/>
          <w:szCs w:val="28"/>
        </w:rPr>
      </w:pPr>
      <w:r>
        <w:rPr>
          <w:noProof/>
        </w:rPr>
        <w:lastRenderedPageBreak/>
        <w:drawing>
          <wp:inline distT="0" distB="0" distL="0" distR="0">
            <wp:extent cx="5143500" cy="2619375"/>
            <wp:effectExtent l="0" t="0" r="0" b="9525"/>
            <wp:docPr id="311" name="Gráfico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60936" w:rsidRDefault="00260936" w:rsidP="00FE42F2">
      <w:pPr>
        <w:rPr>
          <w:b/>
          <w:sz w:val="28"/>
          <w:szCs w:val="28"/>
        </w:rPr>
      </w:pPr>
    </w:p>
    <w:p w:rsidR="00260936" w:rsidRPr="00E12D57" w:rsidRDefault="00260936" w:rsidP="00FE42F2">
      <w:pPr>
        <w:rPr>
          <w:b/>
          <w:sz w:val="28"/>
          <w:szCs w:val="28"/>
        </w:rPr>
      </w:pPr>
    </w:p>
    <w:p w:rsidR="002278D2" w:rsidRPr="00A71B61" w:rsidRDefault="00FE42F2">
      <w:pPr>
        <w:rPr>
          <w:szCs w:val="20"/>
          <w:lang w:eastAsia="x-none"/>
        </w:rPr>
      </w:pPr>
      <w:r>
        <w:rPr>
          <w:noProof/>
        </w:rPr>
        <w:drawing>
          <wp:inline distT="0" distB="0" distL="0" distR="0">
            <wp:extent cx="5314950" cy="2619375"/>
            <wp:effectExtent l="0" t="0" r="0" b="9525"/>
            <wp:docPr id="310" name="Gráfico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2278D2" w:rsidRPr="00A71B61">
        <w:rPr>
          <w:szCs w:val="20"/>
          <w:lang w:eastAsia="x-none"/>
        </w:rPr>
        <w:br w:type="page"/>
      </w:r>
    </w:p>
    <w:p w:rsidR="0011164E" w:rsidRPr="00B51AC6" w:rsidRDefault="0011164E" w:rsidP="00B51AC6">
      <w:pPr>
        <w:pStyle w:val="Ttulo1"/>
      </w:pPr>
      <w:bookmarkStart w:id="25" w:name="_Toc90584867"/>
      <w:r w:rsidRPr="00B51AC6">
        <w:lastRenderedPageBreak/>
        <w:t>Donación de Sangre</w:t>
      </w:r>
      <w:bookmarkEnd w:id="25"/>
    </w:p>
    <w:p w:rsidR="004E7EC9" w:rsidRPr="00A71B61" w:rsidRDefault="004E7EC9" w:rsidP="006C2819">
      <w:r w:rsidRPr="00A71B61">
        <w:t xml:space="preserve">En la Comunidad de Madrid hay habilitados un total de 34 puntos fijos de donación (32 hospitales, punto fijo del Centro de Transfusión, punto fijo de Cruz Roja) y una media de 18-20 colectas diarias en unidades móviles. Toda la sangre recolectada diariamente es transportada al Centro de Transfusión donde es procesada y analizada. </w:t>
      </w:r>
    </w:p>
    <w:p w:rsidR="005D6601" w:rsidRPr="00A71B61" w:rsidRDefault="005D6601" w:rsidP="006C2819">
      <w:pPr>
        <w:rPr>
          <w:rFonts w:cs="Calibri"/>
        </w:rPr>
      </w:pPr>
      <w:r w:rsidRPr="00A71B61">
        <w:rPr>
          <w:rFonts w:cs="Calibri"/>
        </w:rPr>
        <w:t>En 2020 tanto la donación de sangre, como las peticiones de los componentes sanguíneos obtenidos de su procesamiento realizadas por los hospitales, para uso transfusional, han resultado afectadas por las restricciones de movilidad y por el colapso de la actividad normal de los hospitales como consecuencia de la situación epidemiológica que ha supuesto en nuestra región la pandemia por el coronavirus SARS-CoV-2.</w:t>
      </w:r>
    </w:p>
    <w:p w:rsidR="005D6601" w:rsidRPr="00A71B61" w:rsidRDefault="005D6601" w:rsidP="006C2819">
      <w:pPr>
        <w:rPr>
          <w:rFonts w:cs="Calibri"/>
        </w:rPr>
      </w:pPr>
      <w:r w:rsidRPr="00A71B61">
        <w:rPr>
          <w:rFonts w:cs="Calibri"/>
        </w:rPr>
        <w:t xml:space="preserve">Por motivos de seguridad y de exceso de carga asistencial en algunos hospitales, se tuvieron que cerrar provisionalmente 10 puntos de donación hospitalarios. Además desde marzo hasta diciembre del 2020 no fue posible realizar ningún maratón de donación en los hospitales. Todo ello ha supuesto un descenso marcado en el número anual de donaciones provenientes del conjunto de los hospitales. </w:t>
      </w:r>
    </w:p>
    <w:p w:rsidR="004E7EC9" w:rsidRPr="00A71B61" w:rsidRDefault="005D6601" w:rsidP="006C2819">
      <w:r w:rsidRPr="00A71B61">
        <w:t>Como resume global, e</w:t>
      </w:r>
      <w:r w:rsidR="004E7EC9" w:rsidRPr="00A71B61">
        <w:t xml:space="preserve">ntre todos los puntos </w:t>
      </w:r>
      <w:r w:rsidRPr="00A71B61">
        <w:t xml:space="preserve">de donación </w:t>
      </w:r>
      <w:r w:rsidR="004E7EC9" w:rsidRPr="00A71B61">
        <w:t>habilitados en 20</w:t>
      </w:r>
      <w:r w:rsidR="0023367C" w:rsidRPr="00A71B61">
        <w:t>20</w:t>
      </w:r>
      <w:r w:rsidR="004E7EC9" w:rsidRPr="00A71B61">
        <w:t xml:space="preserve"> se han obtenido un total de </w:t>
      </w:r>
      <w:r w:rsidR="0023367C" w:rsidRPr="00A71B61">
        <w:t>227.984</w:t>
      </w:r>
      <w:r w:rsidR="004E7EC9" w:rsidRPr="00A71B61">
        <w:t xml:space="preserve"> unidades de sangre total, lo que supone un descenso del </w:t>
      </w:r>
      <w:r w:rsidR="0023367C" w:rsidRPr="00A71B61">
        <w:t>-4,9</w:t>
      </w:r>
      <w:r w:rsidR="004E7EC9" w:rsidRPr="00A71B61">
        <w:t xml:space="preserve">% respecto a las </w:t>
      </w:r>
      <w:r w:rsidR="0023367C" w:rsidRPr="00A71B61">
        <w:t>239.748 obtenidas en 2019</w:t>
      </w:r>
      <w:r w:rsidR="004E7EC9" w:rsidRPr="00A71B61">
        <w:t>. En la siguiente tabla se muestra su distribución en función del punto de donación y en comparación con las procesadas en 2018.</w:t>
      </w:r>
    </w:p>
    <w:tbl>
      <w:tblPr>
        <w:tblStyle w:val="Tabladecuadrcula5oscura-nfasis1"/>
        <w:tblW w:w="5000" w:type="pct"/>
        <w:tblLook w:val="0660" w:firstRow="1" w:lastRow="1" w:firstColumn="0" w:lastColumn="0" w:noHBand="1" w:noVBand="1"/>
      </w:tblPr>
      <w:tblGrid>
        <w:gridCol w:w="2062"/>
        <w:gridCol w:w="1506"/>
        <w:gridCol w:w="1581"/>
        <w:gridCol w:w="1378"/>
        <w:gridCol w:w="1400"/>
      </w:tblGrid>
      <w:tr w:rsidR="0074730F" w:rsidRPr="00A71B61" w:rsidTr="0074730F">
        <w:trPr>
          <w:cnfStyle w:val="100000000000" w:firstRow="1" w:lastRow="0" w:firstColumn="0" w:lastColumn="0" w:oddVBand="0" w:evenVBand="0" w:oddHBand="0" w:evenHBand="0" w:firstRowFirstColumn="0" w:firstRowLastColumn="0" w:lastRowFirstColumn="0" w:lastRowLastColumn="0"/>
          <w:trHeight w:val="741"/>
        </w:trPr>
        <w:tc>
          <w:tcPr>
            <w:tcW w:w="1300" w:type="pct"/>
          </w:tcPr>
          <w:p w:rsidR="004E7EC9" w:rsidRPr="00A71B61" w:rsidRDefault="004E7EC9" w:rsidP="004E7EC9">
            <w:pPr>
              <w:rPr>
                <w:rFonts w:eastAsia="Times New Roman"/>
                <w:b w:val="0"/>
                <w:bCs w:val="0"/>
                <w:szCs w:val="20"/>
                <w:lang w:eastAsia="es-ES"/>
              </w:rPr>
            </w:pPr>
          </w:p>
        </w:tc>
        <w:tc>
          <w:tcPr>
            <w:tcW w:w="950" w:type="pct"/>
          </w:tcPr>
          <w:p w:rsidR="004E7EC9" w:rsidRPr="00A71B61" w:rsidRDefault="004E7EC9" w:rsidP="004E7EC9">
            <w:pPr>
              <w:pStyle w:val="NormalWeb"/>
              <w:spacing w:before="115" w:beforeAutospacing="0" w:after="0" w:afterAutospacing="0"/>
              <w:jc w:val="center"/>
              <w:textAlignment w:val="baseline"/>
              <w:rPr>
                <w:rFonts w:ascii="Calibri" w:hAnsi="Calibri" w:cs="Arial"/>
                <w:bCs w:val="0"/>
                <w:sz w:val="20"/>
                <w:szCs w:val="20"/>
              </w:rPr>
            </w:pPr>
            <w:r w:rsidRPr="00A71B61">
              <w:rPr>
                <w:rFonts w:ascii="Calibri" w:hAnsi="Calibri" w:cs="Arial"/>
                <w:kern w:val="24"/>
                <w:sz w:val="20"/>
                <w:szCs w:val="20"/>
              </w:rPr>
              <w:t>2019</w:t>
            </w:r>
          </w:p>
        </w:tc>
        <w:tc>
          <w:tcPr>
            <w:tcW w:w="997" w:type="pct"/>
          </w:tcPr>
          <w:p w:rsidR="004E7EC9" w:rsidRPr="00A71B61" w:rsidRDefault="004E7EC9" w:rsidP="004E7EC9">
            <w:pPr>
              <w:pStyle w:val="NormalWeb"/>
              <w:spacing w:before="115" w:beforeAutospacing="0" w:after="0" w:afterAutospacing="0"/>
              <w:jc w:val="center"/>
              <w:textAlignment w:val="baseline"/>
              <w:rPr>
                <w:rFonts w:ascii="Calibri" w:hAnsi="Calibri" w:cs="Arial"/>
                <w:bCs w:val="0"/>
                <w:sz w:val="20"/>
                <w:szCs w:val="20"/>
              </w:rPr>
            </w:pPr>
            <w:r w:rsidRPr="00A71B61">
              <w:rPr>
                <w:rFonts w:ascii="Calibri" w:hAnsi="Calibri" w:cs="Arial"/>
                <w:kern w:val="24"/>
                <w:sz w:val="20"/>
                <w:szCs w:val="20"/>
              </w:rPr>
              <w:t>2020</w:t>
            </w:r>
          </w:p>
        </w:tc>
        <w:tc>
          <w:tcPr>
            <w:tcW w:w="869" w:type="pct"/>
          </w:tcPr>
          <w:p w:rsidR="004E7EC9" w:rsidRPr="00A71B61" w:rsidRDefault="004E7EC9" w:rsidP="004E7EC9">
            <w:pPr>
              <w:pStyle w:val="NormalWeb"/>
              <w:spacing w:before="115" w:beforeAutospacing="0" w:after="0" w:afterAutospacing="0"/>
              <w:jc w:val="center"/>
              <w:textAlignment w:val="baseline"/>
              <w:rPr>
                <w:rFonts w:ascii="Calibri" w:hAnsi="Calibri" w:cs="Arial"/>
                <w:bCs w:val="0"/>
                <w:sz w:val="20"/>
                <w:szCs w:val="20"/>
              </w:rPr>
            </w:pPr>
            <w:r w:rsidRPr="00A71B61">
              <w:rPr>
                <w:rFonts w:ascii="Calibri" w:hAnsi="Calibri" w:cs="Arial"/>
                <w:kern w:val="24"/>
                <w:sz w:val="20"/>
                <w:szCs w:val="20"/>
              </w:rPr>
              <w:t>Dif (%)</w:t>
            </w:r>
          </w:p>
          <w:p w:rsidR="004E7EC9" w:rsidRPr="00A71B61" w:rsidRDefault="004E7EC9" w:rsidP="004E7EC9">
            <w:pPr>
              <w:pStyle w:val="NormalWeb"/>
              <w:spacing w:before="115" w:beforeAutospacing="0" w:after="0" w:afterAutospacing="0"/>
              <w:jc w:val="center"/>
              <w:textAlignment w:val="baseline"/>
              <w:rPr>
                <w:rFonts w:ascii="Calibri" w:hAnsi="Calibri" w:cs="Arial"/>
                <w:bCs w:val="0"/>
                <w:sz w:val="20"/>
                <w:szCs w:val="20"/>
              </w:rPr>
            </w:pPr>
            <w:r w:rsidRPr="00A71B61">
              <w:rPr>
                <w:rFonts w:ascii="Calibri" w:hAnsi="Calibri" w:cs="Arial"/>
                <w:kern w:val="24"/>
                <w:sz w:val="20"/>
                <w:szCs w:val="20"/>
              </w:rPr>
              <w:t>2020-2019</w:t>
            </w:r>
          </w:p>
        </w:tc>
        <w:tc>
          <w:tcPr>
            <w:tcW w:w="883" w:type="pct"/>
          </w:tcPr>
          <w:p w:rsidR="004E7EC9" w:rsidRPr="00A71B61" w:rsidRDefault="004E7EC9" w:rsidP="004E7EC9">
            <w:pPr>
              <w:pStyle w:val="NormalWeb"/>
              <w:spacing w:before="115" w:beforeAutospacing="0" w:after="0" w:afterAutospacing="0"/>
              <w:jc w:val="center"/>
              <w:textAlignment w:val="baseline"/>
              <w:rPr>
                <w:rFonts w:ascii="Calibri" w:hAnsi="Calibri" w:cs="Arial"/>
                <w:bCs w:val="0"/>
                <w:sz w:val="20"/>
                <w:szCs w:val="20"/>
              </w:rPr>
            </w:pPr>
            <w:r w:rsidRPr="00A71B61">
              <w:rPr>
                <w:rFonts w:ascii="Calibri" w:hAnsi="Calibri" w:cs="Arial"/>
                <w:kern w:val="24"/>
                <w:sz w:val="20"/>
                <w:szCs w:val="20"/>
              </w:rPr>
              <w:t>Dif (n)</w:t>
            </w:r>
          </w:p>
          <w:p w:rsidR="004E7EC9" w:rsidRPr="00A71B61" w:rsidRDefault="004E7EC9" w:rsidP="004E7EC9">
            <w:pPr>
              <w:pStyle w:val="NormalWeb"/>
              <w:spacing w:before="115" w:beforeAutospacing="0" w:after="0" w:afterAutospacing="0"/>
              <w:jc w:val="center"/>
              <w:textAlignment w:val="baseline"/>
              <w:rPr>
                <w:rFonts w:ascii="Calibri" w:hAnsi="Calibri" w:cs="Arial"/>
                <w:bCs w:val="0"/>
                <w:sz w:val="20"/>
                <w:szCs w:val="20"/>
              </w:rPr>
            </w:pPr>
            <w:r w:rsidRPr="00A71B61">
              <w:rPr>
                <w:rFonts w:ascii="Calibri" w:hAnsi="Calibri" w:cs="Arial"/>
                <w:kern w:val="24"/>
                <w:sz w:val="20"/>
                <w:szCs w:val="20"/>
              </w:rPr>
              <w:t>2020-2019</w:t>
            </w:r>
          </w:p>
        </w:tc>
      </w:tr>
      <w:tr w:rsidR="0023367C" w:rsidRPr="00A71B61" w:rsidTr="0074730F">
        <w:trPr>
          <w:trHeight w:val="448"/>
        </w:trPr>
        <w:tc>
          <w:tcPr>
            <w:tcW w:w="1300" w:type="pct"/>
          </w:tcPr>
          <w:p w:rsidR="0023367C" w:rsidRPr="00A71B61" w:rsidRDefault="0023367C" w:rsidP="0023367C">
            <w:pPr>
              <w:pStyle w:val="NormalWeb"/>
              <w:spacing w:before="86" w:beforeAutospacing="0" w:after="0" w:afterAutospacing="0"/>
              <w:textAlignment w:val="baseline"/>
              <w:rPr>
                <w:rFonts w:ascii="Calibri" w:hAnsi="Calibri" w:cs="Arial"/>
                <w:b/>
                <w:sz w:val="20"/>
                <w:szCs w:val="20"/>
              </w:rPr>
            </w:pPr>
            <w:r w:rsidRPr="00A71B61">
              <w:rPr>
                <w:rFonts w:ascii="Calibri" w:hAnsi="Calibri" w:cs="Arial"/>
                <w:b/>
                <w:color w:val="000000"/>
                <w:kern w:val="24"/>
                <w:sz w:val="20"/>
                <w:szCs w:val="20"/>
              </w:rPr>
              <w:t>CTCM</w:t>
            </w:r>
          </w:p>
        </w:tc>
        <w:tc>
          <w:tcPr>
            <w:tcW w:w="950"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6.523</w:t>
            </w:r>
          </w:p>
        </w:tc>
        <w:tc>
          <w:tcPr>
            <w:tcW w:w="997"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16.512</w:t>
            </w:r>
          </w:p>
        </w:tc>
        <w:tc>
          <w:tcPr>
            <w:tcW w:w="869"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153,1</w:t>
            </w:r>
          </w:p>
        </w:tc>
        <w:tc>
          <w:tcPr>
            <w:tcW w:w="883"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9.989</w:t>
            </w:r>
          </w:p>
        </w:tc>
      </w:tr>
      <w:tr w:rsidR="0023367C" w:rsidRPr="00A71B61" w:rsidTr="0074730F">
        <w:trPr>
          <w:trHeight w:val="434"/>
        </w:trPr>
        <w:tc>
          <w:tcPr>
            <w:tcW w:w="1300" w:type="pct"/>
          </w:tcPr>
          <w:p w:rsidR="0023367C" w:rsidRPr="00A71B61" w:rsidRDefault="0023367C" w:rsidP="0023367C">
            <w:pPr>
              <w:pStyle w:val="NormalWeb"/>
              <w:spacing w:before="86" w:beforeAutospacing="0" w:after="0" w:afterAutospacing="0"/>
              <w:textAlignment w:val="baseline"/>
              <w:rPr>
                <w:rFonts w:ascii="Calibri" w:hAnsi="Calibri" w:cs="Arial"/>
                <w:b/>
                <w:sz w:val="20"/>
                <w:szCs w:val="20"/>
              </w:rPr>
            </w:pPr>
            <w:r w:rsidRPr="00A71B61">
              <w:rPr>
                <w:rFonts w:ascii="Calibri" w:hAnsi="Calibri" w:cs="Arial"/>
                <w:b/>
                <w:color w:val="000000"/>
                <w:kern w:val="24"/>
                <w:sz w:val="20"/>
                <w:szCs w:val="20"/>
              </w:rPr>
              <w:t>Hospitales</w:t>
            </w:r>
          </w:p>
        </w:tc>
        <w:tc>
          <w:tcPr>
            <w:tcW w:w="950"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118.933</w:t>
            </w:r>
          </w:p>
        </w:tc>
        <w:tc>
          <w:tcPr>
            <w:tcW w:w="997"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100.935</w:t>
            </w:r>
          </w:p>
        </w:tc>
        <w:tc>
          <w:tcPr>
            <w:tcW w:w="869"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-15,1</w:t>
            </w:r>
          </w:p>
        </w:tc>
        <w:tc>
          <w:tcPr>
            <w:tcW w:w="883"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-17.998</w:t>
            </w:r>
          </w:p>
        </w:tc>
      </w:tr>
      <w:tr w:rsidR="0023367C" w:rsidRPr="00A71B61" w:rsidTr="0074730F">
        <w:trPr>
          <w:trHeight w:val="448"/>
        </w:trPr>
        <w:tc>
          <w:tcPr>
            <w:tcW w:w="1300" w:type="pct"/>
          </w:tcPr>
          <w:p w:rsidR="0023367C" w:rsidRPr="00A71B61" w:rsidRDefault="0023367C" w:rsidP="0023367C">
            <w:pPr>
              <w:pStyle w:val="NormalWeb"/>
              <w:spacing w:before="86" w:beforeAutospacing="0" w:after="0" w:afterAutospacing="0"/>
              <w:textAlignment w:val="baseline"/>
              <w:rPr>
                <w:rFonts w:ascii="Calibri" w:hAnsi="Calibri" w:cs="Arial"/>
                <w:b/>
                <w:sz w:val="20"/>
                <w:szCs w:val="20"/>
              </w:rPr>
            </w:pPr>
            <w:r w:rsidRPr="00A71B61">
              <w:rPr>
                <w:rFonts w:ascii="Calibri" w:hAnsi="Calibri" w:cs="Arial"/>
                <w:b/>
                <w:color w:val="000000"/>
                <w:kern w:val="24"/>
                <w:sz w:val="20"/>
                <w:szCs w:val="20"/>
              </w:rPr>
              <w:t xml:space="preserve">Colectas externas </w:t>
            </w:r>
          </w:p>
        </w:tc>
        <w:tc>
          <w:tcPr>
            <w:tcW w:w="950"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114.292</w:t>
            </w:r>
          </w:p>
        </w:tc>
        <w:tc>
          <w:tcPr>
            <w:tcW w:w="997"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110.537</w:t>
            </w:r>
          </w:p>
        </w:tc>
        <w:tc>
          <w:tcPr>
            <w:tcW w:w="869"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-3,3</w:t>
            </w:r>
          </w:p>
        </w:tc>
        <w:tc>
          <w:tcPr>
            <w:tcW w:w="883"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color w:val="000000"/>
                <w:kern w:val="24"/>
                <w:sz w:val="20"/>
                <w:szCs w:val="20"/>
              </w:rPr>
              <w:t>-3.755</w:t>
            </w:r>
          </w:p>
        </w:tc>
      </w:tr>
      <w:tr w:rsidR="0074730F" w:rsidRPr="00A71B61" w:rsidTr="0074730F">
        <w:trPr>
          <w:cnfStyle w:val="010000000000" w:firstRow="0" w:lastRow="1" w:firstColumn="0" w:lastColumn="0" w:oddVBand="0" w:evenVBand="0" w:oddHBand="0" w:evenHBand="0" w:firstRowFirstColumn="0" w:firstRowLastColumn="0" w:lastRowFirstColumn="0" w:lastRowLastColumn="0"/>
          <w:trHeight w:val="448"/>
        </w:trPr>
        <w:tc>
          <w:tcPr>
            <w:tcW w:w="1300" w:type="pct"/>
          </w:tcPr>
          <w:p w:rsidR="0023367C" w:rsidRPr="00A71B61" w:rsidRDefault="0023367C" w:rsidP="0023367C">
            <w:pPr>
              <w:pStyle w:val="NormalWeb"/>
              <w:spacing w:before="86" w:beforeAutospacing="0" w:after="0" w:afterAutospacing="0"/>
              <w:textAlignment w:val="baseline"/>
              <w:rPr>
                <w:rFonts w:ascii="Calibri" w:hAnsi="Calibri" w:cs="Arial"/>
                <w:bCs w:val="0"/>
                <w:sz w:val="20"/>
                <w:szCs w:val="20"/>
              </w:rPr>
            </w:pPr>
            <w:r w:rsidRPr="00A71B61">
              <w:rPr>
                <w:rFonts w:ascii="Calibri" w:hAnsi="Calibri" w:cs="Arial"/>
                <w:kern w:val="24"/>
                <w:sz w:val="20"/>
                <w:szCs w:val="20"/>
              </w:rPr>
              <w:t>Donaciones totales</w:t>
            </w:r>
          </w:p>
        </w:tc>
        <w:tc>
          <w:tcPr>
            <w:tcW w:w="950"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bCs w:val="0"/>
                <w:kern w:val="24"/>
                <w:sz w:val="20"/>
                <w:szCs w:val="20"/>
              </w:rPr>
              <w:t>239.748</w:t>
            </w:r>
          </w:p>
        </w:tc>
        <w:tc>
          <w:tcPr>
            <w:tcW w:w="997"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bCs w:val="0"/>
                <w:kern w:val="24"/>
                <w:sz w:val="20"/>
                <w:szCs w:val="20"/>
              </w:rPr>
              <w:t>227.984</w:t>
            </w:r>
          </w:p>
        </w:tc>
        <w:tc>
          <w:tcPr>
            <w:tcW w:w="869"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kern w:val="24"/>
                <w:sz w:val="20"/>
                <w:szCs w:val="20"/>
              </w:rPr>
              <w:t>-4,9</w:t>
            </w:r>
          </w:p>
        </w:tc>
        <w:tc>
          <w:tcPr>
            <w:tcW w:w="883" w:type="pct"/>
          </w:tcPr>
          <w:p w:rsidR="0023367C" w:rsidRPr="00A71B61" w:rsidRDefault="0023367C" w:rsidP="0023367C">
            <w:pPr>
              <w:pStyle w:val="NormalWeb"/>
              <w:spacing w:before="0" w:beforeAutospacing="0" w:after="0" w:afterAutospacing="0"/>
              <w:jc w:val="center"/>
              <w:textAlignment w:val="top"/>
              <w:rPr>
                <w:rFonts w:asciiTheme="majorHAnsi" w:hAnsiTheme="majorHAnsi" w:cs="Arial"/>
                <w:sz w:val="20"/>
                <w:szCs w:val="20"/>
              </w:rPr>
            </w:pPr>
            <w:r w:rsidRPr="00A71B61">
              <w:rPr>
                <w:rFonts w:asciiTheme="majorHAnsi" w:hAnsiTheme="majorHAnsi" w:cs="Arial"/>
                <w:kern w:val="24"/>
                <w:sz w:val="20"/>
                <w:szCs w:val="20"/>
              </w:rPr>
              <w:t>-11.764</w:t>
            </w:r>
          </w:p>
        </w:tc>
      </w:tr>
    </w:tbl>
    <w:p w:rsidR="004E7EC9" w:rsidRPr="00A71B61" w:rsidRDefault="004E7EC9" w:rsidP="004E7EC9">
      <w:pPr>
        <w:rPr>
          <w:szCs w:val="20"/>
        </w:rPr>
      </w:pPr>
    </w:p>
    <w:p w:rsidR="00AA71D4" w:rsidRPr="00A71B61" w:rsidRDefault="005D6601" w:rsidP="006C2819">
      <w:r w:rsidRPr="00A71B61">
        <w:t xml:space="preserve">Por motivos de seguridad y de exceso de carga asistencial en algunos hospitales, se tuvieron que cerrar provisionalmente 10 puntos de donación hospitalarios. </w:t>
      </w:r>
    </w:p>
    <w:p w:rsidR="00AA71D4" w:rsidRPr="00A71B61" w:rsidRDefault="00AA71D4" w:rsidP="006C2819">
      <w:r w:rsidRPr="00A71B61">
        <w:t>Como se puede apreciar en la tabla anterior, para mitigar esta pérdida el Centro de Transfusión reforzó la actividad de atención a donantes de sangre en sus propias instalaciones.</w:t>
      </w:r>
    </w:p>
    <w:p w:rsidR="005D6601" w:rsidRPr="00A71B61" w:rsidRDefault="005D6601" w:rsidP="006C2819">
      <w:r w:rsidRPr="00A71B61">
        <w:t xml:space="preserve">Además desde marzo hasta diciembre del 2020 no fue posible realizar ningún maratón de donación en los hospitales. Todo ello ha supuesto un descenso marcado en el número anual de donaciones provenientes del conjunto de los </w:t>
      </w:r>
      <w:r w:rsidRPr="00A71B61">
        <w:lastRenderedPageBreak/>
        <w:t xml:space="preserve">hospitales. </w:t>
      </w:r>
      <w:r w:rsidR="009B088C" w:rsidRPr="00A71B61">
        <w:t>En la siguiente gráfica se muestra la evolución 2015-2020 del número de donaciones de sangre obtenidas en los maratones de donación hospitalarios</w:t>
      </w:r>
    </w:p>
    <w:p w:rsidR="009B088C" w:rsidRPr="00A71B61" w:rsidRDefault="009B088C" w:rsidP="005D6601">
      <w:pPr>
        <w:spacing w:before="120" w:after="120"/>
        <w:rPr>
          <w:rFonts w:cs="Calibri"/>
          <w:szCs w:val="20"/>
        </w:rPr>
      </w:pPr>
      <w:r w:rsidRPr="00A71B61">
        <w:rPr>
          <w:rFonts w:cs="Calibri"/>
          <w:noProof/>
          <w:szCs w:val="20"/>
          <w:lang w:eastAsia="es-ES"/>
        </w:rPr>
        <w:drawing>
          <wp:inline distT="0" distB="0" distL="0" distR="0">
            <wp:extent cx="5039995" cy="2995147"/>
            <wp:effectExtent l="0" t="0" r="8255" b="0"/>
            <wp:docPr id="8" name="Gráfic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E7EC9" w:rsidRPr="00A71B61" w:rsidRDefault="0065006F" w:rsidP="006C2819">
      <w:r w:rsidRPr="00A71B61">
        <w:t xml:space="preserve">A pesar de este descenso marcado del número de donaciones de sangre </w:t>
      </w:r>
      <w:r w:rsidR="004E7EC9" w:rsidRPr="00A71B61">
        <w:t xml:space="preserve">el CTCM ha podido abastecer las necesidades de componentes sanguíneos de todos los hospitales de la región (públicos y privados) de forma autosuficiente por </w:t>
      </w:r>
      <w:r w:rsidRPr="00A71B61">
        <w:t>séptimo</w:t>
      </w:r>
      <w:r w:rsidR="004E7EC9" w:rsidRPr="00A71B61">
        <w:t xml:space="preserve"> año consecutivo. </w:t>
      </w:r>
    </w:p>
    <w:p w:rsidR="002278D2" w:rsidRPr="00A71B61" w:rsidRDefault="002278D2">
      <w:pPr>
        <w:rPr>
          <w:rFonts w:ascii="Cambria" w:eastAsia="Times New Roman" w:hAnsi="Cambria" w:cs="Times New Roman"/>
          <w:b/>
          <w:bCs/>
          <w:color w:val="365F91"/>
          <w:szCs w:val="20"/>
          <w:lang w:eastAsia="x-none"/>
        </w:rPr>
      </w:pPr>
      <w:r w:rsidRPr="00A71B61">
        <w:rPr>
          <w:szCs w:val="20"/>
        </w:rPr>
        <w:br w:type="page"/>
      </w:r>
    </w:p>
    <w:p w:rsidR="0065006F" w:rsidRPr="00B51AC6" w:rsidRDefault="0065006F" w:rsidP="00B51AC6">
      <w:pPr>
        <w:pStyle w:val="Ttulo1"/>
      </w:pPr>
      <w:bookmarkStart w:id="26" w:name="_Toc90584868"/>
      <w:r w:rsidRPr="00B51AC6">
        <w:lastRenderedPageBreak/>
        <w:t>Donación por procedimiento de aféresis</w:t>
      </w:r>
      <w:bookmarkEnd w:id="26"/>
    </w:p>
    <w:p w:rsidR="0065006F" w:rsidRPr="00A71B61" w:rsidRDefault="0065006F" w:rsidP="0065006F">
      <w:pPr>
        <w:rPr>
          <w:szCs w:val="20"/>
          <w:lang w:eastAsia="x-none"/>
        </w:rPr>
      </w:pPr>
    </w:p>
    <w:p w:rsidR="00746270" w:rsidRPr="00B51AC6" w:rsidRDefault="00746270" w:rsidP="00B51AC6">
      <w:pPr>
        <w:pStyle w:val="Ttulo2"/>
      </w:pPr>
      <w:bookmarkStart w:id="27" w:name="_Toc90584869"/>
      <w:r w:rsidRPr="00B51AC6">
        <w:t>Aféresis multicomponente</w:t>
      </w:r>
      <w:bookmarkEnd w:id="27"/>
    </w:p>
    <w:p w:rsidR="0065006F" w:rsidRPr="00A71B61" w:rsidRDefault="0065006F" w:rsidP="006C2819">
      <w:r w:rsidRPr="00A71B61">
        <w:t>E</w:t>
      </w:r>
      <w:r w:rsidR="00D12E4B" w:rsidRPr="00A71B61">
        <w:t>n la Comunidad de Madrid se dispone desde hace años de un programa de donación multicomponente pos aféresis. El objetivo de estos procedimientos es obtener de un mismo donante al menos dos componentes por proceso (plasma y plaquetas), y siempre que sus condiciones lo permitan obtener también un concentrado de hematíes. Estos procedimientos multicomponente se realizan, con una tecnología y bajo unos procedimientos comunes tanto en el Centro de Transfusión como en los 5 hospitales autorizados al efecto (La Paz, Ramón y Cajal, Gregorio Marañón, 12 de Octubre y Príncipe de Asturias.</w:t>
      </w:r>
    </w:p>
    <w:p w:rsidR="00D12E4B" w:rsidRPr="00A71B61" w:rsidRDefault="00D12E4B" w:rsidP="006C2819">
      <w:r w:rsidRPr="00A71B61">
        <w:t>En la siguiente tabla se muestran los resultados 2020 y se comparan con los de 2019</w:t>
      </w:r>
      <w:r w:rsidR="00746270" w:rsidRPr="00A71B61">
        <w:t>:</w:t>
      </w:r>
    </w:p>
    <w:tbl>
      <w:tblPr>
        <w:tblStyle w:val="Tabladecuadrcula5oscura-nfasis1"/>
        <w:tblW w:w="5000" w:type="pct"/>
        <w:tblLook w:val="0260" w:firstRow="1" w:lastRow="1" w:firstColumn="0" w:lastColumn="0" w:noHBand="1" w:noVBand="0"/>
      </w:tblPr>
      <w:tblGrid>
        <w:gridCol w:w="2799"/>
        <w:gridCol w:w="1329"/>
        <w:gridCol w:w="1200"/>
        <w:gridCol w:w="1329"/>
        <w:gridCol w:w="1270"/>
      </w:tblGrid>
      <w:tr w:rsidR="00D12E4B" w:rsidRPr="00A71B61" w:rsidTr="0074730F">
        <w:trPr>
          <w:cnfStyle w:val="100000000000" w:firstRow="1" w:lastRow="0" w:firstColumn="0" w:lastColumn="0" w:oddVBand="0" w:evenVBand="0" w:oddHBand="0" w:evenHBand="0" w:firstRowFirstColumn="0" w:firstRowLastColumn="0" w:lastRowFirstColumn="0" w:lastRowLastColumn="0"/>
          <w:trHeight w:val="871"/>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rPr>
                <w:rFonts w:asciiTheme="majorHAnsi" w:hAnsiTheme="majorHAnsi"/>
                <w:szCs w:val="20"/>
                <w:lang w:eastAsia="x-none"/>
              </w:rPr>
            </w:pPr>
            <w:r w:rsidRPr="00A71B61">
              <w:rPr>
                <w:rFonts w:asciiTheme="majorHAnsi" w:hAnsiTheme="majorHAnsi"/>
                <w:szCs w:val="20"/>
                <w:lang w:eastAsia="x-none"/>
              </w:rPr>
              <w:t>Lugar de donación</w:t>
            </w:r>
          </w:p>
        </w:tc>
        <w:tc>
          <w:tcPr>
            <w:tcW w:w="838" w:type="pct"/>
            <w:hideMark/>
          </w:tcPr>
          <w:p w:rsidR="00D12E4B" w:rsidRPr="00A71B61" w:rsidRDefault="00D12E4B" w:rsidP="007473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Procesos 2019</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center"/>
              <w:rPr>
                <w:rFonts w:asciiTheme="majorHAnsi" w:hAnsiTheme="majorHAnsi"/>
                <w:szCs w:val="20"/>
                <w:lang w:eastAsia="x-none"/>
              </w:rPr>
            </w:pPr>
            <w:r w:rsidRPr="00A71B61">
              <w:rPr>
                <w:rFonts w:asciiTheme="majorHAnsi" w:hAnsiTheme="majorHAnsi"/>
                <w:szCs w:val="20"/>
                <w:lang w:eastAsia="x-none"/>
              </w:rPr>
              <w:t>Procesos 2020</w:t>
            </w:r>
          </w:p>
        </w:tc>
        <w:tc>
          <w:tcPr>
            <w:tcW w:w="838" w:type="pct"/>
            <w:hideMark/>
          </w:tcPr>
          <w:p w:rsidR="00D12E4B" w:rsidRPr="00A71B61" w:rsidRDefault="00D12E4B" w:rsidP="007473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Dif (%)</w:t>
            </w:r>
          </w:p>
          <w:p w:rsidR="00D12E4B" w:rsidRPr="00A71B61" w:rsidRDefault="00D12E4B" w:rsidP="007473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2020-2019</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center"/>
              <w:rPr>
                <w:rFonts w:asciiTheme="majorHAnsi" w:hAnsiTheme="majorHAnsi"/>
                <w:szCs w:val="20"/>
                <w:lang w:eastAsia="x-none"/>
              </w:rPr>
            </w:pPr>
            <w:r w:rsidRPr="00A71B61">
              <w:rPr>
                <w:rFonts w:asciiTheme="majorHAnsi" w:hAnsiTheme="majorHAnsi"/>
                <w:szCs w:val="20"/>
                <w:lang w:eastAsia="x-none"/>
              </w:rPr>
              <w:t>Dif (n)</w:t>
            </w:r>
          </w:p>
          <w:p w:rsidR="00D12E4B" w:rsidRPr="00A71B61" w:rsidRDefault="00D12E4B" w:rsidP="0074730F">
            <w:pPr>
              <w:jc w:val="center"/>
              <w:rPr>
                <w:rFonts w:asciiTheme="majorHAnsi" w:hAnsiTheme="majorHAnsi"/>
                <w:szCs w:val="20"/>
                <w:lang w:eastAsia="x-none"/>
              </w:rPr>
            </w:pPr>
            <w:r w:rsidRPr="00A71B61">
              <w:rPr>
                <w:rFonts w:asciiTheme="majorHAnsi" w:hAnsiTheme="majorHAnsi"/>
                <w:szCs w:val="20"/>
                <w:lang w:eastAsia="x-none"/>
              </w:rPr>
              <w:t>2020-2019</w:t>
            </w:r>
          </w:p>
        </w:tc>
      </w:tr>
      <w:tr w:rsidR="00D12E4B" w:rsidRPr="00A71B61" w:rsidTr="0074730F">
        <w:trPr>
          <w:trHeight w:val="462"/>
        </w:trPr>
        <w:tc>
          <w:tcPr>
            <w:cnfStyle w:val="000010000000" w:firstRow="0" w:lastRow="0" w:firstColumn="0" w:lastColumn="0" w:oddVBand="1" w:evenVBand="0" w:oddHBand="0" w:evenHBand="0" w:firstRowFirstColumn="0" w:firstRowLastColumn="0" w:lastRowFirstColumn="0" w:lastRowLastColumn="0"/>
            <w:tcW w:w="1765" w:type="pct"/>
          </w:tcPr>
          <w:p w:rsidR="00D12E4B" w:rsidRPr="00A71B61" w:rsidRDefault="00D12E4B" w:rsidP="00D12E4B">
            <w:pPr>
              <w:rPr>
                <w:rFonts w:asciiTheme="majorHAnsi" w:hAnsiTheme="majorHAnsi"/>
                <w:szCs w:val="20"/>
                <w:lang w:eastAsia="x-none"/>
              </w:rPr>
            </w:pPr>
            <w:r w:rsidRPr="00A71B61">
              <w:rPr>
                <w:rFonts w:asciiTheme="majorHAnsi" w:hAnsiTheme="majorHAnsi"/>
                <w:szCs w:val="20"/>
                <w:lang w:eastAsia="x-none"/>
              </w:rPr>
              <w:t>Total CTCM</w:t>
            </w:r>
          </w:p>
        </w:tc>
        <w:tc>
          <w:tcPr>
            <w:tcW w:w="838" w:type="pct"/>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2.999</w:t>
            </w:r>
          </w:p>
        </w:tc>
        <w:tc>
          <w:tcPr>
            <w:cnfStyle w:val="000010000000" w:firstRow="0" w:lastRow="0" w:firstColumn="0" w:lastColumn="0" w:oddVBand="1" w:evenVBand="0" w:oddHBand="0" w:evenHBand="0" w:firstRowFirstColumn="0" w:firstRowLastColumn="0" w:lastRowFirstColumn="0" w:lastRowLastColumn="0"/>
            <w:tcW w:w="757" w:type="pct"/>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2.771</w:t>
            </w:r>
          </w:p>
        </w:tc>
        <w:tc>
          <w:tcPr>
            <w:tcW w:w="838" w:type="pct"/>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-2,02</w:t>
            </w:r>
          </w:p>
        </w:tc>
        <w:tc>
          <w:tcPr>
            <w:cnfStyle w:val="000010000000" w:firstRow="0" w:lastRow="0" w:firstColumn="0" w:lastColumn="0" w:oddVBand="1" w:evenVBand="0" w:oddHBand="0" w:evenHBand="0" w:firstRowFirstColumn="0" w:firstRowLastColumn="0" w:lastRowFirstColumn="0" w:lastRowLastColumn="0"/>
            <w:tcW w:w="801" w:type="pct"/>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-228</w:t>
            </w:r>
          </w:p>
        </w:tc>
      </w:tr>
      <w:tr w:rsidR="00D12E4B" w:rsidRPr="00A71B61" w:rsidTr="0074730F">
        <w:trPr>
          <w:trHeight w:val="462"/>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jc w:val="right"/>
              <w:rPr>
                <w:rFonts w:asciiTheme="majorHAnsi" w:hAnsiTheme="majorHAnsi"/>
                <w:szCs w:val="20"/>
                <w:lang w:eastAsia="x-none"/>
              </w:rPr>
            </w:pPr>
            <w:r w:rsidRPr="00A71B61">
              <w:rPr>
                <w:rFonts w:asciiTheme="majorHAnsi" w:hAnsiTheme="majorHAnsi"/>
                <w:szCs w:val="20"/>
                <w:lang w:eastAsia="x-none"/>
              </w:rPr>
              <w:t>H. 12 Octubre</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227</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229</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0,88</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2</w:t>
            </w:r>
          </w:p>
        </w:tc>
      </w:tr>
      <w:tr w:rsidR="00D12E4B" w:rsidRPr="00A71B61" w:rsidTr="0074730F">
        <w:trPr>
          <w:trHeight w:val="537"/>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jc w:val="right"/>
              <w:rPr>
                <w:rFonts w:asciiTheme="majorHAnsi" w:hAnsiTheme="majorHAnsi"/>
                <w:szCs w:val="20"/>
                <w:lang w:eastAsia="x-none"/>
              </w:rPr>
            </w:pPr>
            <w:r w:rsidRPr="00A71B61">
              <w:rPr>
                <w:rFonts w:asciiTheme="majorHAnsi" w:hAnsiTheme="majorHAnsi"/>
                <w:szCs w:val="20"/>
                <w:lang w:eastAsia="x-none"/>
              </w:rPr>
              <w:t>H. Ramón y Cajal</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344</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354</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2,91</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10</w:t>
            </w:r>
          </w:p>
        </w:tc>
      </w:tr>
      <w:tr w:rsidR="00D12E4B" w:rsidRPr="00A71B61" w:rsidTr="0074730F">
        <w:trPr>
          <w:trHeight w:val="531"/>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jc w:val="right"/>
              <w:rPr>
                <w:rFonts w:asciiTheme="majorHAnsi" w:hAnsiTheme="majorHAnsi"/>
                <w:szCs w:val="20"/>
                <w:lang w:eastAsia="x-none"/>
              </w:rPr>
            </w:pPr>
            <w:r w:rsidRPr="00A71B61">
              <w:rPr>
                <w:rFonts w:asciiTheme="majorHAnsi" w:hAnsiTheme="majorHAnsi"/>
                <w:szCs w:val="20"/>
                <w:lang w:eastAsia="x-none"/>
              </w:rPr>
              <w:t>H. Gregorio Marañón</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357</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323</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-9,52</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-34</w:t>
            </w:r>
          </w:p>
        </w:tc>
      </w:tr>
      <w:tr w:rsidR="00D12E4B" w:rsidRPr="00A71B61" w:rsidTr="0074730F">
        <w:trPr>
          <w:trHeight w:val="539"/>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jc w:val="right"/>
              <w:rPr>
                <w:rFonts w:asciiTheme="majorHAnsi" w:hAnsiTheme="majorHAnsi"/>
                <w:szCs w:val="20"/>
                <w:lang w:eastAsia="x-none"/>
              </w:rPr>
            </w:pPr>
            <w:r w:rsidRPr="00A71B61">
              <w:rPr>
                <w:rFonts w:asciiTheme="majorHAnsi" w:hAnsiTheme="majorHAnsi"/>
                <w:szCs w:val="20"/>
                <w:lang w:eastAsia="x-none"/>
              </w:rPr>
              <w:t>H. Príncipe Asturias</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87</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166</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90,80</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79</w:t>
            </w:r>
          </w:p>
        </w:tc>
      </w:tr>
      <w:tr w:rsidR="00D12E4B" w:rsidRPr="00A71B61" w:rsidTr="0074730F">
        <w:trPr>
          <w:trHeight w:val="533"/>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jc w:val="right"/>
              <w:rPr>
                <w:rFonts w:asciiTheme="majorHAnsi" w:hAnsiTheme="majorHAnsi"/>
                <w:szCs w:val="20"/>
                <w:lang w:eastAsia="x-none"/>
              </w:rPr>
            </w:pPr>
            <w:r w:rsidRPr="00A71B61">
              <w:rPr>
                <w:rFonts w:asciiTheme="majorHAnsi" w:hAnsiTheme="majorHAnsi"/>
                <w:szCs w:val="20"/>
                <w:lang w:eastAsia="x-none"/>
              </w:rPr>
              <w:t>H. La Paz</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214</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183</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-14,49</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-31</w:t>
            </w:r>
          </w:p>
        </w:tc>
      </w:tr>
      <w:tr w:rsidR="009B088C" w:rsidRPr="00A71B61" w:rsidTr="0074730F">
        <w:trPr>
          <w:trHeight w:val="527"/>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rPr>
                <w:rFonts w:asciiTheme="majorHAnsi" w:hAnsiTheme="majorHAnsi"/>
                <w:szCs w:val="20"/>
                <w:lang w:eastAsia="x-none"/>
              </w:rPr>
            </w:pPr>
            <w:r w:rsidRPr="00A71B61">
              <w:rPr>
                <w:rFonts w:asciiTheme="majorHAnsi" w:hAnsiTheme="majorHAnsi"/>
                <w:szCs w:val="20"/>
                <w:lang w:eastAsia="x-none"/>
              </w:rPr>
              <w:t>Total Hospitales</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1.229</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1.255</w:t>
            </w:r>
          </w:p>
        </w:tc>
        <w:tc>
          <w:tcPr>
            <w:tcW w:w="838" w:type="pct"/>
            <w:hideMark/>
          </w:tcPr>
          <w:p w:rsidR="00D12E4B" w:rsidRPr="00A71B61" w:rsidRDefault="00D12E4B" w:rsidP="007473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2,12</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26</w:t>
            </w:r>
          </w:p>
        </w:tc>
      </w:tr>
      <w:tr w:rsidR="00D12E4B" w:rsidRPr="00A71B61" w:rsidTr="0074730F">
        <w:trPr>
          <w:cnfStyle w:val="010000000000" w:firstRow="0" w:lastRow="1" w:firstColumn="0" w:lastColumn="0" w:oddVBand="0" w:evenVBand="0" w:oddHBand="0" w:evenHBand="0" w:firstRowFirstColumn="0" w:firstRowLastColumn="0" w:lastRowFirstColumn="0" w:lastRowLastColumn="0"/>
          <w:trHeight w:val="743"/>
        </w:trPr>
        <w:tc>
          <w:tcPr>
            <w:cnfStyle w:val="000010000000" w:firstRow="0" w:lastRow="0" w:firstColumn="0" w:lastColumn="0" w:oddVBand="1" w:evenVBand="0" w:oddHBand="0" w:evenHBand="0" w:firstRowFirstColumn="0" w:firstRowLastColumn="0" w:lastRowFirstColumn="0" w:lastRowLastColumn="0"/>
            <w:tcW w:w="1765" w:type="pct"/>
            <w:hideMark/>
          </w:tcPr>
          <w:p w:rsidR="00D12E4B" w:rsidRPr="00A71B61" w:rsidRDefault="00D12E4B" w:rsidP="00D12E4B">
            <w:pPr>
              <w:rPr>
                <w:rFonts w:asciiTheme="majorHAnsi" w:hAnsiTheme="majorHAnsi"/>
                <w:szCs w:val="20"/>
                <w:lang w:eastAsia="x-none"/>
              </w:rPr>
            </w:pPr>
            <w:r w:rsidRPr="00A71B61">
              <w:rPr>
                <w:rFonts w:asciiTheme="majorHAnsi" w:hAnsiTheme="majorHAnsi"/>
                <w:szCs w:val="20"/>
                <w:lang w:eastAsia="x-none"/>
              </w:rPr>
              <w:t>Total CTCM + Hospitales</w:t>
            </w:r>
          </w:p>
        </w:tc>
        <w:tc>
          <w:tcPr>
            <w:tcW w:w="838" w:type="pct"/>
            <w:hideMark/>
          </w:tcPr>
          <w:p w:rsidR="00D12E4B" w:rsidRPr="00A71B61" w:rsidRDefault="00D12E4B" w:rsidP="0074730F">
            <w:pPr>
              <w:jc w:val="right"/>
              <w:cnfStyle w:val="010000000000" w:firstRow="0" w:lastRow="1"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eastAsia="x-none"/>
              </w:rPr>
              <w:t>4.228</w:t>
            </w:r>
          </w:p>
        </w:tc>
        <w:tc>
          <w:tcPr>
            <w:cnfStyle w:val="000010000000" w:firstRow="0" w:lastRow="0" w:firstColumn="0" w:lastColumn="0" w:oddVBand="1" w:evenVBand="0" w:oddHBand="0" w:evenHBand="0" w:firstRowFirstColumn="0" w:firstRowLastColumn="0" w:lastRowFirstColumn="0" w:lastRowLastColumn="0"/>
            <w:tcW w:w="757"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4.026</w:t>
            </w:r>
          </w:p>
        </w:tc>
        <w:tc>
          <w:tcPr>
            <w:tcW w:w="838" w:type="pct"/>
            <w:hideMark/>
          </w:tcPr>
          <w:p w:rsidR="00D12E4B" w:rsidRPr="00A71B61" w:rsidRDefault="00D12E4B" w:rsidP="0074730F">
            <w:pPr>
              <w:jc w:val="right"/>
              <w:cnfStyle w:val="010000000000" w:firstRow="0" w:lastRow="1" w:firstColumn="0" w:lastColumn="0" w:oddVBand="0" w:evenVBand="0" w:oddHBand="0" w:evenHBand="0" w:firstRowFirstColumn="0" w:firstRowLastColumn="0" w:lastRowFirstColumn="0" w:lastRowLastColumn="0"/>
              <w:rPr>
                <w:rFonts w:asciiTheme="majorHAnsi" w:hAnsiTheme="majorHAnsi"/>
                <w:szCs w:val="20"/>
                <w:lang w:eastAsia="x-none"/>
              </w:rPr>
            </w:pPr>
            <w:r w:rsidRPr="00A71B61">
              <w:rPr>
                <w:rFonts w:asciiTheme="majorHAnsi" w:hAnsiTheme="majorHAnsi"/>
                <w:szCs w:val="20"/>
                <w:lang w:val="en-US" w:eastAsia="x-none"/>
              </w:rPr>
              <w:t>-4,7</w:t>
            </w:r>
          </w:p>
        </w:tc>
        <w:tc>
          <w:tcPr>
            <w:cnfStyle w:val="000010000000" w:firstRow="0" w:lastRow="0" w:firstColumn="0" w:lastColumn="0" w:oddVBand="1" w:evenVBand="0" w:oddHBand="0" w:evenHBand="0" w:firstRowFirstColumn="0" w:firstRowLastColumn="0" w:lastRowFirstColumn="0" w:lastRowLastColumn="0"/>
            <w:tcW w:w="801" w:type="pct"/>
            <w:hideMark/>
          </w:tcPr>
          <w:p w:rsidR="00D12E4B" w:rsidRPr="00A71B61" w:rsidRDefault="00D12E4B" w:rsidP="0074730F">
            <w:pPr>
              <w:jc w:val="right"/>
              <w:rPr>
                <w:rFonts w:asciiTheme="majorHAnsi" w:hAnsiTheme="majorHAnsi"/>
                <w:szCs w:val="20"/>
                <w:lang w:eastAsia="x-none"/>
              </w:rPr>
            </w:pPr>
            <w:r w:rsidRPr="00A71B61">
              <w:rPr>
                <w:rFonts w:asciiTheme="majorHAnsi" w:hAnsiTheme="majorHAnsi"/>
                <w:szCs w:val="20"/>
                <w:lang w:eastAsia="x-none"/>
              </w:rPr>
              <w:t>-202</w:t>
            </w:r>
          </w:p>
        </w:tc>
      </w:tr>
    </w:tbl>
    <w:p w:rsidR="00D12E4B" w:rsidRPr="00A71B61" w:rsidRDefault="00D12E4B" w:rsidP="00D12E4B">
      <w:pPr>
        <w:rPr>
          <w:szCs w:val="20"/>
          <w:lang w:eastAsia="x-none"/>
        </w:rPr>
      </w:pPr>
    </w:p>
    <w:p w:rsidR="00746270" w:rsidRPr="00B51AC6" w:rsidRDefault="00746270" w:rsidP="00B51AC6">
      <w:pPr>
        <w:pStyle w:val="Ttulo2"/>
      </w:pPr>
      <w:bookmarkStart w:id="28" w:name="_Toc90584870"/>
      <w:r w:rsidRPr="00B51AC6">
        <w:t>Programa de obtención de plasma convaleciente de coronavirus</w:t>
      </w:r>
      <w:bookmarkEnd w:id="28"/>
      <w:r w:rsidRPr="00B51AC6">
        <w:t xml:space="preserve"> </w:t>
      </w:r>
    </w:p>
    <w:p w:rsidR="009B088C" w:rsidRPr="00A71B61" w:rsidRDefault="009B088C" w:rsidP="006C2819">
      <w:r w:rsidRPr="00A71B61">
        <w:t>La situación epidemiológica</w:t>
      </w:r>
      <w:r w:rsidR="008C500C" w:rsidRPr="00A71B61">
        <w:t xml:space="preserve"> aconsejó integrar en el plan de contingencia del Centro de Transfusión la puesta en marcha de un programa de donación de plasma de donante/paciente convaleciente Coronavirus</w:t>
      </w:r>
      <w:r w:rsidR="00ED7F9B" w:rsidRPr="00A71B61">
        <w:t>,</w:t>
      </w:r>
      <w:r w:rsidR="008C500C" w:rsidRPr="00A71B61">
        <w:t xml:space="preserve"> </w:t>
      </w:r>
      <w:r w:rsidR="00ED7F9B" w:rsidRPr="00A71B61">
        <w:t>con los siguientes objetivos:</w:t>
      </w:r>
    </w:p>
    <w:p w:rsidR="00ED7F9B" w:rsidRPr="00A71B61" w:rsidRDefault="00ED7F9B" w:rsidP="00846064">
      <w:pPr>
        <w:pStyle w:val="Prrafodelista"/>
        <w:numPr>
          <w:ilvl w:val="0"/>
          <w:numId w:val="23"/>
        </w:numPr>
      </w:pPr>
      <w:r w:rsidRPr="00A71B61">
        <w:t xml:space="preserve">Mantener un stock de 1.000 unidades inactivadas de PCC de 300 mL y de 300 unidades de 600 ml sin inactivar. </w:t>
      </w:r>
    </w:p>
    <w:p w:rsidR="00ED7F9B" w:rsidRPr="00A71B61" w:rsidRDefault="00ED7F9B" w:rsidP="00846064">
      <w:pPr>
        <w:pStyle w:val="Prrafodelista"/>
        <w:numPr>
          <w:ilvl w:val="0"/>
          <w:numId w:val="23"/>
        </w:numPr>
      </w:pPr>
      <w:r w:rsidRPr="00A71B61">
        <w:t>Abastecer las necesidades transfusionales de PCC (estudios observacionales y ensayos clínicos)</w:t>
      </w:r>
    </w:p>
    <w:p w:rsidR="00ED7F9B" w:rsidRPr="00A71B61" w:rsidRDefault="00ED7F9B" w:rsidP="00846064">
      <w:pPr>
        <w:pStyle w:val="Prrafodelista"/>
        <w:numPr>
          <w:ilvl w:val="0"/>
          <w:numId w:val="23"/>
        </w:numPr>
      </w:pPr>
      <w:r w:rsidRPr="00A71B61">
        <w:t>Destinar el excedente de PCC no inactivado a la producción de gammaglobulina hiperinmune.</w:t>
      </w:r>
    </w:p>
    <w:p w:rsidR="00ED7F9B" w:rsidRPr="00A71B61" w:rsidRDefault="00ED7F9B" w:rsidP="00846064">
      <w:pPr>
        <w:pStyle w:val="Prrafodelista"/>
        <w:numPr>
          <w:ilvl w:val="0"/>
          <w:numId w:val="23"/>
        </w:numPr>
      </w:pPr>
      <w:r w:rsidRPr="00A71B61">
        <w:lastRenderedPageBreak/>
        <w:t>Fidelizar a los donantes de PCC y para contribuir en un futuro próximo al incremento de la autosuficiencia en hemoderivados</w:t>
      </w:r>
    </w:p>
    <w:p w:rsidR="00ED7F9B" w:rsidRPr="00A71B61" w:rsidRDefault="00ED7F9B" w:rsidP="00846064">
      <w:pPr>
        <w:pStyle w:val="Prrafodelista"/>
        <w:numPr>
          <w:ilvl w:val="0"/>
          <w:numId w:val="23"/>
        </w:numPr>
      </w:pPr>
      <w:r w:rsidRPr="00A71B61">
        <w:t xml:space="preserve">Obtener información relevante sobre donantes convalecientes, recolección de plasma y pacientes con COVID-19 transfundidos. </w:t>
      </w:r>
    </w:p>
    <w:p w:rsidR="00ED7F9B" w:rsidRPr="00A71B61" w:rsidRDefault="00ED7F9B" w:rsidP="006C2819">
      <w:r w:rsidRPr="00A71B61">
        <w:t>El plan se inició en Abril del 2020. El reclutamiento de los donantes se hizo con la ayuda de algunos hospitales que de conformidad con pacientes recientemente recuperados de la infección derivaron a los mismos al Centro de Transfusión para completar estudio de idoneidad y para realizar las plasmaféresis.</w:t>
      </w:r>
    </w:p>
    <w:p w:rsidR="00ED7F9B" w:rsidRPr="00A71B61" w:rsidRDefault="00ED7F9B" w:rsidP="006C2819">
      <w:r w:rsidRPr="00A71B61">
        <w:t>El Centro de Transfusión solicitó fondos europeos a través del Ministerio de Sanidad, que le fueron concedidos, para potenciar el programa</w:t>
      </w:r>
    </w:p>
    <w:p w:rsidR="008C500C" w:rsidRPr="00A71B61" w:rsidRDefault="00A122A0" w:rsidP="00D12E4B">
      <w:pPr>
        <w:rPr>
          <w:szCs w:val="20"/>
          <w:lang w:eastAsia="x-none"/>
        </w:rPr>
      </w:pPr>
      <w:r w:rsidRPr="00A71B61">
        <w:rPr>
          <w:noProof/>
          <w:szCs w:val="20"/>
          <w:lang w:eastAsia="es-ES"/>
        </w:rPr>
        <mc:AlternateContent>
          <mc:Choice Requires="wps">
            <w:drawing>
              <wp:anchor distT="0" distB="0" distL="114300" distR="114300" simplePos="0" relativeHeight="251659264" behindDoc="0" locked="0" layoutInCell="1" allowOverlap="1" wp14:anchorId="71D88928" wp14:editId="1B12CAFE">
                <wp:simplePos x="0" y="0"/>
                <wp:positionH relativeFrom="column">
                  <wp:posOffset>2292458</wp:posOffset>
                </wp:positionH>
                <wp:positionV relativeFrom="paragraph">
                  <wp:posOffset>3468006</wp:posOffset>
                </wp:positionV>
                <wp:extent cx="2790702" cy="1852551"/>
                <wp:effectExtent l="0" t="0" r="10160" b="14605"/>
                <wp:wrapNone/>
                <wp:docPr id="9" name="CuadroTexto 7"/>
                <wp:cNvGraphicFramePr/>
                <a:graphic xmlns:a="http://schemas.openxmlformats.org/drawingml/2006/main">
                  <a:graphicData uri="http://schemas.microsoft.com/office/word/2010/wordprocessingShape">
                    <wps:wsp>
                      <wps:cNvSpPr txBox="1"/>
                      <wps:spPr>
                        <a:xfrm>
                          <a:off x="0" y="0"/>
                          <a:ext cx="2790702" cy="1852551"/>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E87599" w:rsidRPr="00260936" w:rsidRDefault="00E87599" w:rsidP="00260936">
                            <w:pPr>
                              <w:pStyle w:val="NormalWeb"/>
                              <w:spacing w:before="0" w:beforeAutospacing="0" w:after="0" w:afterAutospacing="0"/>
                              <w:jc w:val="left"/>
                              <w:rPr>
                                <w:rFonts w:asciiTheme="minorHAnsi" w:hAnsi="Montserrat" w:cstheme="minorBidi"/>
                                <w:b/>
                                <w:bCs/>
                                <w:color w:val="000000" w:themeColor="text1"/>
                                <w:kern w:val="24"/>
                                <w:sz w:val="20"/>
                                <w:szCs w:val="20"/>
                                <w:lang w:val="en-GB"/>
                              </w:rPr>
                            </w:pPr>
                            <w:r w:rsidRPr="00260936">
                              <w:rPr>
                                <w:rFonts w:asciiTheme="minorHAnsi" w:hAnsi="Montserrat" w:cstheme="minorBidi"/>
                                <w:b/>
                                <w:bCs/>
                                <w:color w:val="000000" w:themeColor="text1"/>
                                <w:kern w:val="24"/>
                                <w:sz w:val="20"/>
                                <w:szCs w:val="20"/>
                                <w:lang w:val="en-IE"/>
                              </w:rPr>
                              <w:t>Action Grants to support capacity building for collection of COVID-19 convalescent plasma</w:t>
                            </w:r>
                            <w:r w:rsidRPr="00260936">
                              <w:rPr>
                                <w:rFonts w:asciiTheme="minorHAnsi" w:hAnsi="Montserrat" w:cstheme="minorBidi"/>
                                <w:color w:val="000000" w:themeColor="text1"/>
                                <w:kern w:val="24"/>
                                <w:sz w:val="20"/>
                                <w:szCs w:val="20"/>
                                <w:lang w:val="en-US"/>
                              </w:rPr>
                              <w:br/>
                            </w:r>
                          </w:p>
                          <w:p w:rsidR="00E87599" w:rsidRPr="00260936" w:rsidRDefault="00E87599" w:rsidP="008C500C">
                            <w:pPr>
                              <w:pStyle w:val="NormalWeb"/>
                              <w:spacing w:before="0" w:beforeAutospacing="0" w:after="0" w:afterAutospacing="0"/>
                              <w:jc w:val="center"/>
                              <w:rPr>
                                <w:rFonts w:asciiTheme="minorHAnsi" w:hAnsi="Montserrat" w:cstheme="minorBidi"/>
                                <w:b/>
                                <w:bCs/>
                                <w:color w:val="000000" w:themeColor="text1"/>
                                <w:kern w:val="24"/>
                                <w:sz w:val="20"/>
                                <w:szCs w:val="20"/>
                                <w:lang w:val="en-GB"/>
                              </w:rPr>
                            </w:pPr>
                            <w:r w:rsidRPr="00260936">
                              <w:rPr>
                                <w:rFonts w:asciiTheme="minorHAnsi" w:hAnsi="Montserrat" w:cstheme="minorBidi"/>
                                <w:b/>
                                <w:bCs/>
                                <w:color w:val="000000" w:themeColor="text1"/>
                                <w:kern w:val="24"/>
                                <w:sz w:val="20"/>
                                <w:szCs w:val="20"/>
                                <w:lang w:val="en-GB"/>
                              </w:rPr>
                              <w:t>Emergency Support Instrument</w:t>
                            </w:r>
                          </w:p>
                          <w:p w:rsidR="00E87599" w:rsidRPr="00260936" w:rsidRDefault="00E87599" w:rsidP="008C500C">
                            <w:pPr>
                              <w:pStyle w:val="NormalWeb"/>
                              <w:spacing w:before="0" w:beforeAutospacing="0" w:after="0" w:afterAutospacing="0"/>
                              <w:jc w:val="center"/>
                              <w:rPr>
                                <w:rFonts w:asciiTheme="minorHAnsi" w:hAnsi="Montserrat" w:cstheme="minorBidi"/>
                                <w:b/>
                                <w:bCs/>
                                <w:color w:val="000000" w:themeColor="text1"/>
                                <w:kern w:val="24"/>
                                <w:sz w:val="20"/>
                                <w:szCs w:val="20"/>
                                <w:lang w:val="en-GB"/>
                              </w:rPr>
                            </w:pPr>
                          </w:p>
                          <w:p w:rsidR="00E87599" w:rsidRPr="006B5C9E" w:rsidRDefault="00E87599" w:rsidP="008C500C">
                            <w:pPr>
                              <w:pStyle w:val="NormalWeb"/>
                              <w:spacing w:before="0" w:beforeAutospacing="0" w:after="0" w:afterAutospacing="0"/>
                              <w:jc w:val="center"/>
                              <w:rPr>
                                <w:sz w:val="28"/>
                                <w:szCs w:val="28"/>
                                <w:lang w:val="en-US"/>
                              </w:rPr>
                            </w:pPr>
                            <w:r w:rsidRPr="006054ED">
                              <w:rPr>
                                <w:rFonts w:asciiTheme="minorHAnsi" w:hAnsi="Montserrat" w:cstheme="minorBidi"/>
                                <w:b/>
                                <w:bCs/>
                                <w:noProof/>
                                <w:color w:val="000000" w:themeColor="text1"/>
                                <w:kern w:val="24"/>
                                <w:sz w:val="32"/>
                                <w:szCs w:val="32"/>
                              </w:rPr>
                              <w:drawing>
                                <wp:inline distT="0" distB="0" distL="0" distR="0" wp14:anchorId="4953BB2B" wp14:editId="2C404B2C">
                                  <wp:extent cx="1464779" cy="724886"/>
                                  <wp:effectExtent l="0" t="0" r="2540" b="0"/>
                                  <wp:docPr id="25" name="Imagen 25" descr="C:\Users\50047396v\Desktop\logo 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50047396v\Desktop\logo u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98321" cy="741485"/>
                                          </a:xfrm>
                                          <a:prstGeom prst="rect">
                                            <a:avLst/>
                                          </a:prstGeom>
                                          <a:noFill/>
                                          <a:ln>
                                            <a:noFill/>
                                          </a:ln>
                                        </pic:spPr>
                                      </pic:pic>
                                    </a:graphicData>
                                  </a:graphic>
                                </wp:inline>
                              </w:drawing>
                            </w:r>
                            <w:r w:rsidRPr="006B5C9E">
                              <w:rPr>
                                <w:rFonts w:asciiTheme="minorHAnsi" w:hAnsi="Montserrat" w:cstheme="minorBidi"/>
                                <w:b/>
                                <w:bCs/>
                                <w:color w:val="000000" w:themeColor="text1"/>
                                <w:kern w:val="24"/>
                                <w:sz w:val="28"/>
                                <w:szCs w:val="28"/>
                                <w:lang w:val="en-GB"/>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D88928" id="CuadroTexto 7" o:spid="_x0000_s1089" type="#_x0000_t202" style="position:absolute;left:0;text-align:left;margin-left:180.5pt;margin-top:273.05pt;width:219.75pt;height:14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" fillcolor="#f55 [2165]" strokecolor="red [3205]" strokeweight=".5pt">
                <v:fill color2="#ff3131 [2613]" rotate="t" colors="0 #ff9c9c;.5 #ff8e8e;1 #ff7979" focus="100%" type="gradient">
                  <o:fill v:ext="view" type="gradientUnscaled"/>
                </v:fill>
                <v:textbox>
                  <w:txbxContent>
                    <w:p w:rsidR="00E87599" w:rsidRPr="00260936" w:rsidRDefault="00E87599" w:rsidP="00260936">
                      <w:pPr>
                        <w:pStyle w:val="NormalWeb"/>
                        <w:spacing w:before="0" w:beforeAutospacing="0" w:after="0" w:afterAutospacing="0"/>
                        <w:jc w:val="left"/>
                        <w:rPr>
                          <w:rFonts w:asciiTheme="minorHAnsi" w:hAnsi="Montserrat" w:cstheme="minorBidi"/>
                          <w:b/>
                          <w:bCs/>
                          <w:color w:val="000000" w:themeColor="text1"/>
                          <w:kern w:val="24"/>
                          <w:sz w:val="20"/>
                          <w:szCs w:val="20"/>
                          <w:lang w:val="en-GB"/>
                        </w:rPr>
                      </w:pPr>
                      <w:r w:rsidRPr="00260936">
                        <w:rPr>
                          <w:rFonts w:asciiTheme="minorHAnsi" w:hAnsi="Montserrat" w:cstheme="minorBidi"/>
                          <w:b/>
                          <w:bCs/>
                          <w:color w:val="000000" w:themeColor="text1"/>
                          <w:kern w:val="24"/>
                          <w:sz w:val="20"/>
                          <w:szCs w:val="20"/>
                          <w:lang w:val="en-IE"/>
                        </w:rPr>
                        <w:t>Action Grants to support capacity building for collection of COVID-19 convalescent plasma</w:t>
                      </w:r>
                      <w:r w:rsidRPr="00260936">
                        <w:rPr>
                          <w:rFonts w:asciiTheme="minorHAnsi" w:hAnsi="Montserrat" w:cstheme="minorBidi"/>
                          <w:color w:val="000000" w:themeColor="text1"/>
                          <w:kern w:val="24"/>
                          <w:sz w:val="20"/>
                          <w:szCs w:val="20"/>
                          <w:lang w:val="en-US"/>
                        </w:rPr>
                        <w:br/>
                      </w:r>
                    </w:p>
                    <w:p w:rsidR="00E87599" w:rsidRPr="00260936" w:rsidRDefault="00E87599" w:rsidP="008C500C">
                      <w:pPr>
                        <w:pStyle w:val="NormalWeb"/>
                        <w:spacing w:before="0" w:beforeAutospacing="0" w:after="0" w:afterAutospacing="0"/>
                        <w:jc w:val="center"/>
                        <w:rPr>
                          <w:rFonts w:asciiTheme="minorHAnsi" w:hAnsi="Montserrat" w:cstheme="minorBidi"/>
                          <w:b/>
                          <w:bCs/>
                          <w:color w:val="000000" w:themeColor="text1"/>
                          <w:kern w:val="24"/>
                          <w:sz w:val="20"/>
                          <w:szCs w:val="20"/>
                          <w:lang w:val="en-GB"/>
                        </w:rPr>
                      </w:pPr>
                      <w:r w:rsidRPr="00260936">
                        <w:rPr>
                          <w:rFonts w:asciiTheme="minorHAnsi" w:hAnsi="Montserrat" w:cstheme="minorBidi"/>
                          <w:b/>
                          <w:bCs/>
                          <w:color w:val="000000" w:themeColor="text1"/>
                          <w:kern w:val="24"/>
                          <w:sz w:val="20"/>
                          <w:szCs w:val="20"/>
                          <w:lang w:val="en-GB"/>
                        </w:rPr>
                        <w:t>Emergency Support Instrument</w:t>
                      </w:r>
                    </w:p>
                    <w:p w:rsidR="00E87599" w:rsidRPr="00260936" w:rsidRDefault="00E87599" w:rsidP="008C500C">
                      <w:pPr>
                        <w:pStyle w:val="NormalWeb"/>
                        <w:spacing w:before="0" w:beforeAutospacing="0" w:after="0" w:afterAutospacing="0"/>
                        <w:jc w:val="center"/>
                        <w:rPr>
                          <w:rFonts w:asciiTheme="minorHAnsi" w:hAnsi="Montserrat" w:cstheme="minorBidi"/>
                          <w:b/>
                          <w:bCs/>
                          <w:color w:val="000000" w:themeColor="text1"/>
                          <w:kern w:val="24"/>
                          <w:sz w:val="20"/>
                          <w:szCs w:val="20"/>
                          <w:lang w:val="en-GB"/>
                        </w:rPr>
                      </w:pPr>
                    </w:p>
                    <w:p w:rsidR="00E87599" w:rsidRPr="006B5C9E" w:rsidRDefault="00E87599" w:rsidP="008C500C">
                      <w:pPr>
                        <w:pStyle w:val="NormalWeb"/>
                        <w:spacing w:before="0" w:beforeAutospacing="0" w:after="0" w:afterAutospacing="0"/>
                        <w:jc w:val="center"/>
                        <w:rPr>
                          <w:sz w:val="28"/>
                          <w:szCs w:val="28"/>
                          <w:lang w:val="en-US"/>
                        </w:rPr>
                      </w:pPr>
                      <w:r w:rsidRPr="006054ED">
                        <w:rPr>
                          <w:rFonts w:asciiTheme="minorHAnsi" w:hAnsi="Montserrat" w:cstheme="minorBidi"/>
                          <w:b/>
                          <w:bCs/>
                          <w:noProof/>
                          <w:color w:val="000000" w:themeColor="text1"/>
                          <w:kern w:val="24"/>
                          <w:sz w:val="32"/>
                          <w:szCs w:val="32"/>
                        </w:rPr>
                        <w:drawing>
                          <wp:inline distT="0" distB="0" distL="0" distR="0" wp14:anchorId="4953BB2B" wp14:editId="2C404B2C">
                            <wp:extent cx="1464779" cy="724886"/>
                            <wp:effectExtent l="0" t="0" r="2540" b="0"/>
                            <wp:docPr id="25" name="Imagen 25" descr="C:\Users\50047396v\Desktop\logo 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50047396v\Desktop\logo u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98321" cy="741485"/>
                                    </a:xfrm>
                                    <a:prstGeom prst="rect">
                                      <a:avLst/>
                                    </a:prstGeom>
                                    <a:noFill/>
                                    <a:ln>
                                      <a:noFill/>
                                    </a:ln>
                                  </pic:spPr>
                                </pic:pic>
                              </a:graphicData>
                            </a:graphic>
                          </wp:inline>
                        </w:drawing>
                      </w:r>
                      <w:r w:rsidRPr="006B5C9E">
                        <w:rPr>
                          <w:rFonts w:asciiTheme="minorHAnsi" w:hAnsi="Montserrat" w:cstheme="minorBidi"/>
                          <w:b/>
                          <w:bCs/>
                          <w:color w:val="000000" w:themeColor="text1"/>
                          <w:kern w:val="24"/>
                          <w:sz w:val="28"/>
                          <w:szCs w:val="28"/>
                          <w:lang w:val="en-GB"/>
                        </w:rPr>
                        <w:t xml:space="preserve"> </w:t>
                      </w:r>
                    </w:p>
                  </w:txbxContent>
                </v:textbox>
              </v:shape>
            </w:pict>
          </mc:Fallback>
        </mc:AlternateContent>
      </w:r>
      <w:r w:rsidR="008C500C" w:rsidRPr="00A71B61">
        <w:rPr>
          <w:noProof/>
          <w:szCs w:val="20"/>
          <w:lang w:eastAsia="es-ES"/>
        </w:rPr>
        <w:drawing>
          <wp:inline distT="0" distB="0" distL="0" distR="0" wp14:anchorId="4467B14F" wp14:editId="6EA9B04E">
            <wp:extent cx="5151120" cy="3466937"/>
            <wp:effectExtent l="0" t="0" r="0" b="635"/>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79"/>
                    <a:stretch>
                      <a:fillRect/>
                    </a:stretch>
                  </pic:blipFill>
                  <pic:spPr>
                    <a:xfrm>
                      <a:off x="0" y="0"/>
                      <a:ext cx="5245537" cy="3530484"/>
                    </a:xfrm>
                    <a:prstGeom prst="rect">
                      <a:avLst/>
                    </a:prstGeom>
                  </pic:spPr>
                </pic:pic>
              </a:graphicData>
            </a:graphic>
          </wp:inline>
        </w:drawing>
      </w:r>
      <w:r w:rsidR="008C500C" w:rsidRPr="00A71B61">
        <w:rPr>
          <w:noProof/>
          <w:szCs w:val="20"/>
          <w:lang w:eastAsia="es-ES"/>
        </w:rPr>
        <w:t xml:space="preserve"> </w:t>
      </w:r>
    </w:p>
    <w:p w:rsidR="008C500C" w:rsidRPr="006C2819" w:rsidRDefault="00663374" w:rsidP="00663374">
      <w:r w:rsidRPr="00A71B61">
        <w:rPr>
          <w:noProof/>
          <w:szCs w:val="20"/>
          <w:lang w:eastAsia="es-ES"/>
        </w:rPr>
        <w:drawing>
          <wp:inline distT="0" distB="0" distL="0" distR="0" wp14:anchorId="1A7D2500" wp14:editId="4E0143B8">
            <wp:extent cx="2173184" cy="107637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87032" cy="1083232"/>
                    </a:xfrm>
                    <a:prstGeom prst="rect">
                      <a:avLst/>
                    </a:prstGeom>
                    <a:noFill/>
                    <a:ln>
                      <a:noFill/>
                    </a:ln>
                  </pic:spPr>
                </pic:pic>
              </a:graphicData>
            </a:graphic>
          </wp:inline>
        </w:drawing>
      </w:r>
      <w:r w:rsidR="002278D2" w:rsidRPr="00A71B61">
        <w:rPr>
          <w:szCs w:val="20"/>
          <w:lang w:eastAsia="x-none"/>
        </w:rPr>
        <w:br w:type="page"/>
      </w:r>
      <w:r w:rsidR="00ED7F9B" w:rsidRPr="006C2819">
        <w:lastRenderedPageBreak/>
        <w:t xml:space="preserve">En la siguiente gráfica se muestra la evolución del número de procesos de plasmaféresis de donante convaleciente llevados a cabo en el Centro de Transfusión entre </w:t>
      </w:r>
      <w:r w:rsidRPr="006C2819">
        <w:t>Ab</w:t>
      </w:r>
      <w:r w:rsidR="005E430A" w:rsidRPr="006C2819">
        <w:t>ril de 2020 y el 15 de Octubre de 2021:</w:t>
      </w:r>
    </w:p>
    <w:p w:rsidR="005E430A" w:rsidRPr="00A71B61" w:rsidRDefault="005E430A" w:rsidP="00D12E4B">
      <w:pPr>
        <w:rPr>
          <w:szCs w:val="20"/>
          <w:lang w:eastAsia="x-none"/>
        </w:rPr>
      </w:pPr>
      <w:r w:rsidRPr="00A71B61">
        <w:rPr>
          <w:noProof/>
          <w:szCs w:val="20"/>
          <w:lang w:eastAsia="es-ES"/>
        </w:rPr>
        <w:drawing>
          <wp:inline distT="0" distB="0" distL="0" distR="0" wp14:anchorId="15234B60" wp14:editId="060F4C10">
            <wp:extent cx="4941570" cy="2870522"/>
            <wp:effectExtent l="0" t="0" r="11430" b="635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663374" w:rsidRPr="00A71B61" w:rsidRDefault="00663374" w:rsidP="00D12E4B">
      <w:pPr>
        <w:rPr>
          <w:szCs w:val="20"/>
          <w:lang w:eastAsia="x-none"/>
        </w:rPr>
      </w:pPr>
    </w:p>
    <w:p w:rsidR="009B088C" w:rsidRPr="00A71B61" w:rsidRDefault="005E430A" w:rsidP="006C2819">
      <w:r w:rsidRPr="00A71B61">
        <w:t>A continuación se muestra la evolución que en el mismo periodo ha tenido la distribución de unidades de plasma convaleciente (300 mL/unidad) de coronavirus con alto título de anticuerpos neutralizantes IgG anti-SARS-CoV-2. Todas las unidades distribuidas han sido tratadas con azul de metileno, método de reducción de patógenos habitualmente utilizado para tratar el plasma de uso transfusional:</w:t>
      </w:r>
    </w:p>
    <w:p w:rsidR="005E430A" w:rsidRPr="00A71B61" w:rsidRDefault="005E430A" w:rsidP="00D12E4B">
      <w:pPr>
        <w:rPr>
          <w:szCs w:val="20"/>
          <w:lang w:eastAsia="x-none"/>
        </w:rPr>
      </w:pPr>
      <w:r w:rsidRPr="00A71B61">
        <w:rPr>
          <w:noProof/>
          <w:szCs w:val="20"/>
          <w:lang w:eastAsia="es-ES"/>
        </w:rPr>
        <w:drawing>
          <wp:inline distT="0" distB="0" distL="0" distR="0" wp14:anchorId="0DB22348" wp14:editId="060044AC">
            <wp:extent cx="4914900" cy="2673752"/>
            <wp:effectExtent l="0" t="0" r="0" b="1270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63374" w:rsidRPr="00A71B61" w:rsidRDefault="00663374" w:rsidP="00D12E4B">
      <w:pPr>
        <w:rPr>
          <w:szCs w:val="20"/>
          <w:lang w:eastAsia="x-none"/>
        </w:rPr>
      </w:pPr>
    </w:p>
    <w:p w:rsidR="00663374" w:rsidRPr="00A71B61" w:rsidRDefault="00CA401D" w:rsidP="006C2819">
      <w:r w:rsidRPr="00A71B61">
        <w:t xml:space="preserve">Todas las dosis suministradas se han transfundido en el contexto de dos ensayos clínicos, en los que el Centro de Transfusion ha colaborado parcial (Complas19) </w:t>
      </w:r>
      <w:r w:rsidRPr="00A71B61">
        <w:lastRenderedPageBreak/>
        <w:t>y totalmente (Grifols) en la obtención de selección de los donantes y en la realización de las plasmaféresis y un estudio observacional (PlasMadrid), aún en curso, coordinado por el Centro de Transfusión, en los que participan hospitales madrileños</w:t>
      </w:r>
      <w:r w:rsidR="00A122A0" w:rsidRPr="00A71B61">
        <w:t xml:space="preserve">. </w:t>
      </w:r>
    </w:p>
    <w:p w:rsidR="0099617B" w:rsidRPr="00A71B61" w:rsidRDefault="0099617B" w:rsidP="00A122A0">
      <w:pPr>
        <w:rPr>
          <w:szCs w:val="20"/>
          <w:lang w:eastAsia="x-none"/>
        </w:rPr>
      </w:pPr>
    </w:p>
    <w:p w:rsidR="0099617B" w:rsidRPr="00A71B61" w:rsidRDefault="0099617B" w:rsidP="00A122A0">
      <w:pPr>
        <w:rPr>
          <w:szCs w:val="20"/>
          <w:lang w:eastAsia="x-none"/>
        </w:rPr>
      </w:pPr>
    </w:p>
    <w:p w:rsidR="00B51AC6" w:rsidRDefault="00B51AC6">
      <w:pPr>
        <w:rPr>
          <w:szCs w:val="20"/>
        </w:rPr>
      </w:pPr>
      <w:r>
        <w:rPr>
          <w:szCs w:val="20"/>
        </w:rPr>
        <w:br w:type="page"/>
      </w:r>
    </w:p>
    <w:p w:rsidR="00663374" w:rsidRPr="00B51AC6" w:rsidRDefault="00663374" w:rsidP="00B51AC6">
      <w:pPr>
        <w:pStyle w:val="Ttulo1"/>
      </w:pPr>
      <w:bookmarkStart w:id="29" w:name="_Toc56606581"/>
      <w:bookmarkStart w:id="30" w:name="_Toc90584871"/>
      <w:r w:rsidRPr="00B51AC6">
        <w:lastRenderedPageBreak/>
        <w:t>Donación de sangre de cordón umbilical. Banco de cordón umbilical (BSCU)</w:t>
      </w:r>
      <w:bookmarkEnd w:id="29"/>
      <w:bookmarkEnd w:id="30"/>
    </w:p>
    <w:p w:rsidR="0099617B" w:rsidRPr="00A71B61" w:rsidRDefault="0099617B" w:rsidP="0099617B">
      <w:pPr>
        <w:rPr>
          <w:szCs w:val="20"/>
          <w:lang w:eastAsia="x-none"/>
        </w:rPr>
      </w:pPr>
    </w:p>
    <w:p w:rsidR="00CB0D9A" w:rsidRPr="00A71B61" w:rsidRDefault="00CB0D9A" w:rsidP="006C2819">
      <w:r w:rsidRPr="00A71B61">
        <w:t xml:space="preserve">Como consecuencia de la pandemia la donación de sangre de cordón umbilical se paralizó en el mes de marzo de 2020 por recomendación de la ONT (Ministerio de Sanidad). </w:t>
      </w:r>
    </w:p>
    <w:p w:rsidR="00CB0D9A" w:rsidRPr="00A71B61" w:rsidRDefault="00CB0D9A" w:rsidP="006C2819">
      <w:r w:rsidRPr="00A71B61">
        <w:t xml:space="preserve">A partir de ese momento sólo se mantuvo la criopreservación de los cordones dirigidos.  </w:t>
      </w:r>
    </w:p>
    <w:p w:rsidR="00CB0D9A" w:rsidRPr="00A71B61" w:rsidRDefault="00CB0D9A" w:rsidP="006C2819">
      <w:r w:rsidRPr="00A71B61">
        <w:t xml:space="preserve">La reanudación de la donación se ha llevado a cabo de manera progresiva. Se incorporaron 6 maternidades (Hospital U. La Paz, Hospital U. Gregorio Marañón, Hospital U. Doce de Octubre, Hospital Quirón Pozuelo, Hospital de Torrejón, Hospital HM Montepríncipe) durante el mes de julio. A partir de Septiembre se fueron incorporando el resto de maternidades. A finales de año las 34 maternidades de la Comunidad de Madrid  habían reanudado la actividad. La maternidad del Hospital de S. Pedro (La Rioja) continúa sin actividad de donación en la actualidad por decisión propia. Se mantiene el acuerdo de colaboración con la comunidad autónoma de La Rioja. </w:t>
      </w:r>
    </w:p>
    <w:p w:rsidR="00CB0D9A" w:rsidRPr="00A71B61" w:rsidRDefault="00CB0D9A" w:rsidP="006C2819">
      <w:r w:rsidRPr="00A71B61">
        <w:t>Para la reanudación de la donación de sangre de cordón umbilical se incorporó como requisito imprescindible un RT-PCR-SARS-CoV-2 negativa de la donante en las 48h previas al parto.</w:t>
      </w:r>
    </w:p>
    <w:p w:rsidR="00CB0D9A" w:rsidRPr="00A71B61" w:rsidRDefault="00CB0D9A" w:rsidP="006C2819">
      <w:r w:rsidRPr="00A71B61">
        <w:t>Se ha eliminado cómo criterio en las maternidades de no envío de la unidad de SCU al CTCM el peso.</w:t>
      </w:r>
    </w:p>
    <w:p w:rsidR="00CB0D9A" w:rsidRPr="00A71B61" w:rsidRDefault="00CB0D9A" w:rsidP="006C2819">
      <w:r w:rsidRPr="00A71B61">
        <w:t>No se ha podido realizado la edición del curso: DONACIÓN DE SCU programada para 2020 debido a la situación excepcional derivada de la pandemia por el virus SARS-CoV-2</w:t>
      </w:r>
    </w:p>
    <w:p w:rsidR="00CB0D9A" w:rsidRPr="00A71B61" w:rsidRDefault="00CB0D9A" w:rsidP="006C2819">
      <w:r w:rsidRPr="00A71B61">
        <w:t>Se Durante Enero y Febrero de 2020 se auditaron 4 maternidades. El resto de auditorías programadas para 2020 se tuvieron que cancelar.</w:t>
      </w:r>
    </w:p>
    <w:p w:rsidR="00CB0D9A" w:rsidRPr="00A71B61" w:rsidRDefault="00CB0D9A" w:rsidP="006C2819">
      <w:r w:rsidRPr="00A71B61">
        <w:t>Se han considerado Unidades no procesables aquellas con alguna de las siguientes características:</w:t>
      </w:r>
    </w:p>
    <w:p w:rsidR="00CB0D9A" w:rsidRPr="00A71B61" w:rsidRDefault="00CB0D9A" w:rsidP="00846064">
      <w:pPr>
        <w:pStyle w:val="Prrafodelista"/>
        <w:numPr>
          <w:ilvl w:val="0"/>
          <w:numId w:val="24"/>
        </w:numPr>
      </w:pPr>
      <w:r w:rsidRPr="00A71B61">
        <w:t>Cordones con una cifra de células nucleadas inferior a 1100 millones antes del fraccionamiento.</w:t>
      </w:r>
    </w:p>
    <w:p w:rsidR="00CB0D9A" w:rsidRPr="00A71B61" w:rsidRDefault="00CB0D9A" w:rsidP="00846064">
      <w:pPr>
        <w:pStyle w:val="Prrafodelista"/>
        <w:numPr>
          <w:ilvl w:val="0"/>
          <w:numId w:val="24"/>
        </w:numPr>
      </w:pPr>
      <w:r w:rsidRPr="00A71B61">
        <w:t>Cordones con una cifra de células CD34+ inferior a 3 millones de células antes del fraccionamiento (excepto los cordones procesados los sábados)</w:t>
      </w:r>
    </w:p>
    <w:p w:rsidR="00CB0D9A" w:rsidRPr="00A71B61" w:rsidRDefault="00CB0D9A" w:rsidP="00846064">
      <w:pPr>
        <w:pStyle w:val="Prrafodelista"/>
        <w:numPr>
          <w:ilvl w:val="0"/>
          <w:numId w:val="24"/>
        </w:numPr>
      </w:pPr>
      <w:r w:rsidRPr="00A71B61">
        <w:t>Cordones con peso de la bolsa sin tubulares inferior a 100 gr y/o presencia de coágulos en la muestra remitida</w:t>
      </w:r>
      <w:r w:rsidR="00A271B5" w:rsidRPr="00A71B61">
        <w:t>.</w:t>
      </w:r>
      <w:r w:rsidRPr="00A71B61">
        <w:t xml:space="preserve"> </w:t>
      </w:r>
    </w:p>
    <w:p w:rsidR="00CB0D9A" w:rsidRPr="00A71B61" w:rsidRDefault="00CB0D9A" w:rsidP="00846064">
      <w:pPr>
        <w:pStyle w:val="Prrafodelista"/>
        <w:numPr>
          <w:ilvl w:val="0"/>
          <w:numId w:val="24"/>
        </w:numPr>
      </w:pPr>
      <w:r w:rsidRPr="00A71B61">
        <w:t xml:space="preserve">Cordones que han sido enviados al Centro pasadas las 48 horas posteriores al alumbramiento. </w:t>
      </w:r>
    </w:p>
    <w:p w:rsidR="00CB0D9A" w:rsidRPr="00A71B61" w:rsidRDefault="00CB0D9A" w:rsidP="00846064">
      <w:pPr>
        <w:pStyle w:val="Prrafodelista"/>
        <w:numPr>
          <w:ilvl w:val="0"/>
          <w:numId w:val="24"/>
        </w:numPr>
      </w:pPr>
      <w:r w:rsidRPr="00A71B61">
        <w:t>Cordones con notificación de factores médicos en el cuestionario que contraindican su procesamiento.</w:t>
      </w:r>
    </w:p>
    <w:p w:rsidR="00CB0D9A" w:rsidRPr="00A71B61" w:rsidRDefault="00CB0D9A" w:rsidP="00846064">
      <w:pPr>
        <w:pStyle w:val="Prrafodelista"/>
        <w:numPr>
          <w:ilvl w:val="0"/>
          <w:numId w:val="24"/>
        </w:numPr>
      </w:pPr>
      <w:r w:rsidRPr="00A71B61">
        <w:lastRenderedPageBreak/>
        <w:t>Donaciones recibidas sin Consentimiento Informado o con alguna muestra no adecuadamente identificada. (excepto las que hay posibilidad de recuperar consentimiento y muestras)</w:t>
      </w:r>
    </w:p>
    <w:p w:rsidR="00CB0D9A" w:rsidRPr="00A71B61" w:rsidRDefault="00CB0D9A" w:rsidP="00846064">
      <w:pPr>
        <w:pStyle w:val="Prrafodelista"/>
        <w:numPr>
          <w:ilvl w:val="0"/>
          <w:numId w:val="24"/>
        </w:numPr>
      </w:pPr>
      <w:r w:rsidRPr="00A71B61">
        <w:t>Donaciones sin cantidad suficiente en los tubos de sangre materna. (excepto en el caso posible de una nueva donación).</w:t>
      </w:r>
    </w:p>
    <w:p w:rsidR="0099617B" w:rsidRPr="00A71B61" w:rsidRDefault="0099617B" w:rsidP="00A271B5">
      <w:pPr>
        <w:rPr>
          <w:rFonts w:asciiTheme="majorHAnsi" w:hAnsiTheme="majorHAnsi" w:cs="Arial"/>
          <w:szCs w:val="20"/>
        </w:rPr>
      </w:pPr>
    </w:p>
    <w:p w:rsidR="0099617B" w:rsidRPr="00A71B61" w:rsidRDefault="0099617B" w:rsidP="006C2819"/>
    <w:p w:rsidR="00A271B5" w:rsidRPr="00A71B61" w:rsidRDefault="00A271B5" w:rsidP="006C2819">
      <w:r w:rsidRPr="00A71B61">
        <w:t>Durante 2020 se han recibido un total de 304 unidades de SCU de las cuales se han procesado 48 (11 eran cordones dirigidos) (% procesamiento= 15,8%.</w:t>
      </w:r>
    </w:p>
    <w:p w:rsidR="00A271B5" w:rsidRPr="00A71B61" w:rsidRDefault="00A271B5" w:rsidP="006C2819">
      <w:r w:rsidRPr="00A71B61">
        <w:t>Como resultado de todo ello, el número total de unidades de SCU almacenadas en nuestro banco a fecha 31 de diciembre de 2020 es de 7882 unidades (según REDMO).</w:t>
      </w:r>
    </w:p>
    <w:p w:rsidR="00A271B5" w:rsidRPr="00A71B61" w:rsidRDefault="00A271B5" w:rsidP="006C2819"/>
    <w:p w:rsidR="00A271B5" w:rsidRPr="00A71B61" w:rsidRDefault="00A271B5" w:rsidP="006C2819">
      <w:r w:rsidRPr="00A71B61">
        <w:t>En la siguiente tabla se muestra la evolución cuantitativa 2019-2020 del número de cordones recibidos y procesados así como del porcentaje de cordones procesados</w:t>
      </w:r>
    </w:p>
    <w:p w:rsidR="00A271B5" w:rsidRPr="00A71B61" w:rsidRDefault="00A271B5" w:rsidP="006C2819"/>
    <w:tbl>
      <w:tblPr>
        <w:tblStyle w:val="Tabladecuadrcula5oscura-nfasis1"/>
        <w:tblW w:w="5000" w:type="pct"/>
        <w:tblLook w:val="0420" w:firstRow="1" w:lastRow="0" w:firstColumn="0" w:lastColumn="0" w:noHBand="0" w:noVBand="1"/>
      </w:tblPr>
      <w:tblGrid>
        <w:gridCol w:w="3190"/>
        <w:gridCol w:w="2510"/>
        <w:gridCol w:w="2227"/>
      </w:tblGrid>
      <w:tr w:rsidR="00A271B5" w:rsidRPr="00A71B61" w:rsidTr="0074730F">
        <w:trPr>
          <w:cnfStyle w:val="100000000000" w:firstRow="1" w:lastRow="0" w:firstColumn="0" w:lastColumn="0" w:oddVBand="0" w:evenVBand="0" w:oddHBand="0" w:evenHBand="0" w:firstRowFirstColumn="0" w:firstRowLastColumn="0" w:lastRowFirstColumn="0" w:lastRowLastColumn="0"/>
          <w:trHeight w:val="424"/>
        </w:trPr>
        <w:tc>
          <w:tcPr>
            <w:tcW w:w="2012" w:type="pct"/>
          </w:tcPr>
          <w:p w:rsidR="00A271B5" w:rsidRPr="00A71B61" w:rsidRDefault="00A271B5" w:rsidP="00A271B5">
            <w:pPr>
              <w:rPr>
                <w:szCs w:val="20"/>
              </w:rPr>
            </w:pPr>
            <w:r w:rsidRPr="00A71B61">
              <w:rPr>
                <w:szCs w:val="20"/>
              </w:rPr>
              <w:t>CORDONES</w:t>
            </w:r>
          </w:p>
        </w:tc>
        <w:tc>
          <w:tcPr>
            <w:tcW w:w="1583" w:type="pct"/>
          </w:tcPr>
          <w:p w:rsidR="00A271B5" w:rsidRPr="00A71B61" w:rsidRDefault="00A271B5" w:rsidP="00A271B5">
            <w:pPr>
              <w:jc w:val="center"/>
              <w:rPr>
                <w:szCs w:val="20"/>
              </w:rPr>
            </w:pPr>
            <w:r w:rsidRPr="00A71B61">
              <w:rPr>
                <w:szCs w:val="20"/>
              </w:rPr>
              <w:t>2019</w:t>
            </w:r>
          </w:p>
        </w:tc>
        <w:tc>
          <w:tcPr>
            <w:tcW w:w="1405" w:type="pct"/>
          </w:tcPr>
          <w:p w:rsidR="00A271B5" w:rsidRPr="00A71B61" w:rsidRDefault="00A271B5" w:rsidP="00A271B5">
            <w:pPr>
              <w:jc w:val="center"/>
              <w:rPr>
                <w:szCs w:val="20"/>
              </w:rPr>
            </w:pPr>
            <w:r w:rsidRPr="00A71B61">
              <w:rPr>
                <w:szCs w:val="20"/>
              </w:rPr>
              <w:t>2020</w:t>
            </w:r>
          </w:p>
        </w:tc>
      </w:tr>
      <w:tr w:rsidR="00A271B5" w:rsidRPr="00A71B61" w:rsidTr="0074730F">
        <w:trPr>
          <w:cnfStyle w:val="000000100000" w:firstRow="0" w:lastRow="0" w:firstColumn="0" w:lastColumn="0" w:oddVBand="0" w:evenVBand="0" w:oddHBand="1" w:evenHBand="0" w:firstRowFirstColumn="0" w:firstRowLastColumn="0" w:lastRowFirstColumn="0" w:lastRowLastColumn="0"/>
          <w:trHeight w:val="424"/>
        </w:trPr>
        <w:tc>
          <w:tcPr>
            <w:tcW w:w="2012" w:type="pct"/>
          </w:tcPr>
          <w:p w:rsidR="00A271B5" w:rsidRPr="00A71B61" w:rsidRDefault="00A271B5" w:rsidP="00A271B5">
            <w:pPr>
              <w:rPr>
                <w:szCs w:val="20"/>
              </w:rPr>
            </w:pPr>
            <w:r w:rsidRPr="00A71B61">
              <w:rPr>
                <w:szCs w:val="20"/>
              </w:rPr>
              <w:t>Recibidos</w:t>
            </w:r>
          </w:p>
        </w:tc>
        <w:tc>
          <w:tcPr>
            <w:tcW w:w="1583" w:type="pct"/>
          </w:tcPr>
          <w:p w:rsidR="00A271B5" w:rsidRPr="00A71B61" w:rsidRDefault="00A271B5" w:rsidP="00A271B5">
            <w:pPr>
              <w:jc w:val="center"/>
              <w:rPr>
                <w:szCs w:val="20"/>
              </w:rPr>
            </w:pPr>
            <w:r w:rsidRPr="00A71B61">
              <w:rPr>
                <w:szCs w:val="20"/>
              </w:rPr>
              <w:t>1237</w:t>
            </w:r>
          </w:p>
        </w:tc>
        <w:tc>
          <w:tcPr>
            <w:tcW w:w="1405" w:type="pct"/>
          </w:tcPr>
          <w:p w:rsidR="00A271B5" w:rsidRPr="00A71B61" w:rsidRDefault="00A271B5" w:rsidP="00A271B5">
            <w:pPr>
              <w:jc w:val="center"/>
              <w:rPr>
                <w:szCs w:val="20"/>
              </w:rPr>
            </w:pPr>
            <w:r w:rsidRPr="00A71B61">
              <w:rPr>
                <w:szCs w:val="20"/>
              </w:rPr>
              <w:t>304</w:t>
            </w:r>
          </w:p>
        </w:tc>
      </w:tr>
      <w:tr w:rsidR="00A271B5" w:rsidRPr="00A71B61" w:rsidTr="0074730F">
        <w:trPr>
          <w:trHeight w:val="424"/>
        </w:trPr>
        <w:tc>
          <w:tcPr>
            <w:tcW w:w="2012" w:type="pct"/>
          </w:tcPr>
          <w:p w:rsidR="00A271B5" w:rsidRPr="00A71B61" w:rsidRDefault="00A271B5" w:rsidP="00A271B5">
            <w:pPr>
              <w:rPr>
                <w:szCs w:val="20"/>
              </w:rPr>
            </w:pPr>
            <w:r w:rsidRPr="00A71B61">
              <w:rPr>
                <w:szCs w:val="20"/>
              </w:rPr>
              <w:t>Procesados</w:t>
            </w:r>
          </w:p>
        </w:tc>
        <w:tc>
          <w:tcPr>
            <w:tcW w:w="1583" w:type="pct"/>
          </w:tcPr>
          <w:p w:rsidR="00A271B5" w:rsidRPr="00A71B61" w:rsidRDefault="00A271B5" w:rsidP="00A271B5">
            <w:pPr>
              <w:jc w:val="center"/>
              <w:rPr>
                <w:szCs w:val="20"/>
              </w:rPr>
            </w:pPr>
            <w:r w:rsidRPr="00A71B61">
              <w:rPr>
                <w:szCs w:val="20"/>
              </w:rPr>
              <w:t>188</w:t>
            </w:r>
          </w:p>
        </w:tc>
        <w:tc>
          <w:tcPr>
            <w:tcW w:w="1405" w:type="pct"/>
          </w:tcPr>
          <w:p w:rsidR="00A271B5" w:rsidRPr="00A71B61" w:rsidRDefault="00A271B5" w:rsidP="00A271B5">
            <w:pPr>
              <w:jc w:val="center"/>
              <w:rPr>
                <w:szCs w:val="20"/>
              </w:rPr>
            </w:pPr>
            <w:r w:rsidRPr="00A71B61">
              <w:rPr>
                <w:szCs w:val="20"/>
              </w:rPr>
              <w:t>48</w:t>
            </w:r>
          </w:p>
        </w:tc>
      </w:tr>
      <w:tr w:rsidR="00A271B5" w:rsidRPr="00A71B61" w:rsidTr="0074730F">
        <w:trPr>
          <w:cnfStyle w:val="000000100000" w:firstRow="0" w:lastRow="0" w:firstColumn="0" w:lastColumn="0" w:oddVBand="0" w:evenVBand="0" w:oddHBand="1" w:evenHBand="0" w:firstRowFirstColumn="0" w:firstRowLastColumn="0" w:lastRowFirstColumn="0" w:lastRowLastColumn="0"/>
          <w:trHeight w:val="424"/>
        </w:trPr>
        <w:tc>
          <w:tcPr>
            <w:tcW w:w="2012" w:type="pct"/>
          </w:tcPr>
          <w:p w:rsidR="00A271B5" w:rsidRPr="00A71B61" w:rsidRDefault="00A271B5" w:rsidP="00A271B5">
            <w:pPr>
              <w:rPr>
                <w:szCs w:val="20"/>
              </w:rPr>
            </w:pPr>
            <w:r w:rsidRPr="00A71B61">
              <w:rPr>
                <w:szCs w:val="20"/>
              </w:rPr>
              <w:t>% Procesamiento</w:t>
            </w:r>
          </w:p>
        </w:tc>
        <w:tc>
          <w:tcPr>
            <w:tcW w:w="1583" w:type="pct"/>
          </w:tcPr>
          <w:p w:rsidR="00A271B5" w:rsidRPr="00A71B61" w:rsidRDefault="00A271B5" w:rsidP="00A271B5">
            <w:pPr>
              <w:jc w:val="center"/>
              <w:rPr>
                <w:szCs w:val="20"/>
              </w:rPr>
            </w:pPr>
            <w:r w:rsidRPr="00A71B61">
              <w:rPr>
                <w:szCs w:val="20"/>
              </w:rPr>
              <w:t>15.2%</w:t>
            </w:r>
          </w:p>
        </w:tc>
        <w:tc>
          <w:tcPr>
            <w:tcW w:w="1405" w:type="pct"/>
          </w:tcPr>
          <w:p w:rsidR="00A271B5" w:rsidRPr="00A71B61" w:rsidRDefault="00A271B5" w:rsidP="00A271B5">
            <w:pPr>
              <w:jc w:val="center"/>
              <w:rPr>
                <w:szCs w:val="20"/>
              </w:rPr>
            </w:pPr>
            <w:r w:rsidRPr="00A71B61">
              <w:rPr>
                <w:szCs w:val="20"/>
              </w:rPr>
              <w:t>15,8%</w:t>
            </w:r>
          </w:p>
        </w:tc>
      </w:tr>
    </w:tbl>
    <w:p w:rsidR="009811E2" w:rsidRPr="00A71B61" w:rsidRDefault="009811E2" w:rsidP="00CB0D9A">
      <w:pPr>
        <w:pStyle w:val="Default"/>
        <w:rPr>
          <w:sz w:val="20"/>
          <w:szCs w:val="20"/>
        </w:rPr>
      </w:pPr>
    </w:p>
    <w:p w:rsidR="00A271B5" w:rsidRPr="00A71B61" w:rsidRDefault="00A271B5" w:rsidP="00A271B5">
      <w:pPr>
        <w:rPr>
          <w:szCs w:val="20"/>
        </w:rPr>
      </w:pPr>
    </w:p>
    <w:p w:rsidR="00A271B5" w:rsidRPr="00A71B61" w:rsidRDefault="00A271B5" w:rsidP="006C2819">
      <w:r w:rsidRPr="00A71B61">
        <w:t>En la siguiente gráfica se observan los cordones recibidos y procesados en 2020 según la maternidad de procedencia:</w:t>
      </w:r>
    </w:p>
    <w:p w:rsidR="00A271B5" w:rsidRPr="00A71B61" w:rsidRDefault="00A271B5" w:rsidP="00A271B5">
      <w:pPr>
        <w:rPr>
          <w:szCs w:val="20"/>
        </w:rPr>
      </w:pPr>
      <w:r w:rsidRPr="00A71B61">
        <w:rPr>
          <w:noProof/>
          <w:szCs w:val="20"/>
          <w:lang w:eastAsia="es-ES"/>
        </w:rPr>
        <w:lastRenderedPageBreak/>
        <w:drawing>
          <wp:inline distT="0" distB="0" distL="0" distR="0" wp14:anchorId="5BAC87F7" wp14:editId="04E8F5C3">
            <wp:extent cx="5039995" cy="7338350"/>
            <wp:effectExtent l="0" t="0" r="8255" b="1524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A271B5" w:rsidRPr="00A71B61" w:rsidRDefault="00A271B5" w:rsidP="00A271B5">
      <w:pPr>
        <w:rPr>
          <w:rFonts w:ascii="Arial" w:hAnsi="Arial" w:cs="Arial"/>
          <w:szCs w:val="20"/>
        </w:rPr>
      </w:pPr>
    </w:p>
    <w:p w:rsidR="00A271B5" w:rsidRPr="00A71B61" w:rsidRDefault="00A271B5" w:rsidP="006C2819">
      <w:r w:rsidRPr="00A71B61">
        <w:t>De los 48 cordones procesados y congelados 9 fueron posteriormente rechazados por cultivos positivos, celularidad inadecuada o serología positiva. 28 fueron incluidos en REDMO.</w:t>
      </w:r>
    </w:p>
    <w:p w:rsidR="00A271B5" w:rsidRPr="00A71B61" w:rsidRDefault="00A271B5" w:rsidP="006C2819"/>
    <w:p w:rsidR="00A271B5" w:rsidRPr="00A71B61" w:rsidRDefault="00A271B5" w:rsidP="00A271B5">
      <w:pPr>
        <w:rPr>
          <w:rFonts w:ascii="Arial" w:hAnsi="Arial" w:cs="Arial"/>
          <w:szCs w:val="20"/>
        </w:rPr>
      </w:pPr>
    </w:p>
    <w:p w:rsidR="00A271B5" w:rsidRPr="00A71B61" w:rsidRDefault="00A271B5" w:rsidP="00A271B5">
      <w:pPr>
        <w:rPr>
          <w:rFonts w:ascii="Arial" w:hAnsi="Arial" w:cs="Arial"/>
          <w:szCs w:val="20"/>
        </w:rPr>
      </w:pPr>
    </w:p>
    <w:p w:rsidR="0099617B" w:rsidRPr="00A71B61" w:rsidRDefault="0099617B" w:rsidP="00B35D13">
      <w:pPr>
        <w:rPr>
          <w:szCs w:val="20"/>
        </w:rPr>
      </w:pPr>
    </w:p>
    <w:p w:rsidR="00A271B5" w:rsidRPr="00A71B61" w:rsidRDefault="00B35D13" w:rsidP="006C2819">
      <w:r w:rsidRPr="00A71B61">
        <w:t xml:space="preserve">La media y la mediana del número de células totales, mononucleadas y CD34 positivas, </w:t>
      </w:r>
      <w:r w:rsidR="00CF4E6B" w:rsidRPr="00A71B61">
        <w:t xml:space="preserve">2019-2020, </w:t>
      </w:r>
      <w:r w:rsidRPr="00A71B61">
        <w:t>se resume e</w:t>
      </w:r>
      <w:r w:rsidR="00A271B5" w:rsidRPr="00A71B61">
        <w:t>n la siguiente tabla.</w:t>
      </w:r>
    </w:p>
    <w:tbl>
      <w:tblPr>
        <w:tblStyle w:val="Tabladecuadrcula5oscura-nfasis1"/>
        <w:tblW w:w="0" w:type="auto"/>
        <w:tblLook w:val="0620" w:firstRow="1" w:lastRow="0" w:firstColumn="0" w:lastColumn="0" w:noHBand="1" w:noVBand="1"/>
      </w:tblPr>
      <w:tblGrid>
        <w:gridCol w:w="1919"/>
        <w:gridCol w:w="2002"/>
        <w:gridCol w:w="2003"/>
        <w:gridCol w:w="2003"/>
      </w:tblGrid>
      <w:tr w:rsidR="00A271B5" w:rsidRPr="00A71B61" w:rsidTr="0074730F">
        <w:trPr>
          <w:cnfStyle w:val="100000000000" w:firstRow="1" w:lastRow="0" w:firstColumn="0" w:lastColumn="0" w:oddVBand="0" w:evenVBand="0" w:oddHBand="0" w:evenHBand="0" w:firstRowFirstColumn="0" w:firstRowLastColumn="0" w:lastRowFirstColumn="0" w:lastRowLastColumn="0"/>
          <w:trHeight w:val="498"/>
        </w:trPr>
        <w:tc>
          <w:tcPr>
            <w:tcW w:w="1919" w:type="dxa"/>
          </w:tcPr>
          <w:p w:rsidR="00A271B5" w:rsidRPr="00A71B61" w:rsidRDefault="00A271B5" w:rsidP="00A271B5">
            <w:pPr>
              <w:rPr>
                <w:color w:val="000000" w:themeColor="text1"/>
                <w:szCs w:val="20"/>
              </w:rPr>
            </w:pPr>
          </w:p>
        </w:tc>
        <w:tc>
          <w:tcPr>
            <w:tcW w:w="2002" w:type="dxa"/>
          </w:tcPr>
          <w:p w:rsidR="00A271B5" w:rsidRPr="00A71B61" w:rsidRDefault="00A271B5" w:rsidP="0074730F">
            <w:pPr>
              <w:jc w:val="center"/>
              <w:rPr>
                <w:szCs w:val="20"/>
              </w:rPr>
            </w:pPr>
            <w:r w:rsidRPr="00A71B61">
              <w:rPr>
                <w:szCs w:val="20"/>
              </w:rPr>
              <w:t>CNT congeladas</w:t>
            </w:r>
          </w:p>
        </w:tc>
        <w:tc>
          <w:tcPr>
            <w:tcW w:w="2003" w:type="dxa"/>
          </w:tcPr>
          <w:p w:rsidR="00A271B5" w:rsidRPr="00A71B61" w:rsidRDefault="00A271B5" w:rsidP="0074730F">
            <w:pPr>
              <w:jc w:val="center"/>
              <w:rPr>
                <w:szCs w:val="20"/>
              </w:rPr>
            </w:pPr>
            <w:r w:rsidRPr="00A71B61">
              <w:rPr>
                <w:szCs w:val="20"/>
              </w:rPr>
              <w:t>CMN congeladas</w:t>
            </w:r>
          </w:p>
        </w:tc>
        <w:tc>
          <w:tcPr>
            <w:tcW w:w="2003" w:type="dxa"/>
          </w:tcPr>
          <w:p w:rsidR="00A271B5" w:rsidRPr="00A71B61" w:rsidRDefault="00A271B5" w:rsidP="0074730F">
            <w:pPr>
              <w:jc w:val="center"/>
              <w:rPr>
                <w:szCs w:val="20"/>
              </w:rPr>
            </w:pPr>
            <w:r w:rsidRPr="00A71B61">
              <w:rPr>
                <w:szCs w:val="20"/>
              </w:rPr>
              <w:t>CD34 congeladas</w:t>
            </w:r>
          </w:p>
        </w:tc>
      </w:tr>
      <w:tr w:rsidR="00A271B5" w:rsidRPr="00A71B61" w:rsidTr="0074730F">
        <w:trPr>
          <w:trHeight w:val="498"/>
        </w:trPr>
        <w:tc>
          <w:tcPr>
            <w:tcW w:w="1919" w:type="dxa"/>
          </w:tcPr>
          <w:p w:rsidR="00A271B5" w:rsidRPr="00A71B61" w:rsidRDefault="00A271B5" w:rsidP="00A271B5">
            <w:pPr>
              <w:rPr>
                <w:color w:val="000000" w:themeColor="text1"/>
                <w:szCs w:val="20"/>
              </w:rPr>
            </w:pPr>
            <w:r w:rsidRPr="00A71B61">
              <w:rPr>
                <w:color w:val="000000" w:themeColor="text1"/>
                <w:szCs w:val="20"/>
              </w:rPr>
              <w:t>Media    2019</w:t>
            </w:r>
          </w:p>
        </w:tc>
        <w:tc>
          <w:tcPr>
            <w:tcW w:w="2002" w:type="dxa"/>
          </w:tcPr>
          <w:p w:rsidR="00A271B5" w:rsidRPr="00A71B61" w:rsidRDefault="00A271B5" w:rsidP="0074730F">
            <w:pPr>
              <w:jc w:val="center"/>
              <w:rPr>
                <w:color w:val="000000" w:themeColor="text1"/>
                <w:szCs w:val="20"/>
              </w:rPr>
            </w:pPr>
            <w:r w:rsidRPr="00A71B61">
              <w:rPr>
                <w:color w:val="000000" w:themeColor="text1"/>
                <w:szCs w:val="20"/>
              </w:rPr>
              <w:t>1301</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524</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5.03</w:t>
            </w:r>
          </w:p>
        </w:tc>
      </w:tr>
      <w:tr w:rsidR="00A271B5" w:rsidRPr="00A71B61" w:rsidTr="0074730F">
        <w:trPr>
          <w:trHeight w:val="499"/>
        </w:trPr>
        <w:tc>
          <w:tcPr>
            <w:tcW w:w="1919" w:type="dxa"/>
          </w:tcPr>
          <w:p w:rsidR="00A271B5" w:rsidRPr="00A71B61" w:rsidRDefault="00A271B5" w:rsidP="00A271B5">
            <w:pPr>
              <w:rPr>
                <w:color w:val="000000" w:themeColor="text1"/>
                <w:szCs w:val="20"/>
              </w:rPr>
            </w:pPr>
            <w:r w:rsidRPr="00A71B61">
              <w:rPr>
                <w:color w:val="000000" w:themeColor="text1"/>
                <w:szCs w:val="20"/>
              </w:rPr>
              <w:t>Mediana   2019</w:t>
            </w:r>
          </w:p>
        </w:tc>
        <w:tc>
          <w:tcPr>
            <w:tcW w:w="2002" w:type="dxa"/>
          </w:tcPr>
          <w:p w:rsidR="00A271B5" w:rsidRPr="00A71B61" w:rsidRDefault="00A271B5" w:rsidP="0074730F">
            <w:pPr>
              <w:jc w:val="center"/>
              <w:rPr>
                <w:color w:val="000000" w:themeColor="text1"/>
                <w:szCs w:val="20"/>
              </w:rPr>
            </w:pPr>
            <w:r w:rsidRPr="00A71B61">
              <w:rPr>
                <w:color w:val="000000" w:themeColor="text1"/>
                <w:szCs w:val="20"/>
              </w:rPr>
              <w:t>1272</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510</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4.2</w:t>
            </w:r>
          </w:p>
        </w:tc>
      </w:tr>
      <w:tr w:rsidR="00A271B5" w:rsidRPr="00A71B61" w:rsidTr="0074730F">
        <w:trPr>
          <w:trHeight w:val="498"/>
        </w:trPr>
        <w:tc>
          <w:tcPr>
            <w:tcW w:w="1919" w:type="dxa"/>
          </w:tcPr>
          <w:p w:rsidR="00A271B5" w:rsidRPr="00A71B61" w:rsidRDefault="00A271B5" w:rsidP="00A271B5">
            <w:pPr>
              <w:rPr>
                <w:color w:val="000000" w:themeColor="text1"/>
                <w:szCs w:val="20"/>
              </w:rPr>
            </w:pPr>
            <w:r w:rsidRPr="00A71B61">
              <w:rPr>
                <w:color w:val="000000" w:themeColor="text1"/>
                <w:szCs w:val="20"/>
              </w:rPr>
              <w:t>Media    2020</w:t>
            </w:r>
          </w:p>
        </w:tc>
        <w:tc>
          <w:tcPr>
            <w:tcW w:w="2002" w:type="dxa"/>
          </w:tcPr>
          <w:p w:rsidR="00A271B5" w:rsidRPr="00A71B61" w:rsidRDefault="00A271B5" w:rsidP="0074730F">
            <w:pPr>
              <w:jc w:val="center"/>
              <w:rPr>
                <w:color w:val="000000" w:themeColor="text1"/>
                <w:szCs w:val="20"/>
              </w:rPr>
            </w:pPr>
            <w:r w:rsidRPr="00A71B61">
              <w:rPr>
                <w:color w:val="000000" w:themeColor="text1"/>
                <w:szCs w:val="20"/>
              </w:rPr>
              <w:t>1237</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502</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4.2</w:t>
            </w:r>
          </w:p>
        </w:tc>
      </w:tr>
      <w:tr w:rsidR="00A271B5" w:rsidRPr="00A71B61" w:rsidTr="0074730F">
        <w:trPr>
          <w:trHeight w:val="499"/>
        </w:trPr>
        <w:tc>
          <w:tcPr>
            <w:tcW w:w="1919" w:type="dxa"/>
          </w:tcPr>
          <w:p w:rsidR="00A271B5" w:rsidRPr="00A71B61" w:rsidRDefault="00A271B5" w:rsidP="00A271B5">
            <w:pPr>
              <w:rPr>
                <w:color w:val="000000" w:themeColor="text1"/>
                <w:szCs w:val="20"/>
              </w:rPr>
            </w:pPr>
            <w:r w:rsidRPr="00A71B61">
              <w:rPr>
                <w:color w:val="000000" w:themeColor="text1"/>
                <w:szCs w:val="20"/>
              </w:rPr>
              <w:t>Mediana 2020</w:t>
            </w:r>
          </w:p>
        </w:tc>
        <w:tc>
          <w:tcPr>
            <w:tcW w:w="2002" w:type="dxa"/>
          </w:tcPr>
          <w:p w:rsidR="00A271B5" w:rsidRPr="00A71B61" w:rsidRDefault="00A271B5" w:rsidP="0074730F">
            <w:pPr>
              <w:jc w:val="center"/>
              <w:rPr>
                <w:color w:val="000000" w:themeColor="text1"/>
                <w:szCs w:val="20"/>
              </w:rPr>
            </w:pPr>
            <w:r w:rsidRPr="00A71B61">
              <w:rPr>
                <w:color w:val="000000" w:themeColor="text1"/>
                <w:szCs w:val="20"/>
              </w:rPr>
              <w:t>1290</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506</w:t>
            </w:r>
          </w:p>
        </w:tc>
        <w:tc>
          <w:tcPr>
            <w:tcW w:w="2003" w:type="dxa"/>
          </w:tcPr>
          <w:p w:rsidR="00A271B5" w:rsidRPr="00A71B61" w:rsidRDefault="00A271B5" w:rsidP="0074730F">
            <w:pPr>
              <w:jc w:val="center"/>
              <w:rPr>
                <w:color w:val="000000" w:themeColor="text1"/>
                <w:szCs w:val="20"/>
              </w:rPr>
            </w:pPr>
            <w:r w:rsidRPr="00A71B61">
              <w:rPr>
                <w:color w:val="000000" w:themeColor="text1"/>
                <w:szCs w:val="20"/>
              </w:rPr>
              <w:t>3.5</w:t>
            </w:r>
          </w:p>
        </w:tc>
      </w:tr>
    </w:tbl>
    <w:p w:rsidR="00A271B5" w:rsidRPr="00A71B61" w:rsidRDefault="00A271B5" w:rsidP="00A271B5">
      <w:pPr>
        <w:rPr>
          <w:szCs w:val="20"/>
        </w:rPr>
      </w:pPr>
    </w:p>
    <w:p w:rsidR="00A271B5" w:rsidRPr="00A71B61" w:rsidRDefault="00B35D13" w:rsidP="006C2819">
      <w:r w:rsidRPr="00A71B61">
        <w:t xml:space="preserve">En cuanto a las donaciones dirigidas: </w:t>
      </w:r>
      <w:r w:rsidR="00A271B5" w:rsidRPr="00A71B61">
        <w:t>Se han recibido 11 unidades de sangre de cordón dirigidas a enfermos familiares de las donantes</w:t>
      </w:r>
      <w:bookmarkStart w:id="31" w:name="_Toc417986302"/>
      <w:bookmarkStart w:id="32" w:name="_Toc440451706"/>
      <w:bookmarkStart w:id="33" w:name="_Toc440451765"/>
      <w:bookmarkStart w:id="34" w:name="_Toc440451880"/>
      <w:r w:rsidR="006C3E47" w:rsidRPr="00A71B61">
        <w:t>.</w:t>
      </w:r>
    </w:p>
    <w:p w:rsidR="006C3E47" w:rsidRPr="00A71B61" w:rsidRDefault="00B35D13" w:rsidP="006C2819">
      <w:r w:rsidRPr="00A71B61">
        <w:t xml:space="preserve">Finalmente, se han distribuido 7 unidades de sangre de cordón umbilical para trasplante alogénico: </w:t>
      </w:r>
      <w:bookmarkEnd w:id="31"/>
      <w:bookmarkEnd w:id="32"/>
      <w:bookmarkEnd w:id="33"/>
      <w:bookmarkEnd w:id="34"/>
      <w:r w:rsidR="006C3E47" w:rsidRPr="00A71B61">
        <w:t>3 a nivel nacional (los 3 para Madrid) y 4 envíos internacionales (2 EEUU, 1 Francia y 1 Colombia).</w:t>
      </w:r>
    </w:p>
    <w:p w:rsidR="00A271B5" w:rsidRPr="00A71B61" w:rsidRDefault="00A271B5" w:rsidP="006C2819">
      <w:pPr>
        <w:rPr>
          <w:rFonts w:ascii="Arial" w:hAnsi="Arial" w:cs="Arial"/>
        </w:rPr>
      </w:pPr>
    </w:p>
    <w:p w:rsidR="00A271B5" w:rsidRPr="00A71B61" w:rsidRDefault="00A271B5" w:rsidP="00A271B5">
      <w:pPr>
        <w:rPr>
          <w:szCs w:val="20"/>
        </w:rPr>
      </w:pPr>
    </w:p>
    <w:p w:rsidR="00CF4E6B" w:rsidRPr="00A71B61" w:rsidRDefault="00CF4E6B">
      <w:pPr>
        <w:rPr>
          <w:rFonts w:ascii="Calibri" w:hAnsi="Calibri" w:cs="Calibri"/>
          <w:noProof/>
          <w:color w:val="000000"/>
          <w:szCs w:val="20"/>
        </w:rPr>
      </w:pPr>
      <w:r w:rsidRPr="00A71B61">
        <w:rPr>
          <w:noProof/>
          <w:szCs w:val="20"/>
        </w:rPr>
        <w:br w:type="page"/>
      </w:r>
    </w:p>
    <w:p w:rsidR="00156720" w:rsidRPr="00B51AC6" w:rsidRDefault="00156720" w:rsidP="00B51AC6">
      <w:pPr>
        <w:pStyle w:val="Ttulo1"/>
      </w:pPr>
      <w:bookmarkStart w:id="35" w:name="_Toc90584872"/>
      <w:r w:rsidRPr="00B51AC6">
        <w:lastRenderedPageBreak/>
        <w:t>Criopreservación</w:t>
      </w:r>
      <w:bookmarkEnd w:id="35"/>
    </w:p>
    <w:p w:rsidR="00156720" w:rsidRPr="00A71B61" w:rsidRDefault="00156720" w:rsidP="00156720">
      <w:pPr>
        <w:pStyle w:val="Default"/>
        <w:rPr>
          <w:rFonts w:cs="Times New Roman"/>
          <w:b/>
          <w:bCs/>
          <w:color w:val="auto"/>
          <w:sz w:val="20"/>
          <w:szCs w:val="20"/>
        </w:rPr>
      </w:pPr>
    </w:p>
    <w:p w:rsidR="00156720" w:rsidRPr="00B51AC6" w:rsidRDefault="00156720" w:rsidP="00B51AC6">
      <w:pPr>
        <w:pStyle w:val="Ttulo2"/>
      </w:pPr>
      <w:bookmarkStart w:id="36" w:name="_Toc90584873"/>
      <w:r w:rsidRPr="00B51AC6">
        <w:t>Criopreservación de plaquetas</w:t>
      </w:r>
      <w:bookmarkEnd w:id="36"/>
      <w:r w:rsidRPr="00B51AC6">
        <w:t xml:space="preserve"> </w:t>
      </w:r>
    </w:p>
    <w:p w:rsidR="00156720" w:rsidRPr="00A71B61" w:rsidRDefault="00156720" w:rsidP="006C2819">
      <w:pPr>
        <w:rPr>
          <w:rFonts w:cs="Cambria"/>
          <w:color w:val="000000"/>
          <w:lang w:eastAsia="es-ES"/>
        </w:rPr>
      </w:pPr>
      <w:r w:rsidRPr="00A71B61">
        <w:t>En 2020 se han criopreservado un total de 144 plaquetas de diferentes tipos de productos que se detallan en la tabla:</w:t>
      </w:r>
    </w:p>
    <w:tbl>
      <w:tblPr>
        <w:tblStyle w:val="Tabladecuadrcula5oscura-nfasis1"/>
        <w:tblW w:w="0" w:type="auto"/>
        <w:jc w:val="center"/>
        <w:tblLayout w:type="fixed"/>
        <w:tblLook w:val="0660" w:firstRow="1" w:lastRow="1" w:firstColumn="0" w:lastColumn="0" w:noHBand="1" w:noVBand="1"/>
      </w:tblPr>
      <w:tblGrid>
        <w:gridCol w:w="3374"/>
        <w:gridCol w:w="2291"/>
      </w:tblGrid>
      <w:tr w:rsidR="0074730F" w:rsidRPr="00A71B61" w:rsidTr="0074730F">
        <w:trPr>
          <w:cnfStyle w:val="100000000000" w:firstRow="1" w:lastRow="0" w:firstColumn="0" w:lastColumn="0" w:oddVBand="0" w:evenVBand="0" w:oddHBand="0" w:evenHBand="0" w:firstRowFirstColumn="0" w:firstRowLastColumn="0" w:lastRowFirstColumn="0" w:lastRowLastColumn="0"/>
          <w:trHeight w:val="498"/>
          <w:jc w:val="center"/>
        </w:trPr>
        <w:tc>
          <w:tcPr>
            <w:tcW w:w="3374" w:type="dxa"/>
          </w:tcPr>
          <w:p w:rsidR="00156720" w:rsidRPr="00A71B61" w:rsidRDefault="00156720" w:rsidP="00F10EE0">
            <w:pPr>
              <w:autoSpaceDE w:val="0"/>
              <w:autoSpaceDN w:val="0"/>
              <w:adjustRightInd w:val="0"/>
              <w:rPr>
                <w:rFonts w:ascii="Montserrat" w:hAnsi="Montserrat" w:cs="Cambria"/>
                <w:szCs w:val="20"/>
                <w:lang w:eastAsia="es-ES"/>
              </w:rPr>
            </w:pPr>
            <w:r w:rsidRPr="00A71B61">
              <w:rPr>
                <w:rFonts w:ascii="Montserrat" w:hAnsi="Montserrat" w:cs="Cambria"/>
                <w:bCs w:val="0"/>
                <w:szCs w:val="20"/>
                <w:lang w:eastAsia="es-ES"/>
              </w:rPr>
              <w:t xml:space="preserve">Producto </w:t>
            </w:r>
          </w:p>
        </w:tc>
        <w:tc>
          <w:tcPr>
            <w:tcW w:w="2291" w:type="dxa"/>
          </w:tcPr>
          <w:p w:rsidR="00156720" w:rsidRPr="00A71B61" w:rsidRDefault="00156720" w:rsidP="00156720">
            <w:pPr>
              <w:autoSpaceDE w:val="0"/>
              <w:autoSpaceDN w:val="0"/>
              <w:adjustRightInd w:val="0"/>
              <w:jc w:val="center"/>
              <w:rPr>
                <w:rFonts w:ascii="Montserrat" w:hAnsi="Montserrat" w:cs="Cambria"/>
                <w:szCs w:val="20"/>
                <w:lang w:eastAsia="es-ES"/>
              </w:rPr>
            </w:pPr>
            <w:r w:rsidRPr="00A71B61">
              <w:rPr>
                <w:rFonts w:ascii="Montserrat" w:hAnsi="Montserrat" w:cs="Cambria"/>
                <w:bCs w:val="0"/>
                <w:szCs w:val="20"/>
                <w:lang w:eastAsia="es-ES"/>
              </w:rPr>
              <w:t>Unidades criopreservadas</w:t>
            </w:r>
          </w:p>
        </w:tc>
      </w:tr>
      <w:tr w:rsidR="00156720" w:rsidRPr="00A71B61" w:rsidTr="0074730F">
        <w:trPr>
          <w:trHeight w:val="498"/>
          <w:jc w:val="center"/>
        </w:trPr>
        <w:tc>
          <w:tcPr>
            <w:tcW w:w="3374" w:type="dxa"/>
          </w:tcPr>
          <w:p w:rsidR="00156720" w:rsidRPr="00A71B61" w:rsidRDefault="00156720" w:rsidP="00F10EE0">
            <w:pPr>
              <w:autoSpaceDE w:val="0"/>
              <w:autoSpaceDN w:val="0"/>
              <w:adjustRightInd w:val="0"/>
              <w:rPr>
                <w:rFonts w:ascii="Montserrat" w:hAnsi="Montserrat" w:cs="Calibri"/>
                <w:color w:val="000000"/>
                <w:szCs w:val="20"/>
                <w:lang w:eastAsia="es-ES"/>
              </w:rPr>
            </w:pPr>
            <w:r w:rsidRPr="00A71B61">
              <w:rPr>
                <w:rFonts w:ascii="Montserrat" w:hAnsi="Montserrat" w:cs="Calibri"/>
                <w:color w:val="000000"/>
                <w:szCs w:val="20"/>
                <w:lang w:eastAsia="es-ES"/>
              </w:rPr>
              <w:t xml:space="preserve">Pool de plaquetas </w:t>
            </w:r>
          </w:p>
        </w:tc>
        <w:tc>
          <w:tcPr>
            <w:tcW w:w="2291" w:type="dxa"/>
          </w:tcPr>
          <w:p w:rsidR="00156720" w:rsidRPr="00A71B61" w:rsidRDefault="00156720" w:rsidP="00156720">
            <w:pPr>
              <w:autoSpaceDE w:val="0"/>
              <w:autoSpaceDN w:val="0"/>
              <w:adjustRightInd w:val="0"/>
              <w:jc w:val="center"/>
              <w:rPr>
                <w:rFonts w:ascii="Montserrat" w:hAnsi="Montserrat" w:cs="Calibri"/>
                <w:color w:val="000000"/>
                <w:szCs w:val="20"/>
                <w:lang w:eastAsia="es-ES"/>
              </w:rPr>
            </w:pPr>
            <w:r w:rsidRPr="00A71B61">
              <w:rPr>
                <w:rFonts w:ascii="Montserrat" w:hAnsi="Montserrat" w:cs="Calibri"/>
                <w:color w:val="000000"/>
                <w:szCs w:val="20"/>
                <w:lang w:eastAsia="es-ES"/>
              </w:rPr>
              <w:t>100</w:t>
            </w:r>
          </w:p>
        </w:tc>
      </w:tr>
      <w:tr w:rsidR="00156720" w:rsidRPr="00A71B61" w:rsidTr="0074730F">
        <w:trPr>
          <w:trHeight w:val="498"/>
          <w:jc w:val="center"/>
        </w:trPr>
        <w:tc>
          <w:tcPr>
            <w:tcW w:w="3374" w:type="dxa"/>
          </w:tcPr>
          <w:p w:rsidR="00156720" w:rsidRPr="00A71B61" w:rsidRDefault="00156720" w:rsidP="00F10EE0">
            <w:pPr>
              <w:autoSpaceDE w:val="0"/>
              <w:autoSpaceDN w:val="0"/>
              <w:adjustRightInd w:val="0"/>
              <w:rPr>
                <w:rFonts w:ascii="Montserrat" w:hAnsi="Montserrat" w:cs="Calibri"/>
                <w:color w:val="000000"/>
                <w:szCs w:val="20"/>
                <w:lang w:eastAsia="es-ES"/>
              </w:rPr>
            </w:pPr>
            <w:r w:rsidRPr="00A71B61">
              <w:rPr>
                <w:rFonts w:ascii="Montserrat" w:hAnsi="Montserrat" w:cs="Calibri"/>
                <w:color w:val="000000"/>
                <w:szCs w:val="20"/>
                <w:lang w:eastAsia="es-ES"/>
              </w:rPr>
              <w:t xml:space="preserve">Aféresis </w:t>
            </w:r>
          </w:p>
        </w:tc>
        <w:tc>
          <w:tcPr>
            <w:tcW w:w="2291" w:type="dxa"/>
          </w:tcPr>
          <w:p w:rsidR="00156720" w:rsidRPr="00A71B61" w:rsidRDefault="00156720" w:rsidP="00156720">
            <w:pPr>
              <w:autoSpaceDE w:val="0"/>
              <w:autoSpaceDN w:val="0"/>
              <w:adjustRightInd w:val="0"/>
              <w:jc w:val="center"/>
              <w:rPr>
                <w:rFonts w:ascii="Montserrat" w:hAnsi="Montserrat" w:cs="Calibri"/>
                <w:color w:val="000000"/>
                <w:szCs w:val="20"/>
                <w:lang w:eastAsia="es-ES"/>
              </w:rPr>
            </w:pPr>
            <w:r w:rsidRPr="00A71B61">
              <w:rPr>
                <w:rFonts w:ascii="Montserrat" w:hAnsi="Montserrat" w:cs="Calibri"/>
                <w:color w:val="000000"/>
                <w:szCs w:val="20"/>
                <w:lang w:eastAsia="es-ES"/>
              </w:rPr>
              <w:t>4</w:t>
            </w:r>
          </w:p>
        </w:tc>
      </w:tr>
      <w:tr w:rsidR="00156720" w:rsidRPr="00A71B61" w:rsidTr="0074730F">
        <w:trPr>
          <w:trHeight w:val="498"/>
          <w:jc w:val="center"/>
        </w:trPr>
        <w:tc>
          <w:tcPr>
            <w:tcW w:w="3374" w:type="dxa"/>
          </w:tcPr>
          <w:p w:rsidR="00156720" w:rsidRPr="00A71B61" w:rsidRDefault="00156720" w:rsidP="00F10EE0">
            <w:pPr>
              <w:autoSpaceDE w:val="0"/>
              <w:autoSpaceDN w:val="0"/>
              <w:adjustRightInd w:val="0"/>
              <w:rPr>
                <w:rFonts w:ascii="Montserrat" w:hAnsi="Montserrat" w:cs="Calibri"/>
                <w:color w:val="000000"/>
                <w:szCs w:val="20"/>
                <w:lang w:eastAsia="es-ES"/>
              </w:rPr>
            </w:pPr>
            <w:r w:rsidRPr="00A71B61">
              <w:rPr>
                <w:rFonts w:ascii="Montserrat" w:hAnsi="Montserrat" w:cs="Calibri"/>
                <w:color w:val="000000"/>
                <w:szCs w:val="20"/>
                <w:lang w:eastAsia="es-ES"/>
              </w:rPr>
              <w:t xml:space="preserve">Aféresis de donante IgA deficiente </w:t>
            </w:r>
          </w:p>
        </w:tc>
        <w:tc>
          <w:tcPr>
            <w:tcW w:w="2291" w:type="dxa"/>
          </w:tcPr>
          <w:p w:rsidR="00156720" w:rsidRPr="00A71B61" w:rsidRDefault="00156720" w:rsidP="00156720">
            <w:pPr>
              <w:autoSpaceDE w:val="0"/>
              <w:autoSpaceDN w:val="0"/>
              <w:adjustRightInd w:val="0"/>
              <w:jc w:val="center"/>
              <w:rPr>
                <w:rFonts w:ascii="Montserrat" w:hAnsi="Montserrat" w:cs="Calibri"/>
                <w:color w:val="000000"/>
                <w:szCs w:val="20"/>
                <w:lang w:eastAsia="es-ES"/>
              </w:rPr>
            </w:pPr>
            <w:r w:rsidRPr="00A71B61">
              <w:rPr>
                <w:rFonts w:ascii="Montserrat" w:hAnsi="Montserrat" w:cs="Calibri"/>
                <w:color w:val="000000"/>
                <w:szCs w:val="20"/>
                <w:lang w:eastAsia="es-ES"/>
              </w:rPr>
              <w:t>9</w:t>
            </w:r>
          </w:p>
        </w:tc>
      </w:tr>
      <w:tr w:rsidR="00156720" w:rsidRPr="00A71B61" w:rsidTr="0074730F">
        <w:trPr>
          <w:trHeight w:val="498"/>
          <w:jc w:val="center"/>
        </w:trPr>
        <w:tc>
          <w:tcPr>
            <w:tcW w:w="3374" w:type="dxa"/>
          </w:tcPr>
          <w:p w:rsidR="00156720" w:rsidRPr="00A71B61" w:rsidRDefault="00156720" w:rsidP="00F10EE0">
            <w:pPr>
              <w:autoSpaceDE w:val="0"/>
              <w:autoSpaceDN w:val="0"/>
              <w:adjustRightInd w:val="0"/>
              <w:rPr>
                <w:rFonts w:ascii="Montserrat" w:hAnsi="Montserrat" w:cs="Calibri"/>
                <w:color w:val="000000"/>
                <w:szCs w:val="20"/>
                <w:lang w:eastAsia="es-ES"/>
              </w:rPr>
            </w:pPr>
            <w:r w:rsidRPr="00A71B61">
              <w:rPr>
                <w:rFonts w:ascii="Montserrat" w:hAnsi="Montserrat" w:cs="Calibri"/>
                <w:color w:val="000000"/>
                <w:szCs w:val="20"/>
                <w:lang w:eastAsia="es-ES"/>
              </w:rPr>
              <w:t xml:space="preserve">Aféresis dirigida HLA compatible dirigida </w:t>
            </w:r>
          </w:p>
        </w:tc>
        <w:tc>
          <w:tcPr>
            <w:tcW w:w="2291" w:type="dxa"/>
          </w:tcPr>
          <w:p w:rsidR="00156720" w:rsidRPr="00A71B61" w:rsidRDefault="00156720" w:rsidP="00156720">
            <w:pPr>
              <w:autoSpaceDE w:val="0"/>
              <w:autoSpaceDN w:val="0"/>
              <w:adjustRightInd w:val="0"/>
              <w:jc w:val="center"/>
              <w:rPr>
                <w:rFonts w:ascii="Montserrat" w:hAnsi="Montserrat" w:cs="Calibri"/>
                <w:color w:val="000000"/>
                <w:szCs w:val="20"/>
                <w:lang w:eastAsia="es-ES"/>
              </w:rPr>
            </w:pPr>
            <w:r w:rsidRPr="00A71B61">
              <w:rPr>
                <w:rFonts w:ascii="Montserrat" w:hAnsi="Montserrat" w:cs="Calibri"/>
                <w:color w:val="000000"/>
                <w:szCs w:val="20"/>
                <w:lang w:eastAsia="es-ES"/>
              </w:rPr>
              <w:t>11</w:t>
            </w:r>
          </w:p>
        </w:tc>
      </w:tr>
      <w:tr w:rsidR="00156720" w:rsidRPr="00A71B61" w:rsidTr="0074730F">
        <w:trPr>
          <w:trHeight w:val="498"/>
          <w:jc w:val="center"/>
        </w:trPr>
        <w:tc>
          <w:tcPr>
            <w:tcW w:w="3374" w:type="dxa"/>
          </w:tcPr>
          <w:p w:rsidR="00156720" w:rsidRPr="00A71B61" w:rsidRDefault="00156720" w:rsidP="00F10EE0">
            <w:pPr>
              <w:autoSpaceDE w:val="0"/>
              <w:autoSpaceDN w:val="0"/>
              <w:adjustRightInd w:val="0"/>
              <w:rPr>
                <w:rFonts w:ascii="Montserrat" w:hAnsi="Montserrat" w:cs="Calibri"/>
                <w:color w:val="000000"/>
                <w:szCs w:val="20"/>
                <w:lang w:eastAsia="es-ES"/>
              </w:rPr>
            </w:pPr>
            <w:r w:rsidRPr="00A71B61">
              <w:rPr>
                <w:rFonts w:ascii="Montserrat" w:hAnsi="Montserrat" w:cs="Calibri"/>
                <w:color w:val="000000"/>
                <w:szCs w:val="20"/>
                <w:lang w:eastAsia="es-ES"/>
              </w:rPr>
              <w:t xml:space="preserve">Aféresis HPA </w:t>
            </w:r>
          </w:p>
        </w:tc>
        <w:tc>
          <w:tcPr>
            <w:tcW w:w="2291" w:type="dxa"/>
          </w:tcPr>
          <w:p w:rsidR="00156720" w:rsidRPr="00A71B61" w:rsidRDefault="00156720" w:rsidP="00156720">
            <w:pPr>
              <w:autoSpaceDE w:val="0"/>
              <w:autoSpaceDN w:val="0"/>
              <w:adjustRightInd w:val="0"/>
              <w:jc w:val="center"/>
              <w:rPr>
                <w:rFonts w:ascii="Montserrat" w:hAnsi="Montserrat" w:cs="Calibri"/>
                <w:color w:val="000000"/>
                <w:szCs w:val="20"/>
                <w:lang w:eastAsia="es-ES"/>
              </w:rPr>
            </w:pPr>
            <w:r w:rsidRPr="00A71B61">
              <w:rPr>
                <w:rFonts w:ascii="Montserrat" w:hAnsi="Montserrat" w:cs="Calibri"/>
                <w:color w:val="000000"/>
                <w:szCs w:val="20"/>
                <w:lang w:eastAsia="es-ES"/>
              </w:rPr>
              <w:t>20</w:t>
            </w:r>
          </w:p>
        </w:tc>
      </w:tr>
      <w:tr w:rsidR="0074730F" w:rsidRPr="00A71B61" w:rsidTr="0074730F">
        <w:trPr>
          <w:cnfStyle w:val="010000000000" w:firstRow="0" w:lastRow="1" w:firstColumn="0" w:lastColumn="0" w:oddVBand="0" w:evenVBand="0" w:oddHBand="0" w:evenHBand="0" w:firstRowFirstColumn="0" w:firstRowLastColumn="0" w:lastRowFirstColumn="0" w:lastRowLastColumn="0"/>
          <w:trHeight w:val="499"/>
          <w:jc w:val="center"/>
        </w:trPr>
        <w:tc>
          <w:tcPr>
            <w:tcW w:w="3374" w:type="dxa"/>
          </w:tcPr>
          <w:p w:rsidR="00156720" w:rsidRPr="00A71B61" w:rsidRDefault="00156720" w:rsidP="00F10EE0">
            <w:pPr>
              <w:autoSpaceDE w:val="0"/>
              <w:autoSpaceDN w:val="0"/>
              <w:adjustRightInd w:val="0"/>
              <w:rPr>
                <w:rFonts w:ascii="Montserrat" w:hAnsi="Montserrat" w:cs="Cambria"/>
                <w:szCs w:val="20"/>
                <w:lang w:eastAsia="es-ES"/>
              </w:rPr>
            </w:pPr>
            <w:r w:rsidRPr="00A71B61">
              <w:rPr>
                <w:rFonts w:ascii="Montserrat" w:hAnsi="Montserrat" w:cs="Cambria"/>
                <w:bCs w:val="0"/>
                <w:szCs w:val="20"/>
                <w:lang w:eastAsia="es-ES"/>
              </w:rPr>
              <w:t xml:space="preserve">TOTAL </w:t>
            </w:r>
          </w:p>
        </w:tc>
        <w:tc>
          <w:tcPr>
            <w:tcW w:w="2291" w:type="dxa"/>
          </w:tcPr>
          <w:p w:rsidR="00156720" w:rsidRPr="00A71B61" w:rsidRDefault="00156720" w:rsidP="00156720">
            <w:pPr>
              <w:autoSpaceDE w:val="0"/>
              <w:autoSpaceDN w:val="0"/>
              <w:adjustRightInd w:val="0"/>
              <w:jc w:val="center"/>
              <w:rPr>
                <w:rFonts w:ascii="Montserrat" w:hAnsi="Montserrat" w:cs="Cambria"/>
                <w:szCs w:val="20"/>
                <w:lang w:eastAsia="es-ES"/>
              </w:rPr>
            </w:pPr>
            <w:r w:rsidRPr="00A71B61">
              <w:rPr>
                <w:rFonts w:ascii="Montserrat" w:hAnsi="Montserrat" w:cs="Cambria"/>
                <w:bCs w:val="0"/>
                <w:szCs w:val="20"/>
                <w:lang w:eastAsia="es-ES"/>
              </w:rPr>
              <w:t>144</w:t>
            </w:r>
          </w:p>
        </w:tc>
      </w:tr>
    </w:tbl>
    <w:p w:rsidR="00156720" w:rsidRPr="00A71B61" w:rsidRDefault="00156720" w:rsidP="00156720">
      <w:pPr>
        <w:pStyle w:val="Default"/>
        <w:rPr>
          <w:sz w:val="20"/>
          <w:szCs w:val="20"/>
        </w:rPr>
      </w:pPr>
    </w:p>
    <w:p w:rsidR="00156720" w:rsidRPr="00B51AC6" w:rsidRDefault="00156720" w:rsidP="00B51AC6">
      <w:pPr>
        <w:pStyle w:val="Ttulo2"/>
      </w:pPr>
      <w:bookmarkStart w:id="37" w:name="_Toc90584874"/>
      <w:r w:rsidRPr="00B51AC6">
        <w:t>Glicerolización de hematíes</w:t>
      </w:r>
      <w:bookmarkEnd w:id="37"/>
      <w:r w:rsidRPr="00B51AC6">
        <w:t xml:space="preserve"> </w:t>
      </w:r>
    </w:p>
    <w:p w:rsidR="00156720" w:rsidRPr="00A71B61" w:rsidRDefault="00156720" w:rsidP="006C2819">
      <w:pPr>
        <w:rPr>
          <w:color w:val="000000"/>
          <w:lang w:eastAsia="es-ES"/>
        </w:rPr>
      </w:pPr>
      <w:r w:rsidRPr="00A71B61">
        <w:t>Se han congelado 6 audonaciones (4 Bombay) y 15 concentrados de hematíes de los fenotipos poco frecuentes que se especifican en la siguiente tabla:</w:t>
      </w:r>
    </w:p>
    <w:tbl>
      <w:tblPr>
        <w:tblStyle w:val="Tabladecuadrcula5oscura-nfasis1"/>
        <w:tblW w:w="0" w:type="auto"/>
        <w:jc w:val="center"/>
        <w:tblLayout w:type="fixed"/>
        <w:tblLook w:val="0260" w:firstRow="1" w:lastRow="1" w:firstColumn="0" w:lastColumn="0" w:noHBand="1" w:noVBand="0"/>
      </w:tblPr>
      <w:tblGrid>
        <w:gridCol w:w="1716"/>
        <w:gridCol w:w="1716"/>
      </w:tblGrid>
      <w:tr w:rsidR="0074730F" w:rsidRPr="00A71B61" w:rsidTr="0074730F">
        <w:trPr>
          <w:cnfStyle w:val="100000000000" w:firstRow="1" w:lastRow="0" w:firstColumn="0" w:lastColumn="0" w:oddVBand="0" w:evenVBand="0" w:oddHBand="0" w:evenHBand="0" w:firstRowFirstColumn="0" w:firstRowLastColumn="0" w:lastRowFirstColumn="0" w:lastRowLastColumn="0"/>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szCs w:val="20"/>
                <w:lang w:eastAsia="es-ES"/>
              </w:rPr>
            </w:pPr>
            <w:r w:rsidRPr="00A71B61">
              <w:rPr>
                <w:rFonts w:cs="Calibri"/>
                <w:bCs w:val="0"/>
                <w:szCs w:val="20"/>
                <w:lang w:eastAsia="es-ES"/>
              </w:rPr>
              <w:t xml:space="preserve">Fenotipo </w:t>
            </w:r>
          </w:p>
        </w:tc>
        <w:tc>
          <w:tcPr>
            <w:tcW w:w="1716" w:type="dxa"/>
          </w:tcPr>
          <w:p w:rsidR="00156720" w:rsidRPr="00A71B61" w:rsidRDefault="00156720" w:rsidP="00F10EE0">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Calibri"/>
                <w:szCs w:val="20"/>
                <w:lang w:eastAsia="es-ES"/>
              </w:rPr>
            </w:pPr>
            <w:r w:rsidRPr="00A71B61">
              <w:rPr>
                <w:rFonts w:cs="Calibri"/>
                <w:bCs w:val="0"/>
                <w:szCs w:val="20"/>
                <w:lang w:eastAsia="es-ES"/>
              </w:rPr>
              <w:t xml:space="preserve">Unidades </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RzRz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1</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r´r´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1</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K+k-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3</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Kp (a+b-)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2</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Co(a-b+)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2</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Jr(a-b+)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2</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U-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1</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Fya- Fyb-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1</w:t>
            </w:r>
          </w:p>
        </w:tc>
      </w:tr>
      <w:tr w:rsidR="00156720" w:rsidRPr="00A71B61" w:rsidTr="0074730F">
        <w:trPr>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color w:val="000000"/>
                <w:szCs w:val="20"/>
                <w:lang w:eastAsia="es-ES"/>
              </w:rPr>
            </w:pPr>
            <w:r w:rsidRPr="00A71B61">
              <w:rPr>
                <w:rFonts w:cs="Calibri"/>
                <w:bCs/>
                <w:color w:val="000000"/>
                <w:szCs w:val="20"/>
                <w:lang w:eastAsia="es-ES"/>
              </w:rPr>
              <w:t xml:space="preserve">Bombay </w:t>
            </w:r>
          </w:p>
        </w:tc>
        <w:tc>
          <w:tcPr>
            <w:tcW w:w="1716" w:type="dxa"/>
          </w:tcPr>
          <w:p w:rsidR="00156720" w:rsidRPr="00A71B61" w:rsidRDefault="00156720" w:rsidP="001567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Calibri"/>
                <w:color w:val="000000"/>
                <w:szCs w:val="20"/>
                <w:lang w:eastAsia="es-ES"/>
              </w:rPr>
            </w:pPr>
            <w:r w:rsidRPr="00A71B61">
              <w:rPr>
                <w:rFonts w:cs="Calibri"/>
                <w:color w:val="000000"/>
                <w:szCs w:val="20"/>
                <w:lang w:eastAsia="es-ES"/>
              </w:rPr>
              <w:t>2</w:t>
            </w:r>
          </w:p>
        </w:tc>
      </w:tr>
      <w:tr w:rsidR="0074730F" w:rsidRPr="00A71B61" w:rsidTr="0074730F">
        <w:trPr>
          <w:cnfStyle w:val="010000000000" w:firstRow="0" w:lastRow="1" w:firstColumn="0" w:lastColumn="0" w:oddVBand="0" w:evenVBand="0" w:oddHBand="0" w:evenHBand="0" w:firstRowFirstColumn="0" w:firstRowLastColumn="0" w:lastRowFirstColumn="0" w:lastRowLastColumn="0"/>
          <w:trHeight w:val="367"/>
          <w:jc w:val="center"/>
        </w:trPr>
        <w:tc>
          <w:tcPr>
            <w:cnfStyle w:val="000010000000" w:firstRow="0" w:lastRow="0" w:firstColumn="0" w:lastColumn="0" w:oddVBand="1" w:evenVBand="0" w:oddHBand="0" w:evenHBand="0" w:firstRowFirstColumn="0" w:firstRowLastColumn="0" w:lastRowFirstColumn="0" w:lastRowLastColumn="0"/>
            <w:tcW w:w="1716" w:type="dxa"/>
          </w:tcPr>
          <w:p w:rsidR="00156720" w:rsidRPr="00A71B61" w:rsidRDefault="00156720" w:rsidP="00F10EE0">
            <w:pPr>
              <w:autoSpaceDE w:val="0"/>
              <w:autoSpaceDN w:val="0"/>
              <w:adjustRightInd w:val="0"/>
              <w:rPr>
                <w:rFonts w:cs="Calibri"/>
                <w:szCs w:val="20"/>
                <w:lang w:eastAsia="es-ES"/>
              </w:rPr>
            </w:pPr>
            <w:r w:rsidRPr="00A71B61">
              <w:rPr>
                <w:rFonts w:cs="Calibri"/>
                <w:bCs w:val="0"/>
                <w:szCs w:val="20"/>
                <w:lang w:eastAsia="es-ES"/>
              </w:rPr>
              <w:t xml:space="preserve">Total </w:t>
            </w:r>
          </w:p>
        </w:tc>
        <w:tc>
          <w:tcPr>
            <w:tcW w:w="1716" w:type="dxa"/>
          </w:tcPr>
          <w:p w:rsidR="00156720" w:rsidRPr="00A71B61" w:rsidRDefault="00156720" w:rsidP="00156720">
            <w:pPr>
              <w:autoSpaceDE w:val="0"/>
              <w:autoSpaceDN w:val="0"/>
              <w:adjustRightInd w:val="0"/>
              <w:jc w:val="center"/>
              <w:cnfStyle w:val="010000000000" w:firstRow="0" w:lastRow="1" w:firstColumn="0" w:lastColumn="0" w:oddVBand="0" w:evenVBand="0" w:oddHBand="0" w:evenHBand="0" w:firstRowFirstColumn="0" w:firstRowLastColumn="0" w:lastRowFirstColumn="0" w:lastRowLastColumn="0"/>
              <w:rPr>
                <w:rFonts w:cs="Calibri"/>
                <w:szCs w:val="20"/>
                <w:lang w:eastAsia="es-ES"/>
              </w:rPr>
            </w:pPr>
            <w:r w:rsidRPr="00A71B61">
              <w:rPr>
                <w:rFonts w:cs="Calibri"/>
                <w:bCs w:val="0"/>
                <w:szCs w:val="20"/>
                <w:lang w:eastAsia="es-ES"/>
              </w:rPr>
              <w:t>15</w:t>
            </w:r>
          </w:p>
        </w:tc>
      </w:tr>
    </w:tbl>
    <w:p w:rsidR="00156720" w:rsidRPr="00A71B61" w:rsidRDefault="00156720" w:rsidP="00156720">
      <w:pPr>
        <w:pStyle w:val="Default"/>
        <w:rPr>
          <w:sz w:val="20"/>
          <w:szCs w:val="20"/>
        </w:rPr>
      </w:pPr>
    </w:p>
    <w:p w:rsidR="00156720" w:rsidRPr="00B51AC6" w:rsidRDefault="00156720" w:rsidP="00B51AC6">
      <w:pPr>
        <w:pStyle w:val="Ttulo2"/>
      </w:pPr>
      <w:bookmarkStart w:id="38" w:name="_Toc90584875"/>
      <w:r w:rsidRPr="00B51AC6">
        <w:t>Desglicerolización de hematíes</w:t>
      </w:r>
      <w:bookmarkEnd w:id="38"/>
      <w:r w:rsidRPr="00B51AC6">
        <w:t xml:space="preserve"> </w:t>
      </w:r>
    </w:p>
    <w:p w:rsidR="00156720" w:rsidRPr="00A71B61" w:rsidRDefault="00156720" w:rsidP="006C2819">
      <w:r w:rsidRPr="00A71B61">
        <w:t>Se han desglicerolizado y distribuido 5 concentrado de hematíes para uso transfusional autólogo y un total de 39 concentrados de hematíes de fenotipos poco frecuentes para uso heterólogo, según el detalle de la siguiente tabla:</w:t>
      </w:r>
    </w:p>
    <w:p w:rsidR="00156720" w:rsidRPr="00A71B61" w:rsidRDefault="00156720" w:rsidP="00156720">
      <w:pPr>
        <w:rPr>
          <w:rFonts w:cs="Calibri"/>
          <w:szCs w:val="20"/>
        </w:rPr>
      </w:pPr>
    </w:p>
    <w:p w:rsidR="00156720" w:rsidRPr="00A71B61" w:rsidRDefault="00156720" w:rsidP="00156720">
      <w:pPr>
        <w:rPr>
          <w:rFonts w:cs="Calibri"/>
          <w:szCs w:val="20"/>
        </w:rPr>
      </w:pPr>
    </w:p>
    <w:tbl>
      <w:tblPr>
        <w:tblStyle w:val="Tabladecuadrcula5oscura-nfasis1"/>
        <w:tblW w:w="0" w:type="auto"/>
        <w:jc w:val="center"/>
        <w:tblLayout w:type="fixed"/>
        <w:tblLook w:val="0620" w:firstRow="1" w:lastRow="0" w:firstColumn="0" w:lastColumn="0" w:noHBand="1" w:noVBand="1"/>
      </w:tblPr>
      <w:tblGrid>
        <w:gridCol w:w="2459"/>
        <w:gridCol w:w="1405"/>
      </w:tblGrid>
      <w:tr w:rsidR="0074730F" w:rsidRPr="00A71B61" w:rsidTr="0074730F">
        <w:trPr>
          <w:cnfStyle w:val="100000000000" w:firstRow="1" w:lastRow="0" w:firstColumn="0" w:lastColumn="0" w:oddVBand="0" w:evenVBand="0" w:oddHBand="0" w:evenHBand="0" w:firstRowFirstColumn="0" w:firstRowLastColumn="0" w:lastRowFirstColumn="0" w:lastRowLastColumn="0"/>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mbria"/>
                <w:szCs w:val="20"/>
                <w:lang w:eastAsia="es-ES"/>
              </w:rPr>
            </w:pPr>
            <w:r w:rsidRPr="00A71B61">
              <w:rPr>
                <w:rFonts w:asciiTheme="majorHAnsi" w:hAnsiTheme="majorHAnsi" w:cs="Cambria"/>
                <w:bCs w:val="0"/>
                <w:szCs w:val="20"/>
                <w:lang w:eastAsia="es-ES"/>
              </w:rPr>
              <w:t>Fenotipo</w:t>
            </w:r>
          </w:p>
        </w:tc>
        <w:tc>
          <w:tcPr>
            <w:tcW w:w="1405" w:type="dxa"/>
          </w:tcPr>
          <w:p w:rsidR="00156720" w:rsidRPr="00A71B61" w:rsidRDefault="00156720" w:rsidP="00A122A0">
            <w:pPr>
              <w:autoSpaceDE w:val="0"/>
              <w:autoSpaceDN w:val="0"/>
              <w:adjustRightInd w:val="0"/>
              <w:jc w:val="center"/>
              <w:rPr>
                <w:rFonts w:asciiTheme="majorHAnsi" w:hAnsiTheme="majorHAnsi" w:cs="Cambria"/>
                <w:szCs w:val="20"/>
                <w:lang w:eastAsia="es-ES"/>
              </w:rPr>
            </w:pPr>
            <w:r w:rsidRPr="00A71B61">
              <w:rPr>
                <w:rFonts w:asciiTheme="majorHAnsi" w:hAnsiTheme="majorHAnsi" w:cs="Cambria"/>
                <w:bCs w:val="0"/>
                <w:szCs w:val="20"/>
                <w:lang w:eastAsia="es-ES"/>
              </w:rPr>
              <w:t>Nº de unidades</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Vel-</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3</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r´´r´´</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3</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Tja- (Tijuana)</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17</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Jra-</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1</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K+k-</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6</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Kpa+ Kpb-</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1</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Yta-</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4</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Bombay</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4</w:t>
            </w:r>
          </w:p>
        </w:tc>
      </w:tr>
      <w:tr w:rsidR="00156720" w:rsidRPr="00A71B61" w:rsidTr="0074730F">
        <w:trPr>
          <w:trHeight w:val="165"/>
          <w:jc w:val="center"/>
        </w:trPr>
        <w:tc>
          <w:tcPr>
            <w:tcW w:w="2459"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Autodonación</w:t>
            </w:r>
          </w:p>
        </w:tc>
        <w:tc>
          <w:tcPr>
            <w:tcW w:w="1405" w:type="dxa"/>
          </w:tcPr>
          <w:p w:rsidR="00156720" w:rsidRPr="00A71B61" w:rsidRDefault="00156720" w:rsidP="00A122A0">
            <w:pPr>
              <w:autoSpaceDE w:val="0"/>
              <w:autoSpaceDN w:val="0"/>
              <w:adjustRightInd w:val="0"/>
              <w:jc w:val="center"/>
              <w:rPr>
                <w:rFonts w:asciiTheme="majorHAnsi" w:hAnsiTheme="majorHAnsi" w:cs="Calibri"/>
                <w:color w:val="000000"/>
                <w:szCs w:val="20"/>
                <w:lang w:eastAsia="es-ES"/>
              </w:rPr>
            </w:pPr>
            <w:r w:rsidRPr="00A71B61">
              <w:rPr>
                <w:rFonts w:asciiTheme="majorHAnsi" w:hAnsiTheme="majorHAnsi" w:cs="Calibri"/>
                <w:color w:val="000000"/>
                <w:szCs w:val="20"/>
                <w:lang w:eastAsia="es-ES"/>
              </w:rPr>
              <w:t>5</w:t>
            </w:r>
          </w:p>
        </w:tc>
      </w:tr>
    </w:tbl>
    <w:p w:rsidR="00156720" w:rsidRPr="00A71B61" w:rsidRDefault="00156720" w:rsidP="00156720">
      <w:pPr>
        <w:rPr>
          <w:szCs w:val="20"/>
        </w:rPr>
      </w:pPr>
    </w:p>
    <w:p w:rsidR="00156720" w:rsidRPr="00A71B61" w:rsidRDefault="00156720" w:rsidP="00156720">
      <w:pPr>
        <w:pStyle w:val="Default"/>
        <w:rPr>
          <w:sz w:val="20"/>
          <w:szCs w:val="20"/>
        </w:rPr>
      </w:pPr>
    </w:p>
    <w:p w:rsidR="00156720" w:rsidRPr="00B51AC6" w:rsidRDefault="00156720" w:rsidP="00B51AC6">
      <w:pPr>
        <w:pStyle w:val="Ttulo2"/>
      </w:pPr>
      <w:bookmarkStart w:id="39" w:name="_Toc90584876"/>
      <w:r w:rsidRPr="00B51AC6">
        <w:t>Lavado de hematíes</w:t>
      </w:r>
      <w:bookmarkEnd w:id="39"/>
      <w:r w:rsidRPr="00B51AC6">
        <w:t xml:space="preserve"> </w:t>
      </w:r>
    </w:p>
    <w:p w:rsidR="00156720" w:rsidRPr="00A71B61" w:rsidRDefault="00156720" w:rsidP="006C2819">
      <w:r w:rsidRPr="00A71B61">
        <w:t>Se han lavado un total de 240 unidades de concentrado de hematíes y 31 plaquetas.</w:t>
      </w:r>
    </w:p>
    <w:p w:rsidR="00FB5E67" w:rsidRPr="00B51AC6" w:rsidRDefault="00FB5E67" w:rsidP="00B51AC6">
      <w:pPr>
        <w:pStyle w:val="Ttulo2"/>
      </w:pPr>
      <w:bookmarkStart w:id="40" w:name="_Toc90584877"/>
      <w:r w:rsidRPr="00B51AC6">
        <w:t>Distribución para transfusión de concentrados de hematíes de fenotipos raros</w:t>
      </w:r>
      <w:bookmarkEnd w:id="40"/>
    </w:p>
    <w:p w:rsidR="00FB5E67" w:rsidRPr="00A71B61" w:rsidRDefault="00FB5E67" w:rsidP="00FB5E67">
      <w:pPr>
        <w:rPr>
          <w:szCs w:val="20"/>
          <w:lang w:val="x-none" w:eastAsia="x-none"/>
        </w:rPr>
      </w:pPr>
    </w:p>
    <w:tbl>
      <w:tblPr>
        <w:tblStyle w:val="Tabladecuadrcula5oscura-nfasis1"/>
        <w:tblW w:w="8979" w:type="dxa"/>
        <w:tblLook w:val="0220" w:firstRow="1" w:lastRow="0" w:firstColumn="0" w:lastColumn="0" w:noHBand="1" w:noVBand="0"/>
      </w:tblPr>
      <w:tblGrid>
        <w:gridCol w:w="1838"/>
        <w:gridCol w:w="1801"/>
        <w:gridCol w:w="2401"/>
        <w:gridCol w:w="1405"/>
        <w:gridCol w:w="1534"/>
      </w:tblGrid>
      <w:tr w:rsidR="00FB5E67" w:rsidRPr="00A71B61" w:rsidTr="0074730F">
        <w:trPr>
          <w:cnfStyle w:val="100000000000" w:firstRow="1" w:lastRow="0" w:firstColumn="0" w:lastColumn="0" w:oddVBand="0" w:evenVBand="0" w:oddHBand="0" w:evenHBand="0" w:firstRowFirstColumn="0" w:firstRowLastColumn="0" w:lastRowFirstColumn="0" w:lastRowLastColumn="0"/>
          <w:cantSplit/>
          <w:trHeight w:val="383"/>
          <w:tblHeader/>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ISBT</w:t>
            </w:r>
          </w:p>
        </w:tc>
        <w:tc>
          <w:tcPr>
            <w:tcW w:w="1801" w:type="dxa"/>
            <w:noWrap/>
            <w:hideMark/>
          </w:tcPr>
          <w:p w:rsidR="00FB5E67" w:rsidRPr="00A71B61" w:rsidRDefault="00FB5E67" w:rsidP="00FB5E6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Descripción</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Descongelados</w:t>
            </w:r>
          </w:p>
        </w:tc>
        <w:tc>
          <w:tcPr>
            <w:tcW w:w="1405" w:type="dxa"/>
            <w:noWrap/>
            <w:hideMark/>
          </w:tcPr>
          <w:p w:rsidR="00FB5E67" w:rsidRPr="00A71B61" w:rsidRDefault="00FB5E67" w:rsidP="00FB5E67">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Frescos</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TOTAL (77)</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KEL: - 2</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KK</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6</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6</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KEL: - 4</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Kp (a+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KEL: - 3, - 4</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Kp (a-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KEL: -1,-2,-3,-4</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Ko</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LU: - 2</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Lu (a+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LU: - 1, - 2</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Lu ( a-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P1P1pk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Tj ( a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16</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17</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33</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Vel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Vel neg</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3</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4</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7</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FY: - 1, - 2</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Fy ( a-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JK: - 1, - 2</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Jk (a-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CO: - 1</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Co ( a-)</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DI: - 2</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Di ( b-)</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YT: -1</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Yt ( a-)</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4</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2</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6</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Jra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Jr ( a-)</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2</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JMH -</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JMH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Lan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Lan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2</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2</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Cha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Ch (a-)</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Kna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Kn (a-)</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9E04A8"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tcPr>
          <w:p w:rsidR="009E04A8" w:rsidRPr="00A71B61" w:rsidRDefault="009E04A8" w:rsidP="009E04A8">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ISBT</w:t>
            </w:r>
          </w:p>
        </w:tc>
        <w:tc>
          <w:tcPr>
            <w:tcW w:w="1801" w:type="dxa"/>
            <w:noWrap/>
          </w:tcPr>
          <w:p w:rsidR="009E04A8" w:rsidRPr="00A71B61" w:rsidRDefault="009E04A8" w:rsidP="009E04A8">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Descripción</w:t>
            </w:r>
          </w:p>
        </w:tc>
        <w:tc>
          <w:tcPr>
            <w:cnfStyle w:val="000010000000" w:firstRow="0" w:lastRow="0" w:firstColumn="0" w:lastColumn="0" w:oddVBand="1" w:evenVBand="0" w:oddHBand="0" w:evenHBand="0" w:firstRowFirstColumn="0" w:firstRowLastColumn="0" w:lastRowFirstColumn="0" w:lastRowLastColumn="0"/>
            <w:tcW w:w="2401" w:type="dxa"/>
            <w:noWrap/>
          </w:tcPr>
          <w:p w:rsidR="009E04A8" w:rsidRPr="00A71B61" w:rsidRDefault="009E04A8" w:rsidP="009E04A8">
            <w:pPr>
              <w:jc w:val="center"/>
              <w:rPr>
                <w:rFonts w:asciiTheme="majorHAnsi" w:eastAsia="Times New Roman" w:hAnsiTheme="majorHAnsi" w:cs="Arial"/>
                <w:b/>
                <w:bCs/>
                <w:color w:val="000000" w:themeColor="text1"/>
                <w:szCs w:val="20"/>
                <w:lang w:eastAsia="es-ES"/>
              </w:rPr>
            </w:pPr>
            <w:r w:rsidRPr="00A71B61">
              <w:rPr>
                <w:rFonts w:asciiTheme="majorHAnsi" w:eastAsia="Times New Roman" w:hAnsiTheme="majorHAnsi" w:cs="Arial"/>
                <w:b/>
                <w:bCs/>
                <w:color w:val="000000" w:themeColor="text1"/>
                <w:szCs w:val="20"/>
                <w:lang w:eastAsia="es-ES"/>
              </w:rPr>
              <w:t>Descongelados</w:t>
            </w:r>
          </w:p>
        </w:tc>
        <w:tc>
          <w:tcPr>
            <w:tcW w:w="1405" w:type="dxa"/>
            <w:noWrap/>
          </w:tcPr>
          <w:p w:rsidR="009E04A8" w:rsidRPr="00A71B61" w:rsidRDefault="009E04A8" w:rsidP="009E04A8">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bCs/>
                <w:color w:val="000000" w:themeColor="text1"/>
                <w:szCs w:val="20"/>
                <w:lang w:eastAsia="es-ES"/>
              </w:rPr>
            </w:pPr>
            <w:r w:rsidRPr="00A71B61">
              <w:rPr>
                <w:rFonts w:asciiTheme="majorHAnsi" w:eastAsia="Times New Roman" w:hAnsiTheme="majorHAnsi" w:cs="Arial"/>
                <w:b/>
                <w:bCs/>
                <w:color w:val="000000" w:themeColor="text1"/>
                <w:szCs w:val="20"/>
                <w:lang w:eastAsia="es-ES"/>
              </w:rPr>
              <w:t>Frescos</w:t>
            </w:r>
          </w:p>
        </w:tc>
        <w:tc>
          <w:tcPr>
            <w:cnfStyle w:val="000010000000" w:firstRow="0" w:lastRow="0" w:firstColumn="0" w:lastColumn="0" w:oddVBand="1" w:evenVBand="0" w:oddHBand="0" w:evenHBand="0" w:firstRowFirstColumn="0" w:firstRowLastColumn="0" w:lastRowFirstColumn="0" w:lastRowLastColumn="0"/>
            <w:tcW w:w="1534" w:type="dxa"/>
            <w:noWrap/>
          </w:tcPr>
          <w:p w:rsidR="009E04A8" w:rsidRPr="00A71B61" w:rsidRDefault="009E04A8" w:rsidP="009E04A8">
            <w:pPr>
              <w:jc w:val="center"/>
              <w:rPr>
                <w:rFonts w:asciiTheme="majorHAnsi" w:eastAsia="Times New Roman" w:hAnsiTheme="majorHAnsi" w:cs="Arial"/>
                <w:b/>
                <w:bCs/>
                <w:szCs w:val="20"/>
                <w:lang w:eastAsia="es-ES"/>
              </w:rPr>
            </w:pPr>
            <w:r w:rsidRPr="00A71B61">
              <w:rPr>
                <w:rFonts w:asciiTheme="majorHAnsi" w:eastAsia="Times New Roman" w:hAnsiTheme="majorHAnsi" w:cs="Arial"/>
                <w:b/>
                <w:bCs/>
                <w:szCs w:val="20"/>
                <w:lang w:eastAsia="es-ES"/>
              </w:rPr>
              <w:t>TOTAL</w:t>
            </w:r>
            <w:r w:rsidRPr="00A71B61">
              <w:rPr>
                <w:rFonts w:asciiTheme="majorHAnsi" w:eastAsia="Times New Roman" w:hAnsiTheme="majorHAnsi" w:cs="Arial"/>
                <w:szCs w:val="20"/>
                <w:lang w:eastAsia="es-ES"/>
              </w:rPr>
              <w:t xml:space="preserve"> (77)</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lastRenderedPageBreak/>
              <w:t>MNS: -3, -4</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S (-) s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MNS: - 5</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U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GLOB</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Pk+, anti P</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GLOB</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P- , anti P</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Bombay (Oh)</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8</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8</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16</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r' r'</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r'' r''</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3</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3</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xml:space="preserve">Rz Rz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 xml:space="preserve"> - D - / - D -</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r w:rsidR="00FB5E67" w:rsidRPr="00A71B61" w:rsidTr="0074730F">
        <w:trPr>
          <w:trHeight w:val="342"/>
        </w:trPr>
        <w:tc>
          <w:tcPr>
            <w:cnfStyle w:val="000010000000" w:firstRow="0" w:lastRow="0" w:firstColumn="0" w:lastColumn="0" w:oddVBand="1" w:evenVBand="0" w:oddHBand="0" w:evenHBand="0" w:firstRowFirstColumn="0" w:firstRowLastColumn="0" w:lastRowFirstColumn="0" w:lastRowLastColumn="0"/>
            <w:tcW w:w="1838" w:type="dxa"/>
            <w:noWrap/>
            <w:hideMark/>
          </w:tcPr>
          <w:p w:rsidR="00FB5E67" w:rsidRPr="00A71B61" w:rsidRDefault="00FB5E67" w:rsidP="00FB5E67">
            <w:pP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RH 46 neg</w:t>
            </w:r>
          </w:p>
        </w:tc>
        <w:tc>
          <w:tcPr>
            <w:tcW w:w="1801" w:type="dxa"/>
            <w:noWrap/>
            <w:hideMark/>
          </w:tcPr>
          <w:p w:rsidR="00FB5E67" w:rsidRPr="00A71B61" w:rsidRDefault="00FB5E67" w:rsidP="00FB5E67">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Sec neg</w:t>
            </w:r>
          </w:p>
        </w:tc>
        <w:tc>
          <w:tcPr>
            <w:cnfStyle w:val="000010000000" w:firstRow="0" w:lastRow="0" w:firstColumn="0" w:lastColumn="0" w:oddVBand="1" w:evenVBand="0" w:oddHBand="0" w:evenHBand="0" w:firstRowFirstColumn="0" w:firstRowLastColumn="0" w:lastRowFirstColumn="0" w:lastRowLastColumn="0"/>
            <w:tcW w:w="2401"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tcW w:w="1405" w:type="dxa"/>
            <w:noWrap/>
            <w:hideMark/>
          </w:tcPr>
          <w:p w:rsidR="00FB5E67" w:rsidRPr="00A71B61" w:rsidRDefault="00FB5E67" w:rsidP="00FB5E6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c>
          <w:tcPr>
            <w:cnfStyle w:val="000010000000" w:firstRow="0" w:lastRow="0" w:firstColumn="0" w:lastColumn="0" w:oddVBand="1" w:evenVBand="0" w:oddHBand="0" w:evenHBand="0" w:firstRowFirstColumn="0" w:firstRowLastColumn="0" w:lastRowFirstColumn="0" w:lastRowLastColumn="0"/>
            <w:tcW w:w="1534" w:type="dxa"/>
            <w:noWrap/>
            <w:hideMark/>
          </w:tcPr>
          <w:p w:rsidR="00FB5E67" w:rsidRPr="00A71B61" w:rsidRDefault="00FB5E67" w:rsidP="00FB5E67">
            <w:pPr>
              <w:jc w:val="center"/>
              <w:rPr>
                <w:rFonts w:asciiTheme="majorHAnsi" w:eastAsia="Times New Roman" w:hAnsiTheme="majorHAnsi" w:cs="Arial"/>
                <w:szCs w:val="20"/>
                <w:lang w:eastAsia="es-ES"/>
              </w:rPr>
            </w:pPr>
            <w:r w:rsidRPr="00A71B61">
              <w:rPr>
                <w:rFonts w:asciiTheme="majorHAnsi" w:eastAsia="Times New Roman" w:hAnsiTheme="majorHAnsi" w:cs="Arial"/>
                <w:szCs w:val="20"/>
                <w:lang w:eastAsia="es-ES"/>
              </w:rPr>
              <w:t>0</w:t>
            </w:r>
          </w:p>
        </w:tc>
      </w:tr>
    </w:tbl>
    <w:p w:rsidR="00FB5E67" w:rsidRPr="00A71B61" w:rsidRDefault="00FB5E67" w:rsidP="00156720">
      <w:pPr>
        <w:rPr>
          <w:rFonts w:cs="Calibri"/>
          <w:szCs w:val="20"/>
        </w:rPr>
      </w:pPr>
    </w:p>
    <w:p w:rsidR="00156720" w:rsidRPr="00A71B61" w:rsidRDefault="00156720">
      <w:pPr>
        <w:rPr>
          <w:rFonts w:cs="Calibri"/>
          <w:szCs w:val="20"/>
        </w:rPr>
      </w:pPr>
      <w:r w:rsidRPr="00A71B61">
        <w:rPr>
          <w:rFonts w:cs="Calibri"/>
          <w:szCs w:val="20"/>
        </w:rPr>
        <w:br w:type="page"/>
      </w:r>
    </w:p>
    <w:p w:rsidR="00F10EE0" w:rsidRPr="00B51AC6" w:rsidRDefault="00F10EE0" w:rsidP="00B51AC6">
      <w:pPr>
        <w:pStyle w:val="Ttulo1"/>
      </w:pPr>
      <w:bookmarkStart w:id="41" w:name="_Toc56606592"/>
      <w:bookmarkStart w:id="42" w:name="_Toc90584878"/>
      <w:r w:rsidRPr="00B51AC6">
        <w:lastRenderedPageBreak/>
        <w:t>Banco de Tejido Ovárico</w:t>
      </w:r>
      <w:bookmarkEnd w:id="42"/>
    </w:p>
    <w:p w:rsidR="00B51AC6" w:rsidRDefault="00B51AC6" w:rsidP="00E2139A">
      <w:pPr>
        <w:rPr>
          <w:szCs w:val="20"/>
        </w:rPr>
      </w:pPr>
    </w:p>
    <w:p w:rsidR="00F10EE0" w:rsidRPr="00A71B61" w:rsidRDefault="00F10EE0" w:rsidP="006C2819">
      <w:r w:rsidRPr="00A71B61">
        <w:t>El banco de Tejido Ovárico inició su actividad en el año 2020 incluido en el programa de criopreservación del tejido ovárico (TO) para uso autólogo de pacientes con riesgo de pérdida de fertilidad por exposición a tratamientos o a condiciones patológicas con toxicidad germinal y que no pueden ser sometidas a estimulación ovárica para obtener ovocitos (pacientes pre-púberes o pacientes post-púberes que precisan iniciar de forma urgente tratamiento oncológico) de la Comunidad de Madrid.</w:t>
      </w:r>
    </w:p>
    <w:p w:rsidR="00F10EE0" w:rsidRPr="00A71B61" w:rsidRDefault="00F10EE0" w:rsidP="006C2819">
      <w:r w:rsidRPr="00A71B61">
        <w:t>En el año 2019 se creó un grupo de trabajo coordinado por la Oficina Regional de Trasplantes (ORT) formado por los diferentes profesionales implicados en la actividad con el fin de establecer un protocolo de trabajo conjunto para la preservación de Tejido Ovárico. El grupo se reunió cada tres meses concluyendo la versión definitiva del protocolo en septiembre de ese mismo año.</w:t>
      </w:r>
    </w:p>
    <w:p w:rsidR="00F10EE0" w:rsidRPr="00A71B61" w:rsidRDefault="00F10EE0" w:rsidP="006C2819">
      <w:r w:rsidRPr="00A71B61">
        <w:t>En Junio de 2019 la Dra. Barea y la Dra. Alenda realizaron visita formativa al Hospital La Fe y al Centro de Transfusión de Valencia para conocer las técnicas utilizadas para la criopreservación de Tejido Ovárico.</w:t>
      </w:r>
    </w:p>
    <w:p w:rsidR="00F10EE0" w:rsidRPr="00A71B61" w:rsidRDefault="00F10EE0" w:rsidP="006C2819">
      <w:r w:rsidRPr="00A71B61">
        <w:t>En Julio de 2019 comienzan los trámites para la acreditación del Centro de Transfusión como Banco de Tejido Ovárico:</w:t>
      </w:r>
    </w:p>
    <w:p w:rsidR="00F10EE0" w:rsidRPr="006C2819" w:rsidRDefault="00F10EE0" w:rsidP="00846064">
      <w:pPr>
        <w:pStyle w:val="Prrafodelista"/>
        <w:numPr>
          <w:ilvl w:val="0"/>
          <w:numId w:val="25"/>
        </w:numPr>
      </w:pPr>
      <w:r w:rsidRPr="006C2819">
        <w:t xml:space="preserve">Envío de documentación en Julio y Septiembre. </w:t>
      </w:r>
    </w:p>
    <w:p w:rsidR="00F10EE0" w:rsidRPr="006C2819" w:rsidRDefault="00F10EE0" w:rsidP="00846064">
      <w:pPr>
        <w:pStyle w:val="Prrafodelista"/>
        <w:numPr>
          <w:ilvl w:val="0"/>
          <w:numId w:val="25"/>
        </w:numPr>
      </w:pPr>
      <w:r w:rsidRPr="006C2819">
        <w:t>Inspección técnica-voluntaria por parte de la Subdirección General de Autorizaciones-Acreditaciones de centros, servicios y establecimientos con fecha 30-12-2019</w:t>
      </w:r>
    </w:p>
    <w:p w:rsidR="00F10EE0" w:rsidRPr="00A71B61" w:rsidRDefault="00F10EE0" w:rsidP="006C2819">
      <w:r w:rsidRPr="00A71B61">
        <w:t>Obteniéndose la acreditación para el procesamiento, almacenamiento y distribución de Tejido Ovárico tras la inspección.</w:t>
      </w:r>
    </w:p>
    <w:p w:rsidR="00F10EE0" w:rsidRPr="00A71B61" w:rsidRDefault="00F10EE0" w:rsidP="006C2819">
      <w:r w:rsidRPr="00A71B61">
        <w:t xml:space="preserve">El centro de Transfusión estableció acuerdos de colaboración para la extracción/reimplantación de </w:t>
      </w:r>
      <w:r w:rsidR="00E2139A" w:rsidRPr="00A71B61">
        <w:t>T</w:t>
      </w:r>
      <w:r w:rsidRPr="00A71B61">
        <w:t>ejido Ovárico con cinco Hospital del SERMAS:</w:t>
      </w:r>
    </w:p>
    <w:p w:rsidR="00F10EE0" w:rsidRPr="00A71B61" w:rsidRDefault="00F10EE0" w:rsidP="00846064">
      <w:pPr>
        <w:pStyle w:val="Prrafodelista"/>
        <w:numPr>
          <w:ilvl w:val="0"/>
          <w:numId w:val="26"/>
        </w:numPr>
      </w:pPr>
      <w:r w:rsidRPr="00A71B61">
        <w:t>Hospital Universitario Gregorio Marañón.</w:t>
      </w:r>
    </w:p>
    <w:p w:rsidR="00F10EE0" w:rsidRPr="00A71B61" w:rsidRDefault="00F10EE0" w:rsidP="00846064">
      <w:pPr>
        <w:pStyle w:val="Prrafodelista"/>
        <w:numPr>
          <w:ilvl w:val="0"/>
          <w:numId w:val="26"/>
        </w:numPr>
      </w:pPr>
      <w:r w:rsidRPr="00A71B61">
        <w:t>Hospital Universitario La Paz.</w:t>
      </w:r>
    </w:p>
    <w:p w:rsidR="00F10EE0" w:rsidRPr="00A71B61" w:rsidRDefault="00F10EE0" w:rsidP="00846064">
      <w:pPr>
        <w:pStyle w:val="Prrafodelista"/>
        <w:numPr>
          <w:ilvl w:val="0"/>
          <w:numId w:val="26"/>
        </w:numPr>
      </w:pPr>
      <w:r w:rsidRPr="00A71B61">
        <w:t>Hospital Universitario Niño Jesús.</w:t>
      </w:r>
    </w:p>
    <w:p w:rsidR="00F10EE0" w:rsidRPr="00A71B61" w:rsidRDefault="00F10EE0" w:rsidP="00846064">
      <w:pPr>
        <w:pStyle w:val="Prrafodelista"/>
        <w:numPr>
          <w:ilvl w:val="0"/>
          <w:numId w:val="26"/>
        </w:numPr>
      </w:pPr>
      <w:r w:rsidRPr="00A71B61">
        <w:t>Hospital Clinico San Carlos.</w:t>
      </w:r>
    </w:p>
    <w:p w:rsidR="00F10EE0" w:rsidRPr="00A71B61" w:rsidRDefault="00F10EE0" w:rsidP="00846064">
      <w:pPr>
        <w:pStyle w:val="Prrafodelista"/>
        <w:numPr>
          <w:ilvl w:val="0"/>
          <w:numId w:val="26"/>
        </w:numPr>
      </w:pPr>
      <w:r w:rsidRPr="00A71B61">
        <w:t>Hospital Universitario Doce de Octubre.</w:t>
      </w:r>
    </w:p>
    <w:p w:rsidR="00E2139A" w:rsidRPr="00A71B61" w:rsidRDefault="00E2139A" w:rsidP="006C2819">
      <w:pPr>
        <w:pStyle w:val="Prrafodelista"/>
        <w:ind w:left="0"/>
      </w:pPr>
    </w:p>
    <w:p w:rsidR="00E2139A" w:rsidRPr="00B51AC6" w:rsidRDefault="00E2139A" w:rsidP="00B51AC6">
      <w:pPr>
        <w:pStyle w:val="Ttulo2"/>
      </w:pPr>
      <w:bookmarkStart w:id="43" w:name="_Toc90584879"/>
      <w:r w:rsidRPr="00B51AC6">
        <w:t>Actividad 2020</w:t>
      </w:r>
      <w:bookmarkEnd w:id="43"/>
    </w:p>
    <w:p w:rsidR="00F10EE0" w:rsidRPr="00A71B61" w:rsidRDefault="00F10EE0" w:rsidP="006C2819">
      <w:r w:rsidRPr="00A71B61">
        <w:t xml:space="preserve">El inicio de la actividad del Banco de Tejido Ovárico tuvo lugar el 17-01-2020 con la criopreservación de una corteza ovárica de una paciente del Hospital </w:t>
      </w:r>
      <w:r w:rsidR="000F4E67" w:rsidRPr="00A71B61">
        <w:t>Clínico</w:t>
      </w:r>
      <w:r w:rsidRPr="00A71B61">
        <w:t>.</w:t>
      </w:r>
    </w:p>
    <w:p w:rsidR="00F10EE0" w:rsidRPr="00A71B61" w:rsidRDefault="00F10EE0" w:rsidP="006C2819">
      <w:r w:rsidRPr="00A71B61">
        <w:t>Durante el año 2020 se han criop</w:t>
      </w:r>
      <w:r w:rsidR="00E2139A" w:rsidRPr="00A71B61">
        <w:t>reservado 15 tejidos ováricos con la siguiente distribución según el origen:</w:t>
      </w:r>
    </w:p>
    <w:p w:rsidR="00F10EE0" w:rsidRPr="006C2819" w:rsidRDefault="00F10EE0" w:rsidP="00846064">
      <w:pPr>
        <w:pStyle w:val="Prrafodelista"/>
        <w:numPr>
          <w:ilvl w:val="0"/>
          <w:numId w:val="27"/>
        </w:numPr>
      </w:pPr>
      <w:r w:rsidRPr="006C2819">
        <w:t>Nueve enviados desde el Hospital Universitario Gregorio Marañón.</w:t>
      </w:r>
    </w:p>
    <w:p w:rsidR="00F10EE0" w:rsidRPr="006C2819" w:rsidRDefault="00F10EE0" w:rsidP="00846064">
      <w:pPr>
        <w:pStyle w:val="Prrafodelista"/>
        <w:numPr>
          <w:ilvl w:val="0"/>
          <w:numId w:val="27"/>
        </w:numPr>
      </w:pPr>
      <w:r w:rsidRPr="006C2819">
        <w:t>Tres enviados desde el Hospital Universitario La Paz.</w:t>
      </w:r>
    </w:p>
    <w:p w:rsidR="00F10EE0" w:rsidRPr="006C2819" w:rsidRDefault="00F10EE0" w:rsidP="00846064">
      <w:pPr>
        <w:pStyle w:val="Prrafodelista"/>
        <w:numPr>
          <w:ilvl w:val="0"/>
          <w:numId w:val="27"/>
        </w:numPr>
      </w:pPr>
      <w:r w:rsidRPr="006C2819">
        <w:lastRenderedPageBreak/>
        <w:t>Dos enviados desde el Hospital Clínico San Carlos.</w:t>
      </w:r>
    </w:p>
    <w:p w:rsidR="00F10EE0" w:rsidRPr="006C2819" w:rsidRDefault="00F10EE0" w:rsidP="00846064">
      <w:pPr>
        <w:pStyle w:val="Prrafodelista"/>
        <w:numPr>
          <w:ilvl w:val="0"/>
          <w:numId w:val="27"/>
        </w:numPr>
      </w:pPr>
      <w:r w:rsidRPr="006C2819">
        <w:t>Uno enviado desde el Hospital Niño Jesús.</w:t>
      </w:r>
    </w:p>
    <w:p w:rsidR="00F10EE0" w:rsidRPr="006C2819" w:rsidRDefault="00F10EE0" w:rsidP="00846064">
      <w:pPr>
        <w:pStyle w:val="Prrafodelista"/>
        <w:numPr>
          <w:ilvl w:val="0"/>
          <w:numId w:val="27"/>
        </w:numPr>
      </w:pPr>
      <w:r w:rsidRPr="006C2819">
        <w:t>El Hospital Doce de Octubre no ha enviado ningún Tejido Ovárico hasta el momento.</w:t>
      </w:r>
    </w:p>
    <w:p w:rsidR="00F10EE0" w:rsidRPr="00A71B61" w:rsidRDefault="00F10EE0" w:rsidP="00E2139A">
      <w:pPr>
        <w:spacing w:after="0"/>
        <w:rPr>
          <w:rFonts w:asciiTheme="majorHAnsi" w:hAnsiTheme="majorHAnsi"/>
          <w:i/>
          <w:szCs w:val="20"/>
          <w:u w:val="single"/>
        </w:rPr>
      </w:pPr>
    </w:p>
    <w:p w:rsidR="00E2139A" w:rsidRPr="00A71B61" w:rsidRDefault="00E2139A" w:rsidP="006C2819">
      <w:r w:rsidRPr="00A71B61">
        <w:t>La distribución según la edad y el diagnóstico de las pacientes fue la siguiente:</w:t>
      </w:r>
    </w:p>
    <w:p w:rsidR="00E2139A" w:rsidRPr="00A71B61" w:rsidRDefault="00E2139A" w:rsidP="00E2139A">
      <w:pPr>
        <w:spacing w:after="0"/>
        <w:rPr>
          <w:rFonts w:asciiTheme="majorHAnsi" w:hAnsiTheme="majorHAnsi"/>
          <w:szCs w:val="20"/>
        </w:rPr>
      </w:pPr>
    </w:p>
    <w:tbl>
      <w:tblPr>
        <w:tblStyle w:val="Tabladecuadrcula5oscura-nfasis1"/>
        <w:tblW w:w="0" w:type="auto"/>
        <w:jc w:val="center"/>
        <w:tblLook w:val="0620" w:firstRow="1" w:lastRow="0" w:firstColumn="0" w:lastColumn="0" w:noHBand="1" w:noVBand="1"/>
      </w:tblPr>
      <w:tblGrid>
        <w:gridCol w:w="3539"/>
        <w:gridCol w:w="2224"/>
      </w:tblGrid>
      <w:tr w:rsidR="00F10EE0" w:rsidRPr="00A71B61" w:rsidTr="0074730F">
        <w:trPr>
          <w:cnfStyle w:val="100000000000" w:firstRow="1" w:lastRow="0" w:firstColumn="0" w:lastColumn="0" w:oddVBand="0" w:evenVBand="0" w:oddHBand="0" w:evenHBand="0" w:firstRowFirstColumn="0" w:firstRowLastColumn="0" w:lastRowFirstColumn="0" w:lastRowLastColumn="0"/>
          <w:trHeight w:val="358"/>
          <w:jc w:val="center"/>
        </w:trPr>
        <w:tc>
          <w:tcPr>
            <w:tcW w:w="3539"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Edad</w:t>
            </w:r>
          </w:p>
        </w:tc>
        <w:tc>
          <w:tcPr>
            <w:tcW w:w="2224"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n</w:t>
            </w:r>
          </w:p>
        </w:tc>
      </w:tr>
      <w:tr w:rsidR="00F10EE0" w:rsidRPr="00A71B61" w:rsidTr="0074730F">
        <w:trPr>
          <w:trHeight w:val="392"/>
          <w:jc w:val="center"/>
        </w:trPr>
        <w:tc>
          <w:tcPr>
            <w:tcW w:w="3539"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&lt; de 5 años</w:t>
            </w:r>
          </w:p>
        </w:tc>
        <w:tc>
          <w:tcPr>
            <w:tcW w:w="2224"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4</w:t>
            </w:r>
          </w:p>
        </w:tc>
      </w:tr>
      <w:tr w:rsidR="00F10EE0" w:rsidRPr="00A71B61" w:rsidTr="0074730F">
        <w:trPr>
          <w:trHeight w:val="375"/>
          <w:jc w:val="center"/>
        </w:trPr>
        <w:tc>
          <w:tcPr>
            <w:tcW w:w="3539"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De 5 a 18 años</w:t>
            </w:r>
          </w:p>
        </w:tc>
        <w:tc>
          <w:tcPr>
            <w:tcW w:w="2224"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9</w:t>
            </w:r>
          </w:p>
        </w:tc>
      </w:tr>
      <w:tr w:rsidR="00F10EE0" w:rsidRPr="00A71B61" w:rsidTr="0074730F">
        <w:trPr>
          <w:trHeight w:val="375"/>
          <w:jc w:val="center"/>
        </w:trPr>
        <w:tc>
          <w:tcPr>
            <w:tcW w:w="3539"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&gt; de 18 años</w:t>
            </w:r>
          </w:p>
        </w:tc>
        <w:tc>
          <w:tcPr>
            <w:tcW w:w="2224" w:type="dxa"/>
          </w:tcPr>
          <w:p w:rsidR="00F10EE0" w:rsidRPr="00A71B61" w:rsidRDefault="00F10EE0" w:rsidP="00E2139A">
            <w:pPr>
              <w:jc w:val="center"/>
              <w:rPr>
                <w:rFonts w:asciiTheme="majorHAnsi" w:hAnsiTheme="majorHAnsi"/>
                <w:szCs w:val="20"/>
              </w:rPr>
            </w:pPr>
            <w:r w:rsidRPr="00A71B61">
              <w:rPr>
                <w:rFonts w:asciiTheme="majorHAnsi" w:hAnsiTheme="majorHAnsi"/>
                <w:szCs w:val="20"/>
              </w:rPr>
              <w:t>2</w:t>
            </w:r>
          </w:p>
        </w:tc>
      </w:tr>
    </w:tbl>
    <w:p w:rsidR="00E2139A" w:rsidRPr="00A71B61" w:rsidRDefault="00E2139A" w:rsidP="00F10EE0">
      <w:pPr>
        <w:spacing w:after="0"/>
        <w:rPr>
          <w:rFonts w:asciiTheme="majorHAnsi" w:hAnsiTheme="majorHAnsi"/>
          <w:i/>
          <w:szCs w:val="20"/>
          <w:u w:val="single"/>
        </w:rPr>
      </w:pPr>
    </w:p>
    <w:p w:rsidR="00E2139A" w:rsidRPr="00A71B61" w:rsidRDefault="00E2139A" w:rsidP="00F10EE0">
      <w:pPr>
        <w:spacing w:after="0"/>
        <w:rPr>
          <w:rFonts w:asciiTheme="majorHAnsi" w:hAnsiTheme="majorHAnsi"/>
          <w:i/>
          <w:szCs w:val="20"/>
          <w:u w:val="single"/>
        </w:rPr>
      </w:pPr>
    </w:p>
    <w:tbl>
      <w:tblPr>
        <w:tblStyle w:val="Tabladecuadrcula5oscura-nfasis1"/>
        <w:tblW w:w="5560" w:type="dxa"/>
        <w:jc w:val="center"/>
        <w:tblLook w:val="0620" w:firstRow="1" w:lastRow="0" w:firstColumn="0" w:lastColumn="0" w:noHBand="1" w:noVBand="1"/>
      </w:tblPr>
      <w:tblGrid>
        <w:gridCol w:w="4348"/>
        <w:gridCol w:w="1212"/>
      </w:tblGrid>
      <w:tr w:rsidR="00F10EE0" w:rsidRPr="00A71B61" w:rsidTr="0074730F">
        <w:trPr>
          <w:cnfStyle w:val="100000000000" w:firstRow="1" w:lastRow="0" w:firstColumn="0" w:lastColumn="0" w:oddVBand="0" w:evenVBand="0" w:oddHBand="0" w:evenHBand="0" w:firstRowFirstColumn="0" w:firstRowLastColumn="0" w:lastRowFirstColumn="0" w:lastRowLastColumn="0"/>
          <w:trHeight w:val="478"/>
          <w:jc w:val="center"/>
        </w:trPr>
        <w:tc>
          <w:tcPr>
            <w:tcW w:w="4348" w:type="dxa"/>
            <w:hideMark/>
          </w:tcPr>
          <w:p w:rsidR="00F10EE0" w:rsidRPr="00A71B61" w:rsidRDefault="00F10EE0" w:rsidP="00F10EE0">
            <w:pPr>
              <w:rPr>
                <w:rFonts w:asciiTheme="majorHAnsi" w:hAnsiTheme="majorHAnsi"/>
                <w:szCs w:val="20"/>
              </w:rPr>
            </w:pPr>
            <w:r w:rsidRPr="00A71B61">
              <w:rPr>
                <w:rFonts w:asciiTheme="majorHAnsi" w:hAnsiTheme="majorHAnsi"/>
                <w:szCs w:val="20"/>
              </w:rPr>
              <w:t>Diagnóstico</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N</w:t>
            </w:r>
          </w:p>
        </w:tc>
      </w:tr>
      <w:tr w:rsidR="00F10EE0" w:rsidRPr="00A71B61" w:rsidTr="0074730F">
        <w:trPr>
          <w:trHeight w:val="478"/>
          <w:jc w:val="center"/>
        </w:trPr>
        <w:tc>
          <w:tcPr>
            <w:tcW w:w="4348" w:type="dxa"/>
            <w:hideMark/>
          </w:tcPr>
          <w:p w:rsidR="00F10EE0" w:rsidRPr="00A71B61" w:rsidRDefault="00F10EE0" w:rsidP="00F10EE0">
            <w:pPr>
              <w:rPr>
                <w:rFonts w:asciiTheme="majorHAnsi" w:hAnsiTheme="majorHAnsi"/>
                <w:szCs w:val="20"/>
              </w:rPr>
            </w:pPr>
            <w:r w:rsidRPr="00A71B61">
              <w:rPr>
                <w:rFonts w:asciiTheme="majorHAnsi" w:hAnsiTheme="majorHAnsi"/>
                <w:szCs w:val="20"/>
              </w:rPr>
              <w:t>Patología Maligna</w:t>
            </w:r>
          </w:p>
        </w:tc>
        <w:tc>
          <w:tcPr>
            <w:tcW w:w="1212" w:type="dxa"/>
            <w:hideMark/>
          </w:tcPr>
          <w:p w:rsidR="00F10EE0" w:rsidRPr="00A71B61" w:rsidRDefault="00F10EE0" w:rsidP="009E04A8">
            <w:pPr>
              <w:jc w:val="center"/>
              <w:rPr>
                <w:rFonts w:asciiTheme="majorHAnsi" w:hAnsiTheme="majorHAnsi"/>
                <w:b/>
                <w:szCs w:val="20"/>
              </w:rPr>
            </w:pPr>
            <w:r w:rsidRPr="00A71B61">
              <w:rPr>
                <w:rFonts w:asciiTheme="majorHAnsi" w:hAnsiTheme="majorHAnsi"/>
                <w:b/>
                <w:szCs w:val="20"/>
              </w:rPr>
              <w:t>7</w:t>
            </w:r>
          </w:p>
        </w:tc>
      </w:tr>
      <w:tr w:rsidR="00F10EE0" w:rsidRPr="00A71B61" w:rsidTr="0074730F">
        <w:trPr>
          <w:trHeight w:val="478"/>
          <w:jc w:val="center"/>
        </w:trPr>
        <w:tc>
          <w:tcPr>
            <w:tcW w:w="4348" w:type="dxa"/>
            <w:hideMark/>
          </w:tcPr>
          <w:p w:rsidR="00F10EE0" w:rsidRPr="00A71B61" w:rsidRDefault="00F10EE0" w:rsidP="00E2139A">
            <w:pPr>
              <w:jc w:val="right"/>
              <w:rPr>
                <w:rFonts w:asciiTheme="majorHAnsi" w:hAnsiTheme="majorHAnsi"/>
                <w:b/>
                <w:szCs w:val="20"/>
              </w:rPr>
            </w:pPr>
            <w:r w:rsidRPr="00A71B61">
              <w:rPr>
                <w:rFonts w:asciiTheme="majorHAnsi" w:hAnsiTheme="majorHAnsi"/>
                <w:b/>
                <w:szCs w:val="20"/>
              </w:rPr>
              <w:t>Sarcoma de Edwing</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3</w:t>
            </w:r>
          </w:p>
        </w:tc>
      </w:tr>
      <w:tr w:rsidR="00F10EE0" w:rsidRPr="00A71B61" w:rsidTr="0074730F">
        <w:trPr>
          <w:trHeight w:val="478"/>
          <w:jc w:val="center"/>
        </w:trPr>
        <w:tc>
          <w:tcPr>
            <w:tcW w:w="4348" w:type="dxa"/>
            <w:hideMark/>
          </w:tcPr>
          <w:p w:rsidR="00F10EE0" w:rsidRPr="00A71B61" w:rsidRDefault="00F10EE0" w:rsidP="00E2139A">
            <w:pPr>
              <w:jc w:val="right"/>
              <w:rPr>
                <w:rFonts w:asciiTheme="majorHAnsi" w:hAnsiTheme="majorHAnsi"/>
                <w:b/>
                <w:szCs w:val="20"/>
              </w:rPr>
            </w:pPr>
            <w:r w:rsidRPr="00A71B61">
              <w:rPr>
                <w:rFonts w:asciiTheme="majorHAnsi" w:hAnsiTheme="majorHAnsi"/>
                <w:b/>
                <w:szCs w:val="20"/>
              </w:rPr>
              <w:t>Rabdomiosarcoma</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2</w:t>
            </w:r>
          </w:p>
        </w:tc>
      </w:tr>
      <w:tr w:rsidR="00F10EE0" w:rsidRPr="00A71B61" w:rsidTr="0074730F">
        <w:trPr>
          <w:trHeight w:val="478"/>
          <w:jc w:val="center"/>
        </w:trPr>
        <w:tc>
          <w:tcPr>
            <w:tcW w:w="4348" w:type="dxa"/>
            <w:hideMark/>
          </w:tcPr>
          <w:p w:rsidR="00F10EE0" w:rsidRPr="00A71B61" w:rsidRDefault="00F10EE0" w:rsidP="00E2139A">
            <w:pPr>
              <w:jc w:val="right"/>
              <w:rPr>
                <w:rFonts w:asciiTheme="majorHAnsi" w:hAnsiTheme="majorHAnsi"/>
                <w:b/>
                <w:szCs w:val="20"/>
              </w:rPr>
            </w:pPr>
            <w:r w:rsidRPr="00A71B61">
              <w:rPr>
                <w:rFonts w:asciiTheme="majorHAnsi" w:hAnsiTheme="majorHAnsi"/>
                <w:b/>
                <w:szCs w:val="20"/>
              </w:rPr>
              <w:t>Osteosarcoma</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1</w:t>
            </w:r>
          </w:p>
        </w:tc>
      </w:tr>
      <w:tr w:rsidR="00F10EE0" w:rsidRPr="00A71B61" w:rsidTr="0074730F">
        <w:trPr>
          <w:trHeight w:val="478"/>
          <w:jc w:val="center"/>
        </w:trPr>
        <w:tc>
          <w:tcPr>
            <w:tcW w:w="4348" w:type="dxa"/>
            <w:hideMark/>
          </w:tcPr>
          <w:p w:rsidR="00F10EE0" w:rsidRPr="00A71B61" w:rsidRDefault="000F4E67" w:rsidP="00E2139A">
            <w:pPr>
              <w:jc w:val="right"/>
              <w:rPr>
                <w:rFonts w:asciiTheme="majorHAnsi" w:hAnsiTheme="majorHAnsi"/>
                <w:b/>
                <w:szCs w:val="20"/>
              </w:rPr>
            </w:pPr>
            <w:r w:rsidRPr="00A71B61">
              <w:rPr>
                <w:rFonts w:asciiTheme="majorHAnsi" w:hAnsiTheme="majorHAnsi"/>
                <w:b/>
                <w:szCs w:val="20"/>
              </w:rPr>
              <w:t>Síndrome m</w:t>
            </w:r>
            <w:r w:rsidR="00F10EE0" w:rsidRPr="00A71B61">
              <w:rPr>
                <w:rFonts w:asciiTheme="majorHAnsi" w:hAnsiTheme="majorHAnsi"/>
                <w:b/>
                <w:szCs w:val="20"/>
              </w:rPr>
              <w:t>ielodisplásico</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1</w:t>
            </w:r>
          </w:p>
        </w:tc>
      </w:tr>
      <w:tr w:rsidR="00F10EE0" w:rsidRPr="00A71B61" w:rsidTr="0074730F">
        <w:trPr>
          <w:trHeight w:val="478"/>
          <w:jc w:val="center"/>
        </w:trPr>
        <w:tc>
          <w:tcPr>
            <w:tcW w:w="4348" w:type="dxa"/>
            <w:hideMark/>
          </w:tcPr>
          <w:p w:rsidR="00F10EE0" w:rsidRPr="00A71B61" w:rsidRDefault="00F10EE0" w:rsidP="00F10EE0">
            <w:pPr>
              <w:rPr>
                <w:rFonts w:asciiTheme="majorHAnsi" w:hAnsiTheme="majorHAnsi"/>
                <w:szCs w:val="20"/>
              </w:rPr>
            </w:pPr>
            <w:r w:rsidRPr="00A71B61">
              <w:rPr>
                <w:rFonts w:asciiTheme="majorHAnsi" w:hAnsiTheme="majorHAnsi"/>
                <w:szCs w:val="20"/>
              </w:rPr>
              <w:t>Patología No Maligna</w:t>
            </w:r>
          </w:p>
        </w:tc>
        <w:tc>
          <w:tcPr>
            <w:tcW w:w="1212" w:type="dxa"/>
            <w:hideMark/>
          </w:tcPr>
          <w:p w:rsidR="00F10EE0" w:rsidRPr="00A71B61" w:rsidRDefault="00F10EE0" w:rsidP="009E04A8">
            <w:pPr>
              <w:jc w:val="center"/>
              <w:rPr>
                <w:rFonts w:asciiTheme="majorHAnsi" w:hAnsiTheme="majorHAnsi"/>
                <w:b/>
                <w:szCs w:val="20"/>
              </w:rPr>
            </w:pPr>
            <w:r w:rsidRPr="00A71B61">
              <w:rPr>
                <w:rFonts w:asciiTheme="majorHAnsi" w:hAnsiTheme="majorHAnsi"/>
                <w:b/>
                <w:szCs w:val="20"/>
              </w:rPr>
              <w:t>8</w:t>
            </w:r>
          </w:p>
        </w:tc>
      </w:tr>
      <w:tr w:rsidR="00F10EE0" w:rsidRPr="00A71B61" w:rsidTr="0074730F">
        <w:trPr>
          <w:trHeight w:val="478"/>
          <w:jc w:val="center"/>
        </w:trPr>
        <w:tc>
          <w:tcPr>
            <w:tcW w:w="4348" w:type="dxa"/>
            <w:hideMark/>
          </w:tcPr>
          <w:p w:rsidR="00F10EE0" w:rsidRPr="00A71B61" w:rsidRDefault="00F10EE0" w:rsidP="00E2139A">
            <w:pPr>
              <w:jc w:val="right"/>
              <w:rPr>
                <w:rFonts w:asciiTheme="majorHAnsi" w:hAnsiTheme="majorHAnsi"/>
                <w:b/>
                <w:szCs w:val="20"/>
              </w:rPr>
            </w:pPr>
            <w:r w:rsidRPr="00A71B61">
              <w:rPr>
                <w:rFonts w:asciiTheme="majorHAnsi" w:hAnsiTheme="majorHAnsi"/>
                <w:b/>
                <w:szCs w:val="20"/>
              </w:rPr>
              <w:t>Anemia falciforme</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6</w:t>
            </w:r>
          </w:p>
        </w:tc>
      </w:tr>
      <w:tr w:rsidR="00F10EE0" w:rsidRPr="00A71B61" w:rsidTr="0074730F">
        <w:trPr>
          <w:trHeight w:val="478"/>
          <w:jc w:val="center"/>
        </w:trPr>
        <w:tc>
          <w:tcPr>
            <w:tcW w:w="4348" w:type="dxa"/>
            <w:hideMark/>
          </w:tcPr>
          <w:p w:rsidR="00F10EE0" w:rsidRPr="00A71B61" w:rsidRDefault="00F10EE0" w:rsidP="00E2139A">
            <w:pPr>
              <w:jc w:val="right"/>
              <w:rPr>
                <w:rFonts w:asciiTheme="majorHAnsi" w:hAnsiTheme="majorHAnsi"/>
                <w:b/>
                <w:szCs w:val="20"/>
              </w:rPr>
            </w:pPr>
            <w:r w:rsidRPr="00A71B61">
              <w:rPr>
                <w:rFonts w:asciiTheme="majorHAnsi" w:hAnsiTheme="majorHAnsi"/>
                <w:b/>
                <w:szCs w:val="20"/>
              </w:rPr>
              <w:t>Aplasia medular adquirida severa</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1</w:t>
            </w:r>
          </w:p>
        </w:tc>
      </w:tr>
      <w:tr w:rsidR="00F10EE0" w:rsidRPr="00A71B61" w:rsidTr="0074730F">
        <w:trPr>
          <w:trHeight w:val="478"/>
          <w:jc w:val="center"/>
        </w:trPr>
        <w:tc>
          <w:tcPr>
            <w:tcW w:w="4348" w:type="dxa"/>
            <w:hideMark/>
          </w:tcPr>
          <w:p w:rsidR="00F10EE0" w:rsidRPr="00A71B61" w:rsidRDefault="000F4E67" w:rsidP="00E2139A">
            <w:pPr>
              <w:jc w:val="right"/>
              <w:rPr>
                <w:rFonts w:asciiTheme="majorHAnsi" w:hAnsiTheme="majorHAnsi"/>
                <w:b/>
                <w:szCs w:val="20"/>
              </w:rPr>
            </w:pPr>
            <w:r w:rsidRPr="00A71B61">
              <w:rPr>
                <w:rFonts w:asciiTheme="majorHAnsi" w:hAnsiTheme="majorHAnsi"/>
                <w:b/>
                <w:szCs w:val="20"/>
              </w:rPr>
              <w:t>Talasemia M</w:t>
            </w:r>
            <w:r w:rsidR="00F10EE0" w:rsidRPr="00A71B61">
              <w:rPr>
                <w:rFonts w:asciiTheme="majorHAnsi" w:hAnsiTheme="majorHAnsi"/>
                <w:b/>
                <w:szCs w:val="20"/>
              </w:rPr>
              <w:t>ajor</w:t>
            </w:r>
          </w:p>
        </w:tc>
        <w:tc>
          <w:tcPr>
            <w:tcW w:w="1212" w:type="dxa"/>
            <w:hideMark/>
          </w:tcPr>
          <w:p w:rsidR="00F10EE0" w:rsidRPr="00A71B61" w:rsidRDefault="00F10EE0" w:rsidP="009E04A8">
            <w:pPr>
              <w:jc w:val="center"/>
              <w:rPr>
                <w:rFonts w:asciiTheme="majorHAnsi" w:hAnsiTheme="majorHAnsi"/>
                <w:szCs w:val="20"/>
              </w:rPr>
            </w:pPr>
            <w:r w:rsidRPr="00A71B61">
              <w:rPr>
                <w:rFonts w:asciiTheme="majorHAnsi" w:hAnsiTheme="majorHAnsi"/>
                <w:szCs w:val="20"/>
              </w:rPr>
              <w:t>1</w:t>
            </w:r>
          </w:p>
        </w:tc>
      </w:tr>
    </w:tbl>
    <w:p w:rsidR="000B0280" w:rsidRPr="00A71B61" w:rsidRDefault="000B0280" w:rsidP="000F4E67">
      <w:pPr>
        <w:pStyle w:val="Ttulo2"/>
        <w:spacing w:before="0" w:after="160" w:line="259" w:lineRule="auto"/>
        <w:rPr>
          <w:szCs w:val="20"/>
          <w:lang w:val="es-ES"/>
        </w:rPr>
      </w:pPr>
    </w:p>
    <w:p w:rsidR="000B0280" w:rsidRPr="00A71B61" w:rsidRDefault="000B0280" w:rsidP="000F4E67">
      <w:pPr>
        <w:pStyle w:val="Ttulo2"/>
        <w:spacing w:before="0" w:after="160" w:line="259" w:lineRule="auto"/>
        <w:rPr>
          <w:szCs w:val="20"/>
          <w:lang w:val="es-ES"/>
        </w:rPr>
      </w:pPr>
    </w:p>
    <w:p w:rsidR="00F10EE0" w:rsidRPr="00B51AC6" w:rsidRDefault="000F4E67" w:rsidP="00B51AC6">
      <w:pPr>
        <w:pStyle w:val="Ttulo2"/>
      </w:pPr>
      <w:bookmarkStart w:id="44" w:name="_Toc90584880"/>
      <w:r w:rsidRPr="00B51AC6">
        <w:t>Evaluación de la actividad 2020 según protocolo de trabajo e indicadores de calidad</w:t>
      </w:r>
      <w:bookmarkEnd w:id="44"/>
    </w:p>
    <w:p w:rsidR="00B51AC6" w:rsidRDefault="00B51AC6" w:rsidP="00B51AC6">
      <w:pPr>
        <w:pStyle w:val="Ttulo3"/>
      </w:pPr>
    </w:p>
    <w:p w:rsidR="00F10EE0" w:rsidRPr="00B51AC6" w:rsidRDefault="00F10EE0" w:rsidP="00B51AC6">
      <w:pPr>
        <w:pStyle w:val="Ttulo3"/>
      </w:pPr>
      <w:r w:rsidRPr="00B51AC6">
        <w:t>Hora de extracción</w:t>
      </w:r>
    </w:p>
    <w:p w:rsidR="00F10EE0" w:rsidRPr="00A71B61" w:rsidRDefault="00F10EE0" w:rsidP="006C2819">
      <w:r w:rsidRPr="00A71B61">
        <w:t xml:space="preserve">Según lo acordado durante la elaboración del plan de criopreservación de tejido ovárico, la extracción del tejido ovárico se programaría como primera intervención del día. Esto no ha sido posible en todos los casos. </w:t>
      </w:r>
    </w:p>
    <w:p w:rsidR="00F10EE0" w:rsidRPr="00A71B61" w:rsidRDefault="00F10EE0" w:rsidP="006C2819">
      <w:r w:rsidRPr="00A71B61">
        <w:t>La primera hora a la que se ha llevado a cabo la extracción ha sido las 9:30h, extrayéndose dos tejidos ováricos a esta hora. Entre las 9,30 y las 10,30h se han realizado ocho procedimientos. Entre las 10,30h y las 11h se extrajeron tres TO.</w:t>
      </w:r>
    </w:p>
    <w:p w:rsidR="00F10EE0" w:rsidRPr="00A71B61" w:rsidRDefault="00F10EE0" w:rsidP="006C2819">
      <w:r w:rsidRPr="00A71B61">
        <w:lastRenderedPageBreak/>
        <w:t xml:space="preserve">Dos intervenciones se tuvieron que llevar a cabo después de las 12h por complicaciones derivadas de la patología del paciente. </w:t>
      </w:r>
    </w:p>
    <w:p w:rsidR="00F10EE0" w:rsidRPr="00A71B61" w:rsidRDefault="00F10EE0" w:rsidP="00F10EE0">
      <w:pPr>
        <w:spacing w:after="0"/>
        <w:rPr>
          <w:szCs w:val="20"/>
        </w:rPr>
      </w:pPr>
    </w:p>
    <w:p w:rsidR="00F10EE0" w:rsidRPr="00B51AC6" w:rsidRDefault="00F10EE0" w:rsidP="00B51AC6">
      <w:pPr>
        <w:pStyle w:val="Ttulo3"/>
      </w:pPr>
      <w:r w:rsidRPr="00B51AC6">
        <w:t>Tiempo transcurrido entre la extracción y la criopreservación</w:t>
      </w:r>
    </w:p>
    <w:p w:rsidR="000F4E67" w:rsidRPr="00A71B61" w:rsidRDefault="00F10EE0" w:rsidP="006C2819">
      <w:r w:rsidRPr="00A71B61">
        <w:t xml:space="preserve">El tiempo transcurrido entre la extracción y la criopreservación del TO no debe ser superior a 6h para preservar la correcta funcionalidad de los ovocitos. </w:t>
      </w:r>
    </w:p>
    <w:p w:rsidR="00F10EE0" w:rsidRPr="00A71B61" w:rsidRDefault="00F10EE0" w:rsidP="006C2819">
      <w:r w:rsidRPr="00A71B61">
        <w:t>Todas las muestras de tejido ovárico fueron crioprese</w:t>
      </w:r>
      <w:r w:rsidR="000F4E67" w:rsidRPr="00A71B61">
        <w:t xml:space="preserve">rvada en un tiempo menor a 6h. </w:t>
      </w:r>
    </w:p>
    <w:p w:rsidR="00F10EE0" w:rsidRPr="00A71B61" w:rsidRDefault="00F10EE0" w:rsidP="00F10EE0">
      <w:pPr>
        <w:spacing w:after="0"/>
        <w:rPr>
          <w:i/>
          <w:szCs w:val="20"/>
          <w:u w:val="single"/>
        </w:rPr>
      </w:pPr>
    </w:p>
    <w:tbl>
      <w:tblPr>
        <w:tblStyle w:val="Tabladecuadrcula5oscura-nfasis1"/>
        <w:tblW w:w="0" w:type="auto"/>
        <w:jc w:val="center"/>
        <w:tblLook w:val="0620" w:firstRow="1" w:lastRow="0" w:firstColumn="0" w:lastColumn="0" w:noHBand="1" w:noVBand="1"/>
      </w:tblPr>
      <w:tblGrid>
        <w:gridCol w:w="2026"/>
        <w:gridCol w:w="4020"/>
      </w:tblGrid>
      <w:tr w:rsidR="00F10EE0" w:rsidRPr="00A71B61" w:rsidTr="0074730F">
        <w:trPr>
          <w:cnfStyle w:val="100000000000" w:firstRow="1" w:lastRow="0" w:firstColumn="0" w:lastColumn="0" w:oddVBand="0" w:evenVBand="0" w:oddHBand="0" w:evenHBand="0" w:firstRowFirstColumn="0" w:firstRowLastColumn="0" w:lastRowFirstColumn="0" w:lastRowLastColumn="0"/>
          <w:trHeight w:val="535"/>
          <w:jc w:val="center"/>
        </w:trPr>
        <w:tc>
          <w:tcPr>
            <w:tcW w:w="2026" w:type="dxa"/>
          </w:tcPr>
          <w:p w:rsidR="00F10EE0" w:rsidRPr="00A71B61" w:rsidRDefault="000F4E67" w:rsidP="00F10EE0">
            <w:pPr>
              <w:rPr>
                <w:szCs w:val="20"/>
              </w:rPr>
            </w:pPr>
            <w:r w:rsidRPr="00A71B61">
              <w:rPr>
                <w:szCs w:val="20"/>
              </w:rPr>
              <w:t>Muestra</w:t>
            </w:r>
          </w:p>
        </w:tc>
        <w:tc>
          <w:tcPr>
            <w:tcW w:w="4020" w:type="dxa"/>
          </w:tcPr>
          <w:p w:rsidR="00F10EE0" w:rsidRPr="00A71B61" w:rsidRDefault="00F10EE0" w:rsidP="000F4E67">
            <w:pPr>
              <w:jc w:val="center"/>
              <w:rPr>
                <w:szCs w:val="20"/>
              </w:rPr>
            </w:pPr>
            <w:r w:rsidRPr="00A71B61">
              <w:rPr>
                <w:szCs w:val="20"/>
              </w:rPr>
              <w:t>Tiempo extracción-criopreservación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T.1</w:t>
            </w:r>
          </w:p>
        </w:tc>
        <w:tc>
          <w:tcPr>
            <w:tcW w:w="4020" w:type="dxa"/>
          </w:tcPr>
          <w:p w:rsidR="00F10EE0" w:rsidRPr="00A71B61" w:rsidRDefault="00F10EE0" w:rsidP="000F4E67">
            <w:pPr>
              <w:jc w:val="center"/>
              <w:rPr>
                <w:szCs w:val="20"/>
              </w:rPr>
            </w:pPr>
            <w:r w:rsidRPr="00A71B61">
              <w:rPr>
                <w:szCs w:val="20"/>
              </w:rPr>
              <w:t>4h 2min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T.2</w:t>
            </w:r>
          </w:p>
        </w:tc>
        <w:tc>
          <w:tcPr>
            <w:tcW w:w="4020" w:type="dxa"/>
          </w:tcPr>
          <w:p w:rsidR="00F10EE0" w:rsidRPr="00A71B61" w:rsidRDefault="00F10EE0" w:rsidP="000F4E67">
            <w:pPr>
              <w:jc w:val="center"/>
              <w:rPr>
                <w:szCs w:val="20"/>
              </w:rPr>
            </w:pPr>
            <w:r w:rsidRPr="00A71B61">
              <w:rPr>
                <w:szCs w:val="20"/>
              </w:rPr>
              <w:t>4h 50min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T.3</w:t>
            </w:r>
          </w:p>
        </w:tc>
        <w:tc>
          <w:tcPr>
            <w:tcW w:w="4020" w:type="dxa"/>
          </w:tcPr>
          <w:p w:rsidR="00F10EE0" w:rsidRPr="00A71B61" w:rsidRDefault="00F10EE0" w:rsidP="000F4E67">
            <w:pPr>
              <w:jc w:val="center"/>
              <w:rPr>
                <w:szCs w:val="20"/>
              </w:rPr>
            </w:pPr>
            <w:r w:rsidRPr="00A71B61">
              <w:rPr>
                <w:szCs w:val="20"/>
              </w:rPr>
              <w:t>4h 55min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T.4</w:t>
            </w:r>
          </w:p>
        </w:tc>
        <w:tc>
          <w:tcPr>
            <w:tcW w:w="4020" w:type="dxa"/>
          </w:tcPr>
          <w:p w:rsidR="00F10EE0" w:rsidRPr="00A71B61" w:rsidRDefault="00F10EE0" w:rsidP="000F4E67">
            <w:pPr>
              <w:jc w:val="center"/>
              <w:rPr>
                <w:szCs w:val="20"/>
              </w:rPr>
            </w:pPr>
            <w:r w:rsidRPr="00A71B61">
              <w:rPr>
                <w:szCs w:val="20"/>
              </w:rPr>
              <w:t>4h 45min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T.5</w:t>
            </w:r>
          </w:p>
        </w:tc>
        <w:tc>
          <w:tcPr>
            <w:tcW w:w="4020" w:type="dxa"/>
          </w:tcPr>
          <w:p w:rsidR="00F10EE0" w:rsidRPr="00A71B61" w:rsidRDefault="00F10EE0" w:rsidP="000F4E67">
            <w:pPr>
              <w:jc w:val="center"/>
              <w:rPr>
                <w:szCs w:val="20"/>
              </w:rPr>
            </w:pPr>
            <w:r w:rsidRPr="00A71B61">
              <w:rPr>
                <w:szCs w:val="20"/>
              </w:rPr>
              <w:t>4h 55min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T.6</w:t>
            </w:r>
          </w:p>
        </w:tc>
        <w:tc>
          <w:tcPr>
            <w:tcW w:w="4020" w:type="dxa"/>
          </w:tcPr>
          <w:p w:rsidR="00F10EE0" w:rsidRPr="00A71B61" w:rsidRDefault="00F10EE0" w:rsidP="000F4E67">
            <w:pPr>
              <w:jc w:val="center"/>
              <w:rPr>
                <w:szCs w:val="20"/>
              </w:rPr>
            </w:pPr>
            <w:r w:rsidRPr="00A71B61">
              <w:rPr>
                <w:szCs w:val="20"/>
              </w:rPr>
              <w:t>4h 31min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T.7</w:t>
            </w:r>
          </w:p>
        </w:tc>
        <w:tc>
          <w:tcPr>
            <w:tcW w:w="4020" w:type="dxa"/>
          </w:tcPr>
          <w:p w:rsidR="00F10EE0" w:rsidRPr="00A71B61" w:rsidRDefault="00F10EE0" w:rsidP="000F4E67">
            <w:pPr>
              <w:jc w:val="center"/>
              <w:rPr>
                <w:szCs w:val="20"/>
              </w:rPr>
            </w:pPr>
            <w:r w:rsidRPr="00A71B61">
              <w:rPr>
                <w:szCs w:val="20"/>
              </w:rPr>
              <w:t>4h 38min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T.8</w:t>
            </w:r>
          </w:p>
        </w:tc>
        <w:tc>
          <w:tcPr>
            <w:tcW w:w="4020" w:type="dxa"/>
          </w:tcPr>
          <w:p w:rsidR="00F10EE0" w:rsidRPr="00A71B61" w:rsidRDefault="00F10EE0" w:rsidP="000F4E67">
            <w:pPr>
              <w:jc w:val="center"/>
              <w:rPr>
                <w:szCs w:val="20"/>
              </w:rPr>
            </w:pPr>
            <w:r w:rsidRPr="00A71B61">
              <w:rPr>
                <w:szCs w:val="20"/>
              </w:rPr>
              <w:t>5h 8min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T.9</w:t>
            </w:r>
          </w:p>
        </w:tc>
        <w:tc>
          <w:tcPr>
            <w:tcW w:w="4020" w:type="dxa"/>
          </w:tcPr>
          <w:p w:rsidR="00F10EE0" w:rsidRPr="00A71B61" w:rsidRDefault="00F10EE0" w:rsidP="000F4E67">
            <w:pPr>
              <w:jc w:val="center"/>
              <w:rPr>
                <w:szCs w:val="20"/>
              </w:rPr>
            </w:pPr>
            <w:r w:rsidRPr="00A71B61">
              <w:rPr>
                <w:szCs w:val="20"/>
              </w:rPr>
              <w:t>4h 17min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T.10</w:t>
            </w:r>
          </w:p>
        </w:tc>
        <w:tc>
          <w:tcPr>
            <w:tcW w:w="4020" w:type="dxa"/>
          </w:tcPr>
          <w:p w:rsidR="00F10EE0" w:rsidRPr="00A71B61" w:rsidRDefault="00F10EE0" w:rsidP="000F4E67">
            <w:pPr>
              <w:jc w:val="center"/>
              <w:rPr>
                <w:szCs w:val="20"/>
              </w:rPr>
            </w:pPr>
            <w:r w:rsidRPr="00A71B61">
              <w:rPr>
                <w:szCs w:val="20"/>
              </w:rPr>
              <w:t>4h 15min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T.11</w:t>
            </w:r>
          </w:p>
        </w:tc>
        <w:tc>
          <w:tcPr>
            <w:tcW w:w="4020" w:type="dxa"/>
          </w:tcPr>
          <w:p w:rsidR="00F10EE0" w:rsidRPr="00A71B61" w:rsidRDefault="00F10EE0" w:rsidP="000F4E67">
            <w:pPr>
              <w:jc w:val="center"/>
              <w:rPr>
                <w:szCs w:val="20"/>
              </w:rPr>
            </w:pPr>
            <w:r w:rsidRPr="00A71B61">
              <w:rPr>
                <w:szCs w:val="20"/>
              </w:rPr>
              <w:t>4h 40min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T.12</w:t>
            </w:r>
          </w:p>
        </w:tc>
        <w:tc>
          <w:tcPr>
            <w:tcW w:w="4020" w:type="dxa"/>
          </w:tcPr>
          <w:p w:rsidR="00F10EE0" w:rsidRPr="00A71B61" w:rsidRDefault="00F10EE0" w:rsidP="000F4E67">
            <w:pPr>
              <w:jc w:val="center"/>
              <w:rPr>
                <w:szCs w:val="20"/>
              </w:rPr>
            </w:pPr>
            <w:r w:rsidRPr="00A71B61">
              <w:rPr>
                <w:szCs w:val="20"/>
              </w:rPr>
              <w:t>3h 50min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T.13</w:t>
            </w:r>
          </w:p>
        </w:tc>
        <w:tc>
          <w:tcPr>
            <w:tcW w:w="4020" w:type="dxa"/>
          </w:tcPr>
          <w:p w:rsidR="00F10EE0" w:rsidRPr="00A71B61" w:rsidRDefault="00F10EE0" w:rsidP="000F4E67">
            <w:pPr>
              <w:jc w:val="center"/>
              <w:rPr>
                <w:szCs w:val="20"/>
              </w:rPr>
            </w:pPr>
            <w:r w:rsidRPr="00A71B61">
              <w:rPr>
                <w:szCs w:val="20"/>
              </w:rPr>
              <w:t>4h 22min</w:t>
            </w:r>
          </w:p>
        </w:tc>
      </w:tr>
      <w:tr w:rsidR="00F10EE0" w:rsidRPr="00A71B61" w:rsidTr="0074730F">
        <w:trPr>
          <w:trHeight w:val="277"/>
          <w:jc w:val="center"/>
        </w:trPr>
        <w:tc>
          <w:tcPr>
            <w:tcW w:w="2026" w:type="dxa"/>
          </w:tcPr>
          <w:p w:rsidR="00F10EE0" w:rsidRPr="00A71B61" w:rsidRDefault="00F10EE0" w:rsidP="00F10EE0">
            <w:pPr>
              <w:rPr>
                <w:szCs w:val="20"/>
              </w:rPr>
            </w:pPr>
            <w:r w:rsidRPr="00A71B61">
              <w:rPr>
                <w:szCs w:val="20"/>
              </w:rPr>
              <w:t>T.14</w:t>
            </w:r>
          </w:p>
        </w:tc>
        <w:tc>
          <w:tcPr>
            <w:tcW w:w="4020" w:type="dxa"/>
          </w:tcPr>
          <w:p w:rsidR="00F10EE0" w:rsidRPr="00A71B61" w:rsidRDefault="00F10EE0" w:rsidP="000F4E67">
            <w:pPr>
              <w:jc w:val="center"/>
              <w:rPr>
                <w:szCs w:val="20"/>
              </w:rPr>
            </w:pPr>
            <w:r w:rsidRPr="00A71B61">
              <w:rPr>
                <w:szCs w:val="20"/>
              </w:rPr>
              <w:t>3h 50min</w:t>
            </w:r>
          </w:p>
        </w:tc>
      </w:tr>
      <w:tr w:rsidR="00F10EE0" w:rsidRPr="00A71B61" w:rsidTr="0074730F">
        <w:trPr>
          <w:trHeight w:val="265"/>
          <w:jc w:val="center"/>
        </w:trPr>
        <w:tc>
          <w:tcPr>
            <w:tcW w:w="2026" w:type="dxa"/>
          </w:tcPr>
          <w:p w:rsidR="00F10EE0" w:rsidRPr="00A71B61" w:rsidRDefault="00F10EE0" w:rsidP="00F10EE0">
            <w:pPr>
              <w:rPr>
                <w:szCs w:val="20"/>
              </w:rPr>
            </w:pPr>
            <w:r w:rsidRPr="00A71B61">
              <w:rPr>
                <w:szCs w:val="20"/>
              </w:rPr>
              <w:t>T.15</w:t>
            </w:r>
          </w:p>
        </w:tc>
        <w:tc>
          <w:tcPr>
            <w:tcW w:w="4020" w:type="dxa"/>
          </w:tcPr>
          <w:p w:rsidR="00F10EE0" w:rsidRPr="00A71B61" w:rsidRDefault="00F10EE0" w:rsidP="000F4E67">
            <w:pPr>
              <w:jc w:val="center"/>
              <w:rPr>
                <w:szCs w:val="20"/>
              </w:rPr>
            </w:pPr>
            <w:r w:rsidRPr="00A71B61">
              <w:rPr>
                <w:szCs w:val="20"/>
              </w:rPr>
              <w:t>3h 55min</w:t>
            </w:r>
          </w:p>
        </w:tc>
      </w:tr>
    </w:tbl>
    <w:p w:rsidR="00F10EE0" w:rsidRPr="00A71B61" w:rsidRDefault="00F10EE0" w:rsidP="00F10EE0">
      <w:pPr>
        <w:rPr>
          <w:szCs w:val="20"/>
        </w:rPr>
      </w:pPr>
    </w:p>
    <w:p w:rsidR="00F10EE0" w:rsidRPr="00B51AC6" w:rsidRDefault="00F10EE0" w:rsidP="00B51AC6">
      <w:pPr>
        <w:pStyle w:val="Ttulo3"/>
      </w:pPr>
      <w:r w:rsidRPr="00B51AC6">
        <w:t>Tiempo de procesamiento en CTM</w:t>
      </w:r>
    </w:p>
    <w:p w:rsidR="000F4E67" w:rsidRPr="006C2819" w:rsidRDefault="00F10EE0" w:rsidP="006C2819">
      <w:pPr>
        <w:pStyle w:val="Prrafodelista"/>
      </w:pPr>
      <w:r w:rsidRPr="006C2819">
        <w:t>El tiempo máximo transcurrido entre la llegada al CTM del TO y su criopreservación fue establecido en  3h con el fin de poder cumplir el tiempo máximo que debe transcurrir entre extracción y criopreservación. Una única muestra fue criopreservada en un tiempo superior a 3h. (Tabla2). La muestra sobrepasó el tiempo en 30 minutos si bien no es un hecho grave ya que el tiempo total entre extracción y criopreservación se mantuvo dentro del  rango aceptable.</w:t>
      </w:r>
    </w:p>
    <w:p w:rsidR="00F10EE0" w:rsidRPr="006C2819" w:rsidRDefault="00F10EE0" w:rsidP="006C2819">
      <w:pPr>
        <w:pStyle w:val="Prrafodelista"/>
      </w:pPr>
      <w:r w:rsidRPr="006C2819">
        <w:t xml:space="preserve">Este indicador nos permite medir internamente la eficiencia en nuestro trabajo y la correcta formación del personal técnico implicado en el procesamiento. </w:t>
      </w:r>
    </w:p>
    <w:p w:rsidR="00F10EE0" w:rsidRPr="00A71B61" w:rsidRDefault="00F10EE0" w:rsidP="00F10EE0">
      <w:pPr>
        <w:pStyle w:val="Prrafodelista"/>
        <w:spacing w:after="0"/>
        <w:ind w:left="0"/>
        <w:rPr>
          <w:i/>
          <w:szCs w:val="20"/>
          <w:u w:val="single"/>
        </w:rPr>
      </w:pPr>
    </w:p>
    <w:tbl>
      <w:tblPr>
        <w:tblStyle w:val="Tabladecuadrcula5oscura-nfasis1"/>
        <w:tblW w:w="0" w:type="auto"/>
        <w:jc w:val="center"/>
        <w:tblLook w:val="0620" w:firstRow="1" w:lastRow="0" w:firstColumn="0" w:lastColumn="0" w:noHBand="1" w:noVBand="1"/>
      </w:tblPr>
      <w:tblGrid>
        <w:gridCol w:w="2215"/>
        <w:gridCol w:w="4395"/>
      </w:tblGrid>
      <w:tr w:rsidR="00F10EE0" w:rsidRPr="00A71B61" w:rsidTr="00B51AC6">
        <w:trPr>
          <w:cnfStyle w:val="100000000000" w:firstRow="1" w:lastRow="0" w:firstColumn="0" w:lastColumn="0" w:oddVBand="0" w:evenVBand="0" w:oddHBand="0" w:evenHBand="0" w:firstRowFirstColumn="0" w:firstRowLastColumn="0" w:lastRowFirstColumn="0" w:lastRowLastColumn="0"/>
          <w:cantSplit/>
          <w:trHeight w:val="852"/>
          <w:tblHeader/>
          <w:jc w:val="center"/>
        </w:trPr>
        <w:tc>
          <w:tcPr>
            <w:tcW w:w="2215" w:type="dxa"/>
          </w:tcPr>
          <w:p w:rsidR="00F10EE0" w:rsidRPr="00A71B61" w:rsidRDefault="00F10EE0" w:rsidP="000F4E67">
            <w:pPr>
              <w:jc w:val="center"/>
              <w:rPr>
                <w:szCs w:val="20"/>
              </w:rPr>
            </w:pPr>
          </w:p>
        </w:tc>
        <w:tc>
          <w:tcPr>
            <w:tcW w:w="4395" w:type="dxa"/>
          </w:tcPr>
          <w:p w:rsidR="00F10EE0" w:rsidRPr="00A71B61" w:rsidRDefault="00F10EE0" w:rsidP="000F4E67">
            <w:pPr>
              <w:jc w:val="center"/>
              <w:rPr>
                <w:szCs w:val="20"/>
              </w:rPr>
            </w:pPr>
            <w:r w:rsidRPr="00A71B61">
              <w:rPr>
                <w:szCs w:val="20"/>
              </w:rPr>
              <w:t>Tiempo extracción-criopreservación</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T.1</w:t>
            </w:r>
          </w:p>
        </w:tc>
        <w:tc>
          <w:tcPr>
            <w:tcW w:w="4395" w:type="dxa"/>
          </w:tcPr>
          <w:p w:rsidR="00F10EE0" w:rsidRPr="00A71B61" w:rsidRDefault="00F10EE0" w:rsidP="000F4E67">
            <w:pPr>
              <w:jc w:val="center"/>
              <w:rPr>
                <w:szCs w:val="20"/>
              </w:rPr>
            </w:pPr>
            <w:r w:rsidRPr="00A71B61">
              <w:rPr>
                <w:szCs w:val="20"/>
              </w:rPr>
              <w:t>2h 40min</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t>T.2</w:t>
            </w:r>
          </w:p>
        </w:tc>
        <w:tc>
          <w:tcPr>
            <w:tcW w:w="4395" w:type="dxa"/>
          </w:tcPr>
          <w:p w:rsidR="00F10EE0" w:rsidRPr="00A71B61" w:rsidRDefault="00F10EE0" w:rsidP="000F4E67">
            <w:pPr>
              <w:jc w:val="center"/>
              <w:rPr>
                <w:szCs w:val="20"/>
              </w:rPr>
            </w:pPr>
            <w:r w:rsidRPr="00A71B61">
              <w:rPr>
                <w:szCs w:val="20"/>
              </w:rPr>
              <w:t>2h 45min</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T.3</w:t>
            </w:r>
          </w:p>
        </w:tc>
        <w:tc>
          <w:tcPr>
            <w:tcW w:w="4395" w:type="dxa"/>
          </w:tcPr>
          <w:p w:rsidR="00F10EE0" w:rsidRPr="00A71B61" w:rsidRDefault="00F10EE0" w:rsidP="000F4E67">
            <w:pPr>
              <w:jc w:val="center"/>
              <w:rPr>
                <w:szCs w:val="20"/>
              </w:rPr>
            </w:pPr>
            <w:r w:rsidRPr="00A71B61">
              <w:rPr>
                <w:szCs w:val="20"/>
              </w:rPr>
              <w:t>2h 33min</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lastRenderedPageBreak/>
              <w:t>T.4</w:t>
            </w:r>
          </w:p>
        </w:tc>
        <w:tc>
          <w:tcPr>
            <w:tcW w:w="4395" w:type="dxa"/>
          </w:tcPr>
          <w:p w:rsidR="00F10EE0" w:rsidRPr="00A71B61" w:rsidRDefault="00F10EE0" w:rsidP="000F4E67">
            <w:pPr>
              <w:jc w:val="center"/>
              <w:rPr>
                <w:szCs w:val="20"/>
              </w:rPr>
            </w:pPr>
            <w:r w:rsidRPr="00A71B61">
              <w:rPr>
                <w:szCs w:val="20"/>
              </w:rPr>
              <w:t>3h</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T.5</w:t>
            </w:r>
          </w:p>
        </w:tc>
        <w:tc>
          <w:tcPr>
            <w:tcW w:w="4395" w:type="dxa"/>
          </w:tcPr>
          <w:p w:rsidR="00F10EE0" w:rsidRPr="00A71B61" w:rsidRDefault="00F10EE0" w:rsidP="000F4E67">
            <w:pPr>
              <w:jc w:val="center"/>
              <w:rPr>
                <w:szCs w:val="20"/>
              </w:rPr>
            </w:pPr>
            <w:r w:rsidRPr="00A71B61">
              <w:rPr>
                <w:szCs w:val="20"/>
              </w:rPr>
              <w:t>3h</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t>T.6</w:t>
            </w:r>
          </w:p>
        </w:tc>
        <w:tc>
          <w:tcPr>
            <w:tcW w:w="4395" w:type="dxa"/>
          </w:tcPr>
          <w:p w:rsidR="00F10EE0" w:rsidRPr="00A71B61" w:rsidRDefault="00F10EE0" w:rsidP="000F4E67">
            <w:pPr>
              <w:jc w:val="center"/>
              <w:rPr>
                <w:szCs w:val="20"/>
              </w:rPr>
            </w:pPr>
            <w:r w:rsidRPr="00A71B61">
              <w:rPr>
                <w:szCs w:val="20"/>
              </w:rPr>
              <w:t>2h 36min</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T.7</w:t>
            </w:r>
          </w:p>
        </w:tc>
        <w:tc>
          <w:tcPr>
            <w:tcW w:w="4395" w:type="dxa"/>
          </w:tcPr>
          <w:p w:rsidR="00F10EE0" w:rsidRPr="00A71B61" w:rsidRDefault="00F10EE0" w:rsidP="000F4E67">
            <w:pPr>
              <w:jc w:val="center"/>
              <w:rPr>
                <w:szCs w:val="20"/>
              </w:rPr>
            </w:pPr>
            <w:r w:rsidRPr="00A71B61">
              <w:rPr>
                <w:szCs w:val="20"/>
              </w:rPr>
              <w:t>2h 19min</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t>T.8</w:t>
            </w:r>
          </w:p>
        </w:tc>
        <w:tc>
          <w:tcPr>
            <w:tcW w:w="4395" w:type="dxa"/>
          </w:tcPr>
          <w:p w:rsidR="00F10EE0" w:rsidRPr="00A71B61" w:rsidRDefault="00F10EE0" w:rsidP="000F4E67">
            <w:pPr>
              <w:jc w:val="center"/>
              <w:rPr>
                <w:szCs w:val="20"/>
              </w:rPr>
            </w:pPr>
            <w:r w:rsidRPr="00A71B61">
              <w:rPr>
                <w:szCs w:val="20"/>
              </w:rPr>
              <w:t>3h</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T.9</w:t>
            </w:r>
          </w:p>
        </w:tc>
        <w:tc>
          <w:tcPr>
            <w:tcW w:w="4395" w:type="dxa"/>
          </w:tcPr>
          <w:p w:rsidR="00F10EE0" w:rsidRPr="00A71B61" w:rsidRDefault="00F10EE0" w:rsidP="000F4E67">
            <w:pPr>
              <w:jc w:val="center"/>
              <w:rPr>
                <w:szCs w:val="20"/>
              </w:rPr>
            </w:pPr>
            <w:r w:rsidRPr="00A71B61">
              <w:rPr>
                <w:szCs w:val="20"/>
              </w:rPr>
              <w:t>2h 57min</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t>T.10</w:t>
            </w:r>
          </w:p>
        </w:tc>
        <w:tc>
          <w:tcPr>
            <w:tcW w:w="4395" w:type="dxa"/>
          </w:tcPr>
          <w:p w:rsidR="00F10EE0" w:rsidRPr="00A71B61" w:rsidRDefault="00F10EE0" w:rsidP="000F4E67">
            <w:pPr>
              <w:jc w:val="center"/>
              <w:rPr>
                <w:szCs w:val="20"/>
              </w:rPr>
            </w:pPr>
            <w:r w:rsidRPr="00A71B61">
              <w:rPr>
                <w:szCs w:val="20"/>
              </w:rPr>
              <w:t>3h</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T.11</w:t>
            </w:r>
          </w:p>
        </w:tc>
        <w:tc>
          <w:tcPr>
            <w:tcW w:w="4395" w:type="dxa"/>
          </w:tcPr>
          <w:p w:rsidR="00F10EE0" w:rsidRPr="00A71B61" w:rsidRDefault="00F10EE0" w:rsidP="000F4E67">
            <w:pPr>
              <w:jc w:val="center"/>
              <w:rPr>
                <w:szCs w:val="20"/>
              </w:rPr>
            </w:pPr>
            <w:r w:rsidRPr="00A71B61">
              <w:rPr>
                <w:szCs w:val="20"/>
              </w:rPr>
              <w:t>3h 30min</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t>T.12</w:t>
            </w:r>
          </w:p>
        </w:tc>
        <w:tc>
          <w:tcPr>
            <w:tcW w:w="4395" w:type="dxa"/>
          </w:tcPr>
          <w:p w:rsidR="00F10EE0" w:rsidRPr="00A71B61" w:rsidRDefault="00F10EE0" w:rsidP="000F4E67">
            <w:pPr>
              <w:jc w:val="center"/>
              <w:rPr>
                <w:szCs w:val="20"/>
              </w:rPr>
            </w:pPr>
            <w:r w:rsidRPr="00A71B61">
              <w:rPr>
                <w:szCs w:val="20"/>
              </w:rPr>
              <w:t>2h 40min</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T.13</w:t>
            </w:r>
          </w:p>
        </w:tc>
        <w:tc>
          <w:tcPr>
            <w:tcW w:w="4395" w:type="dxa"/>
          </w:tcPr>
          <w:p w:rsidR="00F10EE0" w:rsidRPr="00A71B61" w:rsidRDefault="00F10EE0" w:rsidP="000F4E67">
            <w:pPr>
              <w:jc w:val="center"/>
              <w:rPr>
                <w:szCs w:val="20"/>
              </w:rPr>
            </w:pPr>
            <w:r w:rsidRPr="00A71B61">
              <w:rPr>
                <w:szCs w:val="20"/>
              </w:rPr>
              <w:t>3h</w:t>
            </w:r>
          </w:p>
        </w:tc>
      </w:tr>
      <w:tr w:rsidR="00F10EE0" w:rsidRPr="00A71B61" w:rsidTr="0074730F">
        <w:trPr>
          <w:trHeight w:val="288"/>
          <w:jc w:val="center"/>
        </w:trPr>
        <w:tc>
          <w:tcPr>
            <w:tcW w:w="2215" w:type="dxa"/>
          </w:tcPr>
          <w:p w:rsidR="00F10EE0" w:rsidRPr="00A71B61" w:rsidRDefault="00F10EE0" w:rsidP="00F10EE0">
            <w:pPr>
              <w:rPr>
                <w:szCs w:val="20"/>
              </w:rPr>
            </w:pPr>
            <w:r w:rsidRPr="00A71B61">
              <w:rPr>
                <w:szCs w:val="20"/>
              </w:rPr>
              <w:t>T.14</w:t>
            </w:r>
          </w:p>
        </w:tc>
        <w:tc>
          <w:tcPr>
            <w:tcW w:w="4395" w:type="dxa"/>
          </w:tcPr>
          <w:p w:rsidR="00F10EE0" w:rsidRPr="00A71B61" w:rsidRDefault="00F10EE0" w:rsidP="000F4E67">
            <w:pPr>
              <w:jc w:val="center"/>
              <w:rPr>
                <w:szCs w:val="20"/>
              </w:rPr>
            </w:pPr>
            <w:r w:rsidRPr="00A71B61">
              <w:rPr>
                <w:szCs w:val="20"/>
              </w:rPr>
              <w:t>2h 35min</w:t>
            </w:r>
          </w:p>
        </w:tc>
      </w:tr>
      <w:tr w:rsidR="00F10EE0" w:rsidRPr="00A71B61" w:rsidTr="0074730F">
        <w:trPr>
          <w:trHeight w:val="275"/>
          <w:jc w:val="center"/>
        </w:trPr>
        <w:tc>
          <w:tcPr>
            <w:tcW w:w="2215" w:type="dxa"/>
          </w:tcPr>
          <w:p w:rsidR="00F10EE0" w:rsidRPr="00A71B61" w:rsidRDefault="00F10EE0" w:rsidP="00F10EE0">
            <w:pPr>
              <w:rPr>
                <w:szCs w:val="20"/>
              </w:rPr>
            </w:pPr>
            <w:r w:rsidRPr="00A71B61">
              <w:rPr>
                <w:szCs w:val="20"/>
              </w:rPr>
              <w:t>T.15</w:t>
            </w:r>
          </w:p>
        </w:tc>
        <w:tc>
          <w:tcPr>
            <w:tcW w:w="4395" w:type="dxa"/>
          </w:tcPr>
          <w:p w:rsidR="00F10EE0" w:rsidRPr="00A71B61" w:rsidRDefault="00F10EE0" w:rsidP="000F4E67">
            <w:pPr>
              <w:jc w:val="center"/>
              <w:rPr>
                <w:szCs w:val="20"/>
              </w:rPr>
            </w:pPr>
            <w:r w:rsidRPr="00A71B61">
              <w:rPr>
                <w:szCs w:val="20"/>
              </w:rPr>
              <w:t>2h 11min</w:t>
            </w:r>
          </w:p>
        </w:tc>
      </w:tr>
    </w:tbl>
    <w:p w:rsidR="00F10EE0" w:rsidRPr="00A71B61" w:rsidRDefault="00F10EE0" w:rsidP="00F10EE0">
      <w:pPr>
        <w:rPr>
          <w:b/>
          <w:szCs w:val="20"/>
          <w:u w:val="single"/>
        </w:rPr>
      </w:pPr>
    </w:p>
    <w:p w:rsidR="00F10EE0" w:rsidRPr="00B51AC6" w:rsidRDefault="00F10EE0" w:rsidP="00B51AC6">
      <w:pPr>
        <w:pStyle w:val="Ttulo3"/>
      </w:pPr>
      <w:r w:rsidRPr="00B51AC6">
        <w:t>Control microbiológico de las unidades de TO criopreservadas.</w:t>
      </w:r>
    </w:p>
    <w:p w:rsidR="00F10EE0" w:rsidRPr="00A71B61" w:rsidRDefault="00F10EE0" w:rsidP="000F4E67">
      <w:pPr>
        <w:rPr>
          <w:rFonts w:asciiTheme="majorHAnsi" w:hAnsiTheme="majorHAnsi"/>
          <w:szCs w:val="20"/>
        </w:rPr>
      </w:pPr>
      <w:r w:rsidRPr="006C2819">
        <w:t>S</w:t>
      </w:r>
      <w:r w:rsidR="000F4E67" w:rsidRPr="006C2819">
        <w:t>e realizó</w:t>
      </w:r>
      <w:r w:rsidRPr="006C2819">
        <w:t xml:space="preserve"> un control microbiológico del medio en el que recibimos las muestras y del medio de criopreservación en cada una de las muestras. Estos cultivos fueron negativos en todas las unidades de tejido ovárico criopreservadas</w:t>
      </w:r>
      <w:r w:rsidRPr="00A71B61">
        <w:rPr>
          <w:rFonts w:asciiTheme="majorHAnsi" w:hAnsiTheme="majorHAnsi"/>
          <w:szCs w:val="20"/>
        </w:rPr>
        <w:t>.</w:t>
      </w:r>
    </w:p>
    <w:p w:rsidR="00F10EE0" w:rsidRPr="00A71B61" w:rsidRDefault="00F10EE0" w:rsidP="00846064">
      <w:pPr>
        <w:pStyle w:val="Ttulo1"/>
        <w:numPr>
          <w:ilvl w:val="0"/>
          <w:numId w:val="3"/>
        </w:numPr>
        <w:rPr>
          <w:sz w:val="20"/>
          <w:szCs w:val="20"/>
        </w:rPr>
      </w:pPr>
      <w:r w:rsidRPr="00A71B61">
        <w:rPr>
          <w:rFonts w:asciiTheme="majorHAnsi" w:hAnsiTheme="majorHAnsi"/>
          <w:sz w:val="20"/>
          <w:szCs w:val="20"/>
        </w:rPr>
        <w:br w:type="page"/>
      </w:r>
    </w:p>
    <w:p w:rsidR="00F10EE0" w:rsidRPr="00B51AC6" w:rsidRDefault="00F10EE0" w:rsidP="00B51AC6">
      <w:pPr>
        <w:pStyle w:val="Ttulo1"/>
      </w:pPr>
      <w:bookmarkStart w:id="45" w:name="_Toc90584881"/>
      <w:r w:rsidRPr="00B51AC6">
        <w:lastRenderedPageBreak/>
        <w:t>Laboratorio de análisis de donantes y donaciones</w:t>
      </w:r>
      <w:bookmarkEnd w:id="41"/>
      <w:bookmarkEnd w:id="45"/>
    </w:p>
    <w:p w:rsidR="00F10EE0" w:rsidRPr="00B51AC6" w:rsidRDefault="00F10EE0" w:rsidP="00B51AC6">
      <w:pPr>
        <w:pStyle w:val="Ttulo2"/>
      </w:pPr>
      <w:bookmarkStart w:id="46" w:name="_Toc56606593"/>
      <w:bookmarkStart w:id="47" w:name="_Toc90584882"/>
      <w:r w:rsidRPr="00B51AC6">
        <w:t>Determinaciones serológicas</w:t>
      </w:r>
      <w:bookmarkEnd w:id="46"/>
      <w:bookmarkEnd w:id="47"/>
    </w:p>
    <w:p w:rsidR="00BB1FC6" w:rsidRPr="00A71B61" w:rsidRDefault="00BB1FC6" w:rsidP="006C2819">
      <w:bookmarkStart w:id="48" w:name="_Toc15638385"/>
      <w:bookmarkStart w:id="49" w:name="_Toc56606594"/>
      <w:r w:rsidRPr="00A71B61">
        <w:t>En los distintos laboratorios de procesamiento analítico del Centro de Transfusión se realizan las técnicas que se emplean para el cribado microbiológico de las donaciones de sangre.</w:t>
      </w:r>
    </w:p>
    <w:p w:rsidR="00BB1FC6" w:rsidRPr="00A71B61" w:rsidRDefault="00BB1FC6" w:rsidP="006C2819">
      <w:r w:rsidRPr="00A71B61">
        <w:t>Así mismo, se realizan o gestionan externamente los análisis complementarios y confirmatorios necesarios para el diagnóstico y seguimiento de los donantes que presentan alteraciones en dichas pruebas de cribado de las donaciones de sangre.</w:t>
      </w:r>
    </w:p>
    <w:bookmarkEnd w:id="48"/>
    <w:bookmarkEnd w:id="49"/>
    <w:p w:rsidR="00F10EE0" w:rsidRPr="00A71B61" w:rsidRDefault="00F10EE0" w:rsidP="006C2819">
      <w:r w:rsidRPr="00A71B61">
        <w:t>En 20</w:t>
      </w:r>
      <w:r w:rsidR="00BB1FC6" w:rsidRPr="00A71B61">
        <w:t>20</w:t>
      </w:r>
      <w:r w:rsidRPr="00A71B61">
        <w:t xml:space="preserve"> se han realizado las siguientes pruebas</w:t>
      </w:r>
      <w:r w:rsidR="00BB1FC6" w:rsidRPr="00A71B61">
        <w:t xml:space="preserve"> serológicas</w:t>
      </w:r>
      <w:r w:rsidRPr="00A71B61">
        <w:t>:</w:t>
      </w:r>
    </w:p>
    <w:tbl>
      <w:tblPr>
        <w:tblStyle w:val="Tabladecuadrcula5oscura-nfasis1"/>
        <w:tblW w:w="8769" w:type="dxa"/>
        <w:tblLook w:val="0620" w:firstRow="1" w:lastRow="0" w:firstColumn="0" w:lastColumn="0" w:noHBand="1" w:noVBand="1"/>
      </w:tblPr>
      <w:tblGrid>
        <w:gridCol w:w="3794"/>
        <w:gridCol w:w="2660"/>
        <w:gridCol w:w="2315"/>
      </w:tblGrid>
      <w:tr w:rsidR="00BB1FC6" w:rsidRPr="00A71B61" w:rsidTr="0074730F">
        <w:trPr>
          <w:cnfStyle w:val="100000000000" w:firstRow="1" w:lastRow="0" w:firstColumn="0" w:lastColumn="0" w:oddVBand="0" w:evenVBand="0" w:oddHBand="0" w:evenHBand="0" w:firstRowFirstColumn="0" w:firstRowLastColumn="0" w:lastRowFirstColumn="0" w:lastRowLastColumn="0"/>
          <w:trHeight w:val="575"/>
        </w:trPr>
        <w:tc>
          <w:tcPr>
            <w:tcW w:w="6454" w:type="dxa"/>
            <w:gridSpan w:val="2"/>
          </w:tcPr>
          <w:p w:rsidR="00BB1FC6" w:rsidRPr="00A71B61" w:rsidRDefault="00BB1FC6" w:rsidP="00DA7551">
            <w:pPr>
              <w:rPr>
                <w:b w:val="0"/>
                <w:bCs w:val="0"/>
                <w:szCs w:val="20"/>
              </w:rPr>
            </w:pPr>
            <w:r w:rsidRPr="00A71B61">
              <w:rPr>
                <w:szCs w:val="20"/>
              </w:rPr>
              <w:t>Prueba</w:t>
            </w:r>
          </w:p>
        </w:tc>
        <w:tc>
          <w:tcPr>
            <w:tcW w:w="2315" w:type="dxa"/>
          </w:tcPr>
          <w:p w:rsidR="00BB1FC6" w:rsidRPr="00A71B61" w:rsidRDefault="00BB1FC6" w:rsidP="00DA7551">
            <w:pPr>
              <w:jc w:val="center"/>
              <w:rPr>
                <w:b w:val="0"/>
                <w:bCs w:val="0"/>
                <w:szCs w:val="20"/>
              </w:rPr>
            </w:pPr>
            <w:r w:rsidRPr="00A71B61">
              <w:rPr>
                <w:szCs w:val="20"/>
              </w:rPr>
              <w:t>Número de donaciones</w:t>
            </w:r>
          </w:p>
        </w:tc>
      </w:tr>
      <w:tr w:rsidR="00BB1FC6" w:rsidRPr="00A71B61" w:rsidTr="0074730F">
        <w:trPr>
          <w:trHeight w:val="334"/>
        </w:trPr>
        <w:tc>
          <w:tcPr>
            <w:tcW w:w="3794" w:type="dxa"/>
            <w:vMerge w:val="restart"/>
          </w:tcPr>
          <w:p w:rsidR="00BB1FC6" w:rsidRPr="00A71B61" w:rsidRDefault="00BB1FC6" w:rsidP="00DA7551">
            <w:pPr>
              <w:rPr>
                <w:rFonts w:ascii="Calibri Light" w:hAnsi="Calibri Light"/>
                <w:b/>
                <w:bCs/>
                <w:color w:val="000000" w:themeColor="text1"/>
                <w:szCs w:val="20"/>
              </w:rPr>
            </w:pPr>
            <w:r w:rsidRPr="00A71B61">
              <w:rPr>
                <w:rFonts w:ascii="Calibri Light" w:hAnsi="Calibri Light"/>
                <w:color w:val="000000" w:themeColor="text1"/>
                <w:szCs w:val="20"/>
              </w:rPr>
              <w:t>Pruebas de cribado (Quimioluminiscencia, Alinity-s Abbott)</w:t>
            </w:r>
          </w:p>
        </w:tc>
        <w:tc>
          <w:tcPr>
            <w:tcW w:w="2660" w:type="dxa"/>
          </w:tcPr>
          <w:p w:rsidR="00BB1FC6" w:rsidRPr="00A71B61" w:rsidRDefault="00BB1FC6" w:rsidP="00DA7551">
            <w:pPr>
              <w:rPr>
                <w:color w:val="000000" w:themeColor="text1"/>
                <w:szCs w:val="20"/>
              </w:rPr>
            </w:pPr>
            <w:r w:rsidRPr="00A71B61">
              <w:rPr>
                <w:color w:val="000000" w:themeColor="text1"/>
                <w:szCs w:val="20"/>
              </w:rPr>
              <w:t>Ag/Anti-VIH-1,2</w:t>
            </w:r>
          </w:p>
        </w:tc>
        <w:tc>
          <w:tcPr>
            <w:tcW w:w="2315" w:type="dxa"/>
          </w:tcPr>
          <w:p w:rsidR="00BB1FC6" w:rsidRPr="00A71B61" w:rsidRDefault="00BB1FC6" w:rsidP="00DA7551">
            <w:pPr>
              <w:jc w:val="center"/>
              <w:rPr>
                <w:color w:val="000000" w:themeColor="text1"/>
                <w:szCs w:val="20"/>
              </w:rPr>
            </w:pPr>
            <w:r w:rsidRPr="00A71B61">
              <w:rPr>
                <w:color w:val="000000" w:themeColor="text1"/>
                <w:szCs w:val="20"/>
              </w:rPr>
              <w:t>233.438</w:t>
            </w:r>
          </w:p>
        </w:tc>
      </w:tr>
      <w:tr w:rsidR="00BB1FC6" w:rsidRPr="00A71B61" w:rsidTr="0074730F">
        <w:trPr>
          <w:trHeight w:val="243"/>
        </w:trPr>
        <w:tc>
          <w:tcPr>
            <w:tcW w:w="3794" w:type="dxa"/>
            <w:vMerge/>
          </w:tcPr>
          <w:p w:rsidR="00BB1FC6" w:rsidRPr="00A71B61" w:rsidRDefault="00BB1FC6" w:rsidP="00DA7551">
            <w:pPr>
              <w:rPr>
                <w:rFonts w:ascii="Calibri Light" w:hAnsi="Calibri Light"/>
                <w:b/>
                <w:bCs/>
                <w:color w:val="000000" w:themeColor="text1"/>
                <w:szCs w:val="20"/>
              </w:rPr>
            </w:pPr>
          </w:p>
        </w:tc>
        <w:tc>
          <w:tcPr>
            <w:tcW w:w="2660" w:type="dxa"/>
          </w:tcPr>
          <w:p w:rsidR="00BB1FC6" w:rsidRPr="00A71B61" w:rsidRDefault="00BB1FC6" w:rsidP="00DA7551">
            <w:pPr>
              <w:rPr>
                <w:color w:val="000000" w:themeColor="text1"/>
                <w:szCs w:val="20"/>
              </w:rPr>
            </w:pPr>
            <w:r w:rsidRPr="00A71B61">
              <w:rPr>
                <w:color w:val="000000" w:themeColor="text1"/>
                <w:szCs w:val="20"/>
              </w:rPr>
              <w:t>Anti-VHC</w:t>
            </w:r>
          </w:p>
        </w:tc>
        <w:tc>
          <w:tcPr>
            <w:tcW w:w="2315" w:type="dxa"/>
          </w:tcPr>
          <w:p w:rsidR="00BB1FC6" w:rsidRPr="00A71B61" w:rsidRDefault="00BB1FC6" w:rsidP="00DA7551">
            <w:pPr>
              <w:jc w:val="center"/>
              <w:rPr>
                <w:color w:val="000000" w:themeColor="text1"/>
                <w:szCs w:val="20"/>
              </w:rPr>
            </w:pPr>
            <w:r w:rsidRPr="00A71B61">
              <w:rPr>
                <w:color w:val="000000" w:themeColor="text1"/>
                <w:szCs w:val="20"/>
              </w:rPr>
              <w:t>233.438</w:t>
            </w:r>
          </w:p>
        </w:tc>
      </w:tr>
      <w:tr w:rsidR="00BB1FC6" w:rsidRPr="00A71B61" w:rsidTr="0074730F">
        <w:trPr>
          <w:trHeight w:val="229"/>
        </w:trPr>
        <w:tc>
          <w:tcPr>
            <w:tcW w:w="3794" w:type="dxa"/>
            <w:vMerge/>
          </w:tcPr>
          <w:p w:rsidR="00BB1FC6" w:rsidRPr="00A71B61" w:rsidRDefault="00BB1FC6" w:rsidP="00DA7551">
            <w:pPr>
              <w:rPr>
                <w:rFonts w:ascii="Calibri Light" w:hAnsi="Calibri Light"/>
                <w:b/>
                <w:bCs/>
                <w:color w:val="000000" w:themeColor="text1"/>
                <w:szCs w:val="20"/>
              </w:rPr>
            </w:pPr>
          </w:p>
        </w:tc>
        <w:tc>
          <w:tcPr>
            <w:tcW w:w="2660" w:type="dxa"/>
          </w:tcPr>
          <w:p w:rsidR="00BB1FC6" w:rsidRPr="00A71B61" w:rsidRDefault="00BB1FC6" w:rsidP="00DA7551">
            <w:pPr>
              <w:rPr>
                <w:color w:val="000000" w:themeColor="text1"/>
                <w:szCs w:val="20"/>
              </w:rPr>
            </w:pPr>
            <w:r w:rsidRPr="00A71B61">
              <w:rPr>
                <w:color w:val="000000" w:themeColor="text1"/>
                <w:szCs w:val="20"/>
              </w:rPr>
              <w:t>HBsAg</w:t>
            </w:r>
          </w:p>
        </w:tc>
        <w:tc>
          <w:tcPr>
            <w:tcW w:w="2315" w:type="dxa"/>
          </w:tcPr>
          <w:p w:rsidR="00BB1FC6" w:rsidRPr="00A71B61" w:rsidRDefault="00BB1FC6" w:rsidP="00DA7551">
            <w:pPr>
              <w:jc w:val="center"/>
              <w:rPr>
                <w:color w:val="000000" w:themeColor="text1"/>
                <w:szCs w:val="20"/>
              </w:rPr>
            </w:pPr>
            <w:r w:rsidRPr="00A71B61">
              <w:rPr>
                <w:color w:val="000000" w:themeColor="text1"/>
                <w:szCs w:val="20"/>
              </w:rPr>
              <w:t>233.438</w:t>
            </w:r>
          </w:p>
        </w:tc>
      </w:tr>
      <w:tr w:rsidR="00BB1FC6" w:rsidRPr="00A71B61" w:rsidTr="0074730F">
        <w:trPr>
          <w:trHeight w:val="238"/>
        </w:trPr>
        <w:tc>
          <w:tcPr>
            <w:tcW w:w="3794" w:type="dxa"/>
            <w:vMerge w:val="restart"/>
          </w:tcPr>
          <w:p w:rsidR="00BB1FC6" w:rsidRPr="00A71B61" w:rsidRDefault="00BB1FC6" w:rsidP="00DA7551">
            <w:pPr>
              <w:rPr>
                <w:rFonts w:ascii="Calibri Light" w:hAnsi="Calibri Light"/>
                <w:b/>
                <w:bCs/>
                <w:color w:val="000000" w:themeColor="text1"/>
                <w:szCs w:val="20"/>
              </w:rPr>
            </w:pPr>
            <w:r w:rsidRPr="00A71B61">
              <w:rPr>
                <w:rFonts w:ascii="Calibri Light" w:hAnsi="Calibri Light"/>
                <w:color w:val="000000" w:themeColor="text1"/>
                <w:szCs w:val="20"/>
              </w:rPr>
              <w:t xml:space="preserve">Pruebas confirmatorias </w:t>
            </w:r>
          </w:p>
        </w:tc>
        <w:tc>
          <w:tcPr>
            <w:tcW w:w="2660" w:type="dxa"/>
          </w:tcPr>
          <w:p w:rsidR="00BB1FC6" w:rsidRPr="00A71B61" w:rsidRDefault="00BB1FC6" w:rsidP="00DA7551">
            <w:pPr>
              <w:rPr>
                <w:color w:val="000000" w:themeColor="text1"/>
                <w:szCs w:val="20"/>
              </w:rPr>
            </w:pPr>
            <w:r w:rsidRPr="00A71B61">
              <w:rPr>
                <w:color w:val="000000" w:themeColor="text1"/>
                <w:szCs w:val="20"/>
              </w:rPr>
              <w:t>I-Blot-VIH</w:t>
            </w:r>
          </w:p>
        </w:tc>
        <w:tc>
          <w:tcPr>
            <w:tcW w:w="2315" w:type="dxa"/>
          </w:tcPr>
          <w:p w:rsidR="00BB1FC6" w:rsidRPr="00A71B61" w:rsidRDefault="00BB1FC6" w:rsidP="00DA7551">
            <w:pPr>
              <w:jc w:val="center"/>
              <w:rPr>
                <w:color w:val="000000" w:themeColor="text1"/>
                <w:szCs w:val="20"/>
              </w:rPr>
            </w:pPr>
            <w:r w:rsidRPr="00A71B61">
              <w:rPr>
                <w:color w:val="000000" w:themeColor="text1"/>
                <w:szCs w:val="20"/>
              </w:rPr>
              <w:t>97</w:t>
            </w:r>
          </w:p>
        </w:tc>
      </w:tr>
      <w:tr w:rsidR="00BB1FC6" w:rsidRPr="00A71B61" w:rsidTr="0074730F">
        <w:trPr>
          <w:trHeight w:val="243"/>
        </w:trPr>
        <w:tc>
          <w:tcPr>
            <w:tcW w:w="3794" w:type="dxa"/>
            <w:vMerge/>
          </w:tcPr>
          <w:p w:rsidR="00BB1FC6" w:rsidRPr="00A71B61" w:rsidRDefault="00BB1FC6" w:rsidP="00DA7551">
            <w:pPr>
              <w:rPr>
                <w:rFonts w:ascii="Calibri Light" w:hAnsi="Calibri Light"/>
                <w:b/>
                <w:bCs/>
                <w:color w:val="000000" w:themeColor="text1"/>
                <w:szCs w:val="20"/>
              </w:rPr>
            </w:pPr>
          </w:p>
        </w:tc>
        <w:tc>
          <w:tcPr>
            <w:tcW w:w="2660" w:type="dxa"/>
          </w:tcPr>
          <w:p w:rsidR="00BB1FC6" w:rsidRPr="00A71B61" w:rsidRDefault="00BB1FC6" w:rsidP="00DA7551">
            <w:pPr>
              <w:rPr>
                <w:color w:val="000000" w:themeColor="text1"/>
                <w:szCs w:val="20"/>
              </w:rPr>
            </w:pPr>
            <w:r w:rsidRPr="00A71B61">
              <w:rPr>
                <w:color w:val="000000" w:themeColor="text1"/>
                <w:szCs w:val="20"/>
              </w:rPr>
              <w:t>I-Blot-VHC</w:t>
            </w:r>
          </w:p>
        </w:tc>
        <w:tc>
          <w:tcPr>
            <w:tcW w:w="2315" w:type="dxa"/>
          </w:tcPr>
          <w:p w:rsidR="00BB1FC6" w:rsidRPr="00A71B61" w:rsidRDefault="00BB1FC6" w:rsidP="00DA7551">
            <w:pPr>
              <w:jc w:val="center"/>
              <w:rPr>
                <w:color w:val="000000" w:themeColor="text1"/>
                <w:szCs w:val="20"/>
              </w:rPr>
            </w:pPr>
            <w:r w:rsidRPr="00A71B61">
              <w:rPr>
                <w:color w:val="000000" w:themeColor="text1"/>
                <w:szCs w:val="20"/>
              </w:rPr>
              <w:t>97</w:t>
            </w:r>
          </w:p>
        </w:tc>
      </w:tr>
      <w:tr w:rsidR="00BB1FC6" w:rsidRPr="00A71B61" w:rsidTr="0074730F">
        <w:trPr>
          <w:trHeight w:val="243"/>
        </w:trPr>
        <w:tc>
          <w:tcPr>
            <w:tcW w:w="3794" w:type="dxa"/>
            <w:vMerge/>
          </w:tcPr>
          <w:p w:rsidR="00BB1FC6" w:rsidRPr="00A71B61" w:rsidRDefault="00BB1FC6" w:rsidP="00DA7551">
            <w:pPr>
              <w:rPr>
                <w:rFonts w:ascii="Calibri Light" w:hAnsi="Calibri Light"/>
                <w:b/>
                <w:bCs/>
                <w:color w:val="000000" w:themeColor="text1"/>
                <w:szCs w:val="20"/>
              </w:rPr>
            </w:pPr>
          </w:p>
        </w:tc>
        <w:tc>
          <w:tcPr>
            <w:tcW w:w="2660" w:type="dxa"/>
          </w:tcPr>
          <w:p w:rsidR="00BB1FC6" w:rsidRPr="00A71B61" w:rsidRDefault="00BB1FC6" w:rsidP="00DA7551">
            <w:pPr>
              <w:rPr>
                <w:color w:val="000000" w:themeColor="text1"/>
                <w:szCs w:val="20"/>
              </w:rPr>
            </w:pPr>
            <w:r w:rsidRPr="00A71B61">
              <w:rPr>
                <w:color w:val="000000" w:themeColor="text1"/>
                <w:szCs w:val="20"/>
              </w:rPr>
              <w:t>Serología completa de VHB</w:t>
            </w:r>
          </w:p>
        </w:tc>
        <w:tc>
          <w:tcPr>
            <w:tcW w:w="2315" w:type="dxa"/>
          </w:tcPr>
          <w:p w:rsidR="00BB1FC6" w:rsidRPr="00A71B61" w:rsidRDefault="00BB1FC6" w:rsidP="00DA7551">
            <w:pPr>
              <w:jc w:val="center"/>
              <w:rPr>
                <w:color w:val="000000" w:themeColor="text1"/>
                <w:szCs w:val="20"/>
              </w:rPr>
            </w:pPr>
            <w:r w:rsidRPr="00A71B61">
              <w:rPr>
                <w:color w:val="000000" w:themeColor="text1"/>
                <w:szCs w:val="20"/>
              </w:rPr>
              <w:t>73</w:t>
            </w:r>
          </w:p>
        </w:tc>
      </w:tr>
    </w:tbl>
    <w:p w:rsidR="00F10EE0" w:rsidRPr="00A71B61" w:rsidRDefault="00F10EE0" w:rsidP="00F10EE0">
      <w:pPr>
        <w:rPr>
          <w:szCs w:val="20"/>
        </w:rPr>
      </w:pPr>
    </w:p>
    <w:p w:rsidR="00F10EE0" w:rsidRPr="00A71B61" w:rsidRDefault="00F10EE0" w:rsidP="006C2819">
      <w:r w:rsidRPr="00A71B61">
        <w:t>A continuación se resumen los resultados obtenidos en dichas, tanto desde el punto de vista serológico como su correspondencia con las pruebas NAT/PCR de los tres virus.</w:t>
      </w:r>
    </w:p>
    <w:tbl>
      <w:tblPr>
        <w:tblStyle w:val="Tabladecuadrcula5oscura-nfasis1"/>
        <w:tblW w:w="0" w:type="auto"/>
        <w:tblLook w:val="0620" w:firstRow="1" w:lastRow="0" w:firstColumn="0" w:lastColumn="0" w:noHBand="1" w:noVBand="1"/>
      </w:tblPr>
      <w:tblGrid>
        <w:gridCol w:w="1803"/>
        <w:gridCol w:w="689"/>
        <w:gridCol w:w="981"/>
        <w:gridCol w:w="579"/>
        <w:gridCol w:w="827"/>
        <w:gridCol w:w="1799"/>
        <w:gridCol w:w="1249"/>
      </w:tblGrid>
      <w:tr w:rsidR="0074730F" w:rsidRPr="00B51AC6" w:rsidTr="0074730F">
        <w:trPr>
          <w:cnfStyle w:val="100000000000" w:firstRow="1" w:lastRow="0" w:firstColumn="0" w:lastColumn="0" w:oddVBand="0" w:evenVBand="0" w:oddHBand="0" w:evenHBand="0" w:firstRowFirstColumn="0" w:firstRowLastColumn="0" w:lastRowFirstColumn="0" w:lastRowLastColumn="0"/>
          <w:trHeight w:val="284"/>
        </w:trPr>
        <w:tc>
          <w:tcPr>
            <w:tcW w:w="0" w:type="auto"/>
          </w:tcPr>
          <w:p w:rsidR="00BB1FC6" w:rsidRPr="00B51AC6" w:rsidRDefault="00BB1FC6" w:rsidP="00DA7551">
            <w:pPr>
              <w:rPr>
                <w:rFonts w:asciiTheme="majorHAnsi" w:hAnsiTheme="majorHAnsi"/>
                <w:b w:val="0"/>
                <w:bCs w:val="0"/>
                <w:sz w:val="18"/>
                <w:szCs w:val="18"/>
              </w:rPr>
            </w:pPr>
            <w:r w:rsidRPr="00B51AC6">
              <w:rPr>
                <w:rFonts w:asciiTheme="majorHAnsi" w:hAnsiTheme="majorHAnsi"/>
                <w:sz w:val="18"/>
                <w:szCs w:val="18"/>
              </w:rPr>
              <w:t>PATOLOGÍA</w:t>
            </w:r>
          </w:p>
        </w:tc>
        <w:tc>
          <w:tcPr>
            <w:tcW w:w="0" w:type="auto"/>
          </w:tcPr>
          <w:p w:rsidR="00BB1FC6" w:rsidRPr="00B51AC6" w:rsidRDefault="00BB1FC6" w:rsidP="00DA7551">
            <w:pPr>
              <w:jc w:val="center"/>
              <w:rPr>
                <w:rFonts w:asciiTheme="majorHAnsi" w:hAnsiTheme="majorHAnsi"/>
                <w:b w:val="0"/>
                <w:bCs w:val="0"/>
                <w:sz w:val="18"/>
                <w:szCs w:val="18"/>
              </w:rPr>
            </w:pPr>
            <w:r w:rsidRPr="00B51AC6">
              <w:rPr>
                <w:rFonts w:asciiTheme="majorHAnsi" w:hAnsiTheme="majorHAnsi"/>
                <w:sz w:val="18"/>
                <w:szCs w:val="18"/>
              </w:rPr>
              <w:t>RR</w:t>
            </w:r>
          </w:p>
          <w:p w:rsidR="00BB1FC6" w:rsidRPr="00B51AC6" w:rsidRDefault="00BB1FC6" w:rsidP="00D01C83">
            <w:pPr>
              <w:jc w:val="center"/>
              <w:rPr>
                <w:rFonts w:asciiTheme="majorHAnsi" w:hAnsiTheme="majorHAnsi"/>
                <w:b w:val="0"/>
                <w:bCs w:val="0"/>
                <w:sz w:val="18"/>
                <w:szCs w:val="18"/>
              </w:rPr>
            </w:pPr>
            <w:r w:rsidRPr="00B51AC6">
              <w:rPr>
                <w:rFonts w:asciiTheme="majorHAnsi" w:hAnsiTheme="majorHAnsi"/>
                <w:sz w:val="18"/>
                <w:szCs w:val="18"/>
              </w:rPr>
              <w:t>Total</w:t>
            </w:r>
          </w:p>
        </w:tc>
        <w:tc>
          <w:tcPr>
            <w:tcW w:w="0" w:type="auto"/>
          </w:tcPr>
          <w:p w:rsidR="00BB1FC6" w:rsidRPr="00B51AC6" w:rsidRDefault="00BB1FC6" w:rsidP="00D01C83">
            <w:pPr>
              <w:jc w:val="center"/>
              <w:rPr>
                <w:rFonts w:asciiTheme="majorHAnsi" w:hAnsiTheme="majorHAnsi"/>
                <w:b w:val="0"/>
                <w:bCs w:val="0"/>
                <w:sz w:val="18"/>
                <w:szCs w:val="18"/>
              </w:rPr>
            </w:pPr>
            <w:r w:rsidRPr="00B51AC6">
              <w:rPr>
                <w:rFonts w:asciiTheme="majorHAnsi" w:hAnsiTheme="majorHAnsi"/>
                <w:sz w:val="18"/>
                <w:szCs w:val="18"/>
              </w:rPr>
              <w:t>RR Falsos</w:t>
            </w:r>
          </w:p>
        </w:tc>
        <w:tc>
          <w:tcPr>
            <w:tcW w:w="0" w:type="auto"/>
          </w:tcPr>
          <w:p w:rsidR="00BB1FC6" w:rsidRPr="00B51AC6" w:rsidRDefault="00BB1FC6" w:rsidP="00DA7551">
            <w:pPr>
              <w:jc w:val="center"/>
              <w:rPr>
                <w:rFonts w:asciiTheme="majorHAnsi" w:hAnsiTheme="majorHAnsi"/>
                <w:b w:val="0"/>
                <w:bCs w:val="0"/>
                <w:sz w:val="18"/>
                <w:szCs w:val="18"/>
              </w:rPr>
            </w:pPr>
            <w:r w:rsidRPr="00B51AC6">
              <w:rPr>
                <w:rFonts w:asciiTheme="majorHAnsi" w:hAnsiTheme="majorHAnsi"/>
                <w:sz w:val="18"/>
                <w:szCs w:val="18"/>
              </w:rPr>
              <w:t>RR</w:t>
            </w:r>
          </w:p>
          <w:p w:rsidR="00BB1FC6" w:rsidRPr="00B51AC6" w:rsidRDefault="00BB1FC6" w:rsidP="00D01C83">
            <w:pPr>
              <w:jc w:val="center"/>
              <w:rPr>
                <w:rFonts w:asciiTheme="majorHAnsi" w:hAnsiTheme="majorHAnsi"/>
                <w:b w:val="0"/>
                <w:bCs w:val="0"/>
                <w:sz w:val="18"/>
                <w:szCs w:val="18"/>
              </w:rPr>
            </w:pPr>
            <w:r w:rsidRPr="00B51AC6">
              <w:rPr>
                <w:rFonts w:asciiTheme="majorHAnsi" w:hAnsiTheme="majorHAnsi"/>
                <w:sz w:val="18"/>
                <w:szCs w:val="18"/>
              </w:rPr>
              <w:t>VP</w:t>
            </w:r>
          </w:p>
        </w:tc>
        <w:tc>
          <w:tcPr>
            <w:tcW w:w="0" w:type="auto"/>
          </w:tcPr>
          <w:p w:rsidR="00BB1FC6" w:rsidRPr="00B51AC6" w:rsidRDefault="00BB1FC6" w:rsidP="00D01C83">
            <w:pPr>
              <w:rPr>
                <w:rFonts w:asciiTheme="majorHAnsi" w:hAnsiTheme="majorHAnsi"/>
                <w:b w:val="0"/>
                <w:bCs w:val="0"/>
                <w:sz w:val="18"/>
                <w:szCs w:val="18"/>
              </w:rPr>
            </w:pPr>
            <w:r w:rsidRPr="00B51AC6">
              <w:rPr>
                <w:rFonts w:asciiTheme="majorHAnsi" w:hAnsiTheme="majorHAnsi"/>
                <w:sz w:val="18"/>
                <w:szCs w:val="18"/>
              </w:rPr>
              <w:t xml:space="preserve">RR </w:t>
            </w:r>
          </w:p>
          <w:p w:rsidR="00BB1FC6" w:rsidRPr="00B51AC6" w:rsidRDefault="00BB1FC6" w:rsidP="00D01C83">
            <w:pPr>
              <w:rPr>
                <w:rFonts w:asciiTheme="majorHAnsi" w:hAnsiTheme="majorHAnsi"/>
                <w:b w:val="0"/>
                <w:bCs w:val="0"/>
                <w:sz w:val="18"/>
                <w:szCs w:val="18"/>
              </w:rPr>
            </w:pPr>
            <w:r w:rsidRPr="00B51AC6">
              <w:rPr>
                <w:rFonts w:asciiTheme="majorHAnsi" w:hAnsiTheme="majorHAnsi"/>
                <w:sz w:val="18"/>
                <w:szCs w:val="18"/>
              </w:rPr>
              <w:t xml:space="preserve">NAT pos  </w:t>
            </w:r>
          </w:p>
        </w:tc>
        <w:tc>
          <w:tcPr>
            <w:tcW w:w="0" w:type="auto"/>
          </w:tcPr>
          <w:p w:rsidR="00BB1FC6" w:rsidRPr="00B51AC6" w:rsidRDefault="00BB1FC6" w:rsidP="00DA7551">
            <w:pPr>
              <w:rPr>
                <w:rFonts w:asciiTheme="majorHAnsi" w:hAnsiTheme="majorHAnsi"/>
                <w:b w:val="0"/>
                <w:bCs w:val="0"/>
                <w:sz w:val="18"/>
                <w:szCs w:val="18"/>
                <w:lang w:val="da-DK"/>
              </w:rPr>
            </w:pPr>
            <w:r w:rsidRPr="00B51AC6">
              <w:rPr>
                <w:rFonts w:asciiTheme="majorHAnsi" w:hAnsiTheme="majorHAnsi"/>
                <w:sz w:val="18"/>
                <w:szCs w:val="18"/>
                <w:lang w:val="da-DK"/>
              </w:rPr>
              <w:t>RR</w:t>
            </w:r>
            <w:r w:rsidR="00D01C83" w:rsidRPr="00B51AC6">
              <w:rPr>
                <w:rFonts w:asciiTheme="majorHAnsi" w:hAnsiTheme="majorHAnsi"/>
                <w:sz w:val="18"/>
                <w:szCs w:val="18"/>
                <w:lang w:val="da-DK"/>
              </w:rPr>
              <w:t xml:space="preserve"> </w:t>
            </w:r>
            <w:r w:rsidRPr="00B51AC6">
              <w:rPr>
                <w:rFonts w:asciiTheme="majorHAnsi" w:hAnsiTheme="majorHAnsi"/>
                <w:sz w:val="18"/>
                <w:szCs w:val="18"/>
                <w:lang w:val="da-DK"/>
              </w:rPr>
              <w:t>I</w:t>
            </w:r>
            <w:r w:rsidR="00D01C83" w:rsidRPr="00B51AC6">
              <w:rPr>
                <w:rFonts w:asciiTheme="majorHAnsi" w:hAnsiTheme="majorHAnsi"/>
                <w:sz w:val="18"/>
                <w:szCs w:val="18"/>
                <w:lang w:val="da-DK"/>
              </w:rPr>
              <w:t>B</w:t>
            </w:r>
            <w:r w:rsidRPr="00B51AC6">
              <w:rPr>
                <w:rFonts w:asciiTheme="majorHAnsi" w:hAnsiTheme="majorHAnsi"/>
                <w:sz w:val="18"/>
                <w:szCs w:val="18"/>
                <w:lang w:val="da-DK"/>
              </w:rPr>
              <w:t>+</w:t>
            </w:r>
            <w:r w:rsidR="00D01C83" w:rsidRPr="00B51AC6">
              <w:rPr>
                <w:rFonts w:asciiTheme="majorHAnsi" w:hAnsiTheme="majorHAnsi"/>
                <w:sz w:val="18"/>
                <w:szCs w:val="18"/>
                <w:lang w:val="da-DK"/>
              </w:rPr>
              <w:t>,</w:t>
            </w:r>
            <w:r w:rsidRPr="00B51AC6">
              <w:rPr>
                <w:rFonts w:asciiTheme="majorHAnsi" w:hAnsiTheme="majorHAnsi"/>
                <w:sz w:val="18"/>
                <w:szCs w:val="18"/>
                <w:lang w:val="da-DK"/>
              </w:rPr>
              <w:t xml:space="preserve"> HbcAc ó eAc</w:t>
            </w:r>
            <w:r w:rsidR="00D01C83" w:rsidRPr="00B51AC6">
              <w:rPr>
                <w:rFonts w:asciiTheme="majorHAnsi" w:hAnsiTheme="majorHAnsi"/>
                <w:sz w:val="18"/>
                <w:szCs w:val="18"/>
                <w:lang w:val="da-DK"/>
              </w:rPr>
              <w:t xml:space="preserve"> pos, </w:t>
            </w:r>
            <w:r w:rsidRPr="00B51AC6">
              <w:rPr>
                <w:rFonts w:asciiTheme="majorHAnsi" w:hAnsiTheme="majorHAnsi"/>
                <w:sz w:val="18"/>
                <w:szCs w:val="18"/>
                <w:lang w:val="da-DK"/>
              </w:rPr>
              <w:t xml:space="preserve"> </w:t>
            </w:r>
          </w:p>
          <w:p w:rsidR="00BB1FC6" w:rsidRPr="00B51AC6" w:rsidRDefault="00BB1FC6" w:rsidP="00DA7551">
            <w:pPr>
              <w:rPr>
                <w:rFonts w:asciiTheme="majorHAnsi" w:hAnsiTheme="majorHAnsi"/>
                <w:b w:val="0"/>
                <w:bCs w:val="0"/>
                <w:sz w:val="18"/>
                <w:szCs w:val="18"/>
                <w:lang w:val="da-DK"/>
              </w:rPr>
            </w:pPr>
            <w:r w:rsidRPr="00B51AC6">
              <w:rPr>
                <w:rFonts w:asciiTheme="majorHAnsi" w:hAnsiTheme="majorHAnsi"/>
                <w:sz w:val="18"/>
                <w:szCs w:val="18"/>
                <w:lang w:val="da-DK"/>
              </w:rPr>
              <w:t>NAT neg</w:t>
            </w:r>
          </w:p>
        </w:tc>
        <w:tc>
          <w:tcPr>
            <w:tcW w:w="0" w:type="auto"/>
          </w:tcPr>
          <w:p w:rsidR="00BB1FC6" w:rsidRPr="00B51AC6" w:rsidRDefault="00D01C83" w:rsidP="00DA7551">
            <w:pPr>
              <w:rPr>
                <w:rFonts w:asciiTheme="majorHAnsi" w:hAnsiTheme="majorHAnsi"/>
                <w:b w:val="0"/>
                <w:bCs w:val="0"/>
                <w:sz w:val="18"/>
                <w:szCs w:val="18"/>
                <w:lang w:val="da-DK"/>
              </w:rPr>
            </w:pPr>
            <w:r w:rsidRPr="00B51AC6">
              <w:rPr>
                <w:rFonts w:asciiTheme="majorHAnsi" w:hAnsiTheme="majorHAnsi"/>
                <w:sz w:val="18"/>
                <w:szCs w:val="18"/>
                <w:lang w:val="da-DK"/>
              </w:rPr>
              <w:t xml:space="preserve">RR IB ind y </w:t>
            </w:r>
            <w:r w:rsidR="00BB1FC6" w:rsidRPr="00B51AC6">
              <w:rPr>
                <w:rFonts w:asciiTheme="majorHAnsi" w:hAnsiTheme="majorHAnsi"/>
                <w:sz w:val="18"/>
                <w:szCs w:val="18"/>
                <w:lang w:val="da-DK"/>
              </w:rPr>
              <w:t>neg/</w:t>
            </w:r>
          </w:p>
          <w:p w:rsidR="00BB1FC6" w:rsidRPr="00B51AC6" w:rsidRDefault="00BB1FC6" w:rsidP="00DA7551">
            <w:pPr>
              <w:rPr>
                <w:rFonts w:asciiTheme="majorHAnsi" w:hAnsiTheme="majorHAnsi"/>
                <w:b w:val="0"/>
                <w:bCs w:val="0"/>
                <w:sz w:val="18"/>
                <w:szCs w:val="18"/>
                <w:lang w:val="da-DK"/>
              </w:rPr>
            </w:pPr>
            <w:r w:rsidRPr="00B51AC6">
              <w:rPr>
                <w:rFonts w:asciiTheme="majorHAnsi" w:hAnsiTheme="majorHAnsi"/>
                <w:sz w:val="18"/>
                <w:szCs w:val="18"/>
                <w:lang w:val="da-DK"/>
              </w:rPr>
              <w:t>NAT neg</w:t>
            </w:r>
          </w:p>
        </w:tc>
      </w:tr>
      <w:tr w:rsidR="00D01C83" w:rsidRPr="00B51AC6" w:rsidTr="0074730F">
        <w:trPr>
          <w:trHeight w:val="284"/>
        </w:trPr>
        <w:tc>
          <w:tcPr>
            <w:tcW w:w="0" w:type="auto"/>
          </w:tcPr>
          <w:p w:rsidR="00BB1FC6" w:rsidRPr="00B51AC6" w:rsidRDefault="00BB1FC6" w:rsidP="00DA7551">
            <w:pPr>
              <w:rPr>
                <w:rFonts w:asciiTheme="majorHAnsi" w:hAnsiTheme="majorHAnsi"/>
                <w:b/>
                <w:color w:val="000000" w:themeColor="text1"/>
                <w:sz w:val="18"/>
                <w:szCs w:val="18"/>
                <w:lang w:val="en-GB"/>
              </w:rPr>
            </w:pPr>
            <w:r w:rsidRPr="00B51AC6">
              <w:rPr>
                <w:rFonts w:asciiTheme="majorHAnsi" w:hAnsiTheme="majorHAnsi"/>
                <w:b/>
                <w:color w:val="000000" w:themeColor="text1"/>
                <w:sz w:val="18"/>
                <w:szCs w:val="18"/>
                <w:lang w:val="en-GB"/>
              </w:rPr>
              <w:t>Anti VHC</w:t>
            </w:r>
          </w:p>
        </w:tc>
        <w:tc>
          <w:tcPr>
            <w:tcW w:w="0" w:type="auto"/>
          </w:tcPr>
          <w:p w:rsidR="00BB1FC6" w:rsidRPr="00B51AC6" w:rsidRDefault="00BB1FC6" w:rsidP="00BB1FC6">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97</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83 </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14</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2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12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18 (65)</w:t>
            </w:r>
          </w:p>
        </w:tc>
      </w:tr>
      <w:tr w:rsidR="00D01C83" w:rsidRPr="00B51AC6" w:rsidTr="0074730F">
        <w:trPr>
          <w:trHeight w:val="284"/>
        </w:trPr>
        <w:tc>
          <w:tcPr>
            <w:tcW w:w="0" w:type="auto"/>
          </w:tcPr>
          <w:p w:rsidR="00BB1FC6" w:rsidRPr="00B51AC6" w:rsidRDefault="00BB1FC6" w:rsidP="00DA7551">
            <w:pP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Seroconversiones</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p>
        </w:tc>
        <w:tc>
          <w:tcPr>
            <w:tcW w:w="0" w:type="auto"/>
          </w:tcPr>
          <w:p w:rsidR="00BB1FC6" w:rsidRPr="00B51AC6" w:rsidRDefault="00BB1FC6" w:rsidP="00DA7551">
            <w:pPr>
              <w:jc w:val="center"/>
              <w:rPr>
                <w:rFonts w:asciiTheme="majorHAnsi" w:hAnsiTheme="majorHAnsi"/>
                <w:color w:val="000000" w:themeColor="text1"/>
                <w:sz w:val="18"/>
                <w:szCs w:val="18"/>
                <w:lang w:val="en-GB"/>
              </w:rPr>
            </w:pP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2</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0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2</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w:t>
            </w:r>
          </w:p>
        </w:tc>
      </w:tr>
      <w:tr w:rsidR="00D01C83" w:rsidRPr="00B51AC6" w:rsidTr="0074730F">
        <w:trPr>
          <w:trHeight w:val="170"/>
        </w:trPr>
        <w:tc>
          <w:tcPr>
            <w:tcW w:w="0" w:type="auto"/>
          </w:tcPr>
          <w:p w:rsidR="00BB1FC6" w:rsidRPr="00B51AC6" w:rsidRDefault="00BB1FC6" w:rsidP="00DA7551">
            <w:pPr>
              <w:rPr>
                <w:rFonts w:asciiTheme="majorHAnsi" w:hAnsiTheme="majorHAnsi"/>
                <w:b/>
                <w:color w:val="000000" w:themeColor="text1"/>
                <w:sz w:val="18"/>
                <w:szCs w:val="18"/>
                <w:lang w:val="en-GB"/>
              </w:rPr>
            </w:pPr>
            <w:r w:rsidRPr="00B51AC6">
              <w:rPr>
                <w:rFonts w:asciiTheme="majorHAnsi" w:hAnsiTheme="majorHAnsi"/>
                <w:b/>
                <w:color w:val="000000" w:themeColor="text1"/>
                <w:sz w:val="18"/>
                <w:szCs w:val="18"/>
                <w:lang w:val="en-GB"/>
              </w:rPr>
              <w:t>Anti VIH</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97</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81</w:t>
            </w:r>
            <w:r w:rsidR="00D01C83" w:rsidRPr="00B51AC6">
              <w:rPr>
                <w:rFonts w:asciiTheme="majorHAnsi" w:hAnsiTheme="majorHAnsi"/>
                <w:color w:val="000000" w:themeColor="text1"/>
                <w:sz w:val="18"/>
                <w:szCs w:val="18"/>
                <w:lang w:val="en-GB"/>
              </w:rPr>
              <w:t xml:space="preserve"> </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16(*)</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14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2(*)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3 (78)</w:t>
            </w:r>
          </w:p>
        </w:tc>
      </w:tr>
      <w:tr w:rsidR="00D01C83" w:rsidRPr="00B51AC6" w:rsidTr="0074730F">
        <w:trPr>
          <w:trHeight w:val="356"/>
        </w:trPr>
        <w:tc>
          <w:tcPr>
            <w:tcW w:w="0" w:type="auto"/>
          </w:tcPr>
          <w:p w:rsidR="00BB1FC6" w:rsidRPr="00B51AC6" w:rsidRDefault="00BB1FC6" w:rsidP="00DA7551">
            <w:pP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Seroconversiones</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p>
        </w:tc>
        <w:tc>
          <w:tcPr>
            <w:tcW w:w="0" w:type="auto"/>
          </w:tcPr>
          <w:p w:rsidR="00BB1FC6" w:rsidRPr="00B51AC6" w:rsidRDefault="00BB1FC6" w:rsidP="00DA7551">
            <w:pPr>
              <w:jc w:val="center"/>
              <w:rPr>
                <w:rFonts w:asciiTheme="majorHAnsi" w:hAnsiTheme="majorHAnsi"/>
                <w:color w:val="000000" w:themeColor="text1"/>
                <w:sz w:val="18"/>
                <w:szCs w:val="18"/>
                <w:lang w:val="en-GB"/>
              </w:rPr>
            </w:pP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7</w:t>
            </w:r>
          </w:p>
        </w:tc>
        <w:tc>
          <w:tcPr>
            <w:tcW w:w="0" w:type="auto"/>
          </w:tcPr>
          <w:p w:rsidR="00BB1FC6" w:rsidRPr="00B51AC6" w:rsidRDefault="00BB1FC6" w:rsidP="00D01C83">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7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0</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w:t>
            </w:r>
          </w:p>
        </w:tc>
      </w:tr>
      <w:tr w:rsidR="00D01C83" w:rsidRPr="00B51AC6" w:rsidTr="0074730F">
        <w:trPr>
          <w:trHeight w:val="233"/>
        </w:trPr>
        <w:tc>
          <w:tcPr>
            <w:tcW w:w="0" w:type="auto"/>
          </w:tcPr>
          <w:p w:rsidR="00BB1FC6" w:rsidRPr="00B51AC6" w:rsidRDefault="00BB1FC6" w:rsidP="00DA7551">
            <w:pPr>
              <w:rPr>
                <w:rFonts w:asciiTheme="majorHAnsi" w:hAnsiTheme="majorHAnsi"/>
                <w:b/>
                <w:color w:val="000000" w:themeColor="text1"/>
                <w:sz w:val="18"/>
                <w:szCs w:val="18"/>
                <w:lang w:val="en-GB"/>
              </w:rPr>
            </w:pPr>
            <w:r w:rsidRPr="00B51AC6">
              <w:rPr>
                <w:rFonts w:asciiTheme="majorHAnsi" w:hAnsiTheme="majorHAnsi"/>
                <w:b/>
                <w:color w:val="000000" w:themeColor="text1"/>
                <w:sz w:val="18"/>
                <w:szCs w:val="18"/>
                <w:lang w:val="en-GB"/>
              </w:rPr>
              <w:t>HBsAg</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73</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4</w:t>
            </w:r>
            <w:r w:rsidR="00D01C83" w:rsidRPr="00B51AC6">
              <w:rPr>
                <w:rFonts w:asciiTheme="majorHAnsi" w:hAnsiTheme="majorHAnsi"/>
                <w:color w:val="000000" w:themeColor="text1"/>
                <w:sz w:val="18"/>
                <w:szCs w:val="18"/>
                <w:lang w:val="en-GB"/>
              </w:rPr>
              <w:t xml:space="preserve">3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30</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24</w:t>
            </w:r>
            <w:r w:rsidR="00D01C83" w:rsidRPr="00B51AC6">
              <w:rPr>
                <w:rFonts w:asciiTheme="majorHAnsi" w:hAnsiTheme="majorHAnsi"/>
                <w:color w:val="000000" w:themeColor="text1"/>
                <w:sz w:val="18"/>
                <w:szCs w:val="18"/>
                <w:lang w:val="en-GB"/>
              </w:rPr>
              <w:t xml:space="preserve">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 xml:space="preserve">6   </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w:t>
            </w:r>
          </w:p>
        </w:tc>
      </w:tr>
      <w:tr w:rsidR="00D01C83" w:rsidRPr="00B51AC6" w:rsidTr="0074730F">
        <w:trPr>
          <w:trHeight w:val="227"/>
        </w:trPr>
        <w:tc>
          <w:tcPr>
            <w:tcW w:w="0" w:type="auto"/>
          </w:tcPr>
          <w:p w:rsidR="00BB1FC6" w:rsidRPr="00B51AC6" w:rsidRDefault="00BB1FC6" w:rsidP="00DA7551">
            <w:pP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Seroconversiones</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p>
        </w:tc>
        <w:tc>
          <w:tcPr>
            <w:tcW w:w="0" w:type="auto"/>
          </w:tcPr>
          <w:p w:rsidR="00BB1FC6" w:rsidRPr="00B51AC6" w:rsidRDefault="00BB1FC6" w:rsidP="00DA7551">
            <w:pPr>
              <w:jc w:val="center"/>
              <w:rPr>
                <w:rFonts w:asciiTheme="majorHAnsi" w:hAnsiTheme="majorHAnsi"/>
                <w:color w:val="000000" w:themeColor="text1"/>
                <w:sz w:val="18"/>
                <w:szCs w:val="18"/>
                <w:lang w:val="en-GB"/>
              </w:rPr>
            </w:pP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8</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3</w:t>
            </w:r>
            <w:r w:rsidR="00D01C83" w:rsidRPr="00B51AC6">
              <w:rPr>
                <w:rFonts w:asciiTheme="majorHAnsi" w:hAnsiTheme="majorHAnsi"/>
                <w:color w:val="000000" w:themeColor="text1"/>
                <w:sz w:val="18"/>
                <w:szCs w:val="18"/>
                <w:lang w:val="en-GB"/>
              </w:rPr>
              <w:t xml:space="preserve"> </w:t>
            </w:r>
          </w:p>
        </w:tc>
        <w:tc>
          <w:tcPr>
            <w:tcW w:w="0" w:type="auto"/>
          </w:tcPr>
          <w:p w:rsidR="00BB1FC6" w:rsidRPr="00B51AC6" w:rsidRDefault="00BB1FC6" w:rsidP="00DA7551">
            <w:pPr>
              <w:jc w:val="center"/>
              <w:rPr>
                <w:rFonts w:asciiTheme="majorHAnsi" w:hAnsiTheme="majorHAnsi"/>
                <w:i/>
                <w:color w:val="000000" w:themeColor="text1"/>
                <w:sz w:val="18"/>
                <w:szCs w:val="18"/>
                <w:lang w:val="en-GB"/>
              </w:rPr>
            </w:pPr>
            <w:r w:rsidRPr="00B51AC6">
              <w:rPr>
                <w:rFonts w:asciiTheme="majorHAnsi" w:hAnsiTheme="majorHAnsi"/>
                <w:i/>
                <w:color w:val="000000" w:themeColor="text1"/>
                <w:sz w:val="18"/>
                <w:szCs w:val="18"/>
                <w:lang w:val="en-GB"/>
              </w:rPr>
              <w:t>5</w:t>
            </w:r>
          </w:p>
        </w:tc>
        <w:tc>
          <w:tcPr>
            <w:tcW w:w="0" w:type="auto"/>
          </w:tcPr>
          <w:p w:rsidR="00BB1FC6" w:rsidRPr="00B51AC6" w:rsidRDefault="00BB1FC6" w:rsidP="00DA7551">
            <w:pPr>
              <w:jc w:val="center"/>
              <w:rPr>
                <w:rFonts w:asciiTheme="majorHAnsi" w:hAnsiTheme="majorHAnsi"/>
                <w:color w:val="000000" w:themeColor="text1"/>
                <w:sz w:val="18"/>
                <w:szCs w:val="18"/>
                <w:lang w:val="en-GB"/>
              </w:rPr>
            </w:pPr>
            <w:r w:rsidRPr="00B51AC6">
              <w:rPr>
                <w:rFonts w:asciiTheme="majorHAnsi" w:hAnsiTheme="majorHAnsi"/>
                <w:color w:val="000000" w:themeColor="text1"/>
                <w:sz w:val="18"/>
                <w:szCs w:val="18"/>
                <w:lang w:val="en-GB"/>
              </w:rPr>
              <w:t>-</w:t>
            </w:r>
          </w:p>
        </w:tc>
      </w:tr>
    </w:tbl>
    <w:p w:rsidR="00BB1FC6" w:rsidRPr="00A71B61" w:rsidRDefault="00BB1FC6" w:rsidP="00B51AC6">
      <w:pPr>
        <w:pStyle w:val="Piedetabla"/>
      </w:pPr>
      <w:r w:rsidRPr="00A71B61">
        <w:t>(*)</w:t>
      </w:r>
      <w:r w:rsidR="00D01C83" w:rsidRPr="00A71B61">
        <w:t xml:space="preserve"> Incluye dos d</w:t>
      </w:r>
      <w:r w:rsidRPr="00A71B61">
        <w:t>onantes nuevos en “tratamiento”</w:t>
      </w:r>
    </w:p>
    <w:p w:rsidR="00BB1FC6" w:rsidRPr="00A71B61" w:rsidRDefault="00BB1FC6" w:rsidP="00B51AC6">
      <w:pPr>
        <w:pStyle w:val="Piedetabla"/>
      </w:pPr>
      <w:r w:rsidRPr="00A71B61">
        <w:t>RR: Test de cribado serológico repetidamente reactivo</w:t>
      </w:r>
    </w:p>
    <w:p w:rsidR="00BB1FC6" w:rsidRPr="00A71B61" w:rsidRDefault="00BB1FC6" w:rsidP="00B51AC6">
      <w:pPr>
        <w:pStyle w:val="Piedetabla"/>
      </w:pPr>
      <w:r w:rsidRPr="00A71B61">
        <w:t xml:space="preserve">RR Falsos: Muestras repetidamente reactivas en el cribado serológico con estudio confirmatorio de anticuerpos negativo/ indeterminado y con NAT negativo </w:t>
      </w:r>
    </w:p>
    <w:p w:rsidR="00BB1FC6" w:rsidRPr="00A71B61" w:rsidRDefault="00BB1FC6" w:rsidP="00B51AC6">
      <w:pPr>
        <w:pStyle w:val="Piedetabla"/>
      </w:pPr>
      <w:r w:rsidRPr="00A71B61">
        <w:t>RR NAT positivo: Muestras repetidamente reactivas en el cribado serológico confirmadas por NAT.</w:t>
      </w:r>
    </w:p>
    <w:p w:rsidR="00BB1FC6" w:rsidRPr="00A71B61" w:rsidRDefault="00BB1FC6" w:rsidP="00B51AC6">
      <w:pPr>
        <w:pStyle w:val="Piedetabla"/>
      </w:pPr>
      <w:r w:rsidRPr="00A71B61">
        <w:t>IB +: Detección de anticuerpos  por inmunoblot positivos</w:t>
      </w:r>
    </w:p>
    <w:p w:rsidR="00BB1FC6" w:rsidRPr="00A71B61" w:rsidRDefault="00BB1FC6" w:rsidP="00B51AC6">
      <w:pPr>
        <w:pStyle w:val="Piedetabla"/>
      </w:pPr>
      <w:r w:rsidRPr="00A71B61">
        <w:t>IB ind: Detección de anticuerpos por inmunoblot indeterminado</w:t>
      </w:r>
    </w:p>
    <w:p w:rsidR="00D01C83" w:rsidRPr="00A71B61" w:rsidRDefault="00D01C83" w:rsidP="00D01C83">
      <w:pPr>
        <w:spacing w:after="0" w:line="240" w:lineRule="auto"/>
        <w:ind w:left="284"/>
        <w:rPr>
          <w:szCs w:val="20"/>
        </w:rPr>
      </w:pPr>
    </w:p>
    <w:p w:rsidR="00D01C83" w:rsidRPr="00A71B61" w:rsidRDefault="00D01C83" w:rsidP="006C2819">
      <w:r w:rsidRPr="00A71B61">
        <w:t xml:space="preserve">(*) Los componentes de las donaciones positivas confirmadas mediante técnica NAT y anticuerpos, para VIH, VHB y VHC, se analizan mediante el correspondiente test de cribado rápido para verificar, previamente a su desecho, </w:t>
      </w:r>
      <w:r w:rsidRPr="00A71B61">
        <w:lastRenderedPageBreak/>
        <w:t>la concordancia de resultados entre la muestra de la donación (bolsa) y la del tubo piloto empleado en el laboratorio.</w:t>
      </w:r>
    </w:p>
    <w:p w:rsidR="00D01C83" w:rsidRPr="00A71B61" w:rsidRDefault="00D01C83" w:rsidP="006C2819">
      <w:r w:rsidRPr="00A71B61">
        <w:t>Todas las donaciones (233.438) han sido también criba</w:t>
      </w:r>
      <w:r w:rsidR="00BA624A" w:rsidRPr="00A71B61">
        <w:t>das serológicamente para sífili</w:t>
      </w:r>
      <w:r w:rsidRPr="00A71B61">
        <w:t xml:space="preserve">s mediante Chlia. </w:t>
      </w:r>
      <w:r w:rsidR="00BA624A" w:rsidRPr="00A71B61">
        <w:t>311 (0,13%) resultaron repetidamente reactivas en la prueba de cribado de sífilis y se les hizo la prueba confirmatoria (TP-PA) obteniéndose los siguientes resultados:</w:t>
      </w:r>
    </w:p>
    <w:p w:rsidR="0099617B" w:rsidRPr="00A71B61" w:rsidRDefault="0099617B" w:rsidP="00D01C83">
      <w:pPr>
        <w:rPr>
          <w:szCs w:val="20"/>
        </w:rPr>
      </w:pPr>
    </w:p>
    <w:p w:rsidR="0099617B" w:rsidRPr="00A71B61" w:rsidRDefault="0099617B" w:rsidP="00D01C83">
      <w:pPr>
        <w:rPr>
          <w:szCs w:val="20"/>
        </w:rPr>
      </w:pPr>
    </w:p>
    <w:tbl>
      <w:tblPr>
        <w:tblStyle w:val="Tabladecuadrcula5oscura-nfasis1"/>
        <w:tblW w:w="0" w:type="auto"/>
        <w:tblLook w:val="0620" w:firstRow="1" w:lastRow="0" w:firstColumn="0" w:lastColumn="0" w:noHBand="1" w:noVBand="1"/>
      </w:tblPr>
      <w:tblGrid>
        <w:gridCol w:w="3804"/>
        <w:gridCol w:w="1465"/>
        <w:gridCol w:w="2648"/>
      </w:tblGrid>
      <w:tr w:rsidR="0074730F" w:rsidRPr="00A71B61" w:rsidTr="0074730F">
        <w:trPr>
          <w:cnfStyle w:val="100000000000" w:firstRow="1" w:lastRow="0" w:firstColumn="0" w:lastColumn="0" w:oddVBand="0" w:evenVBand="0" w:oddHBand="0" w:evenHBand="0" w:firstRowFirstColumn="0" w:firstRowLastColumn="0" w:lastRowFirstColumn="0" w:lastRowLastColumn="0"/>
        </w:trPr>
        <w:tc>
          <w:tcPr>
            <w:tcW w:w="3804" w:type="dxa"/>
          </w:tcPr>
          <w:p w:rsidR="00D01C83" w:rsidRPr="00A71B61" w:rsidRDefault="00BA624A" w:rsidP="00BA624A">
            <w:pPr>
              <w:rPr>
                <w:rFonts w:asciiTheme="majorHAnsi" w:hAnsiTheme="majorHAnsi"/>
                <w:bCs w:val="0"/>
                <w:szCs w:val="20"/>
              </w:rPr>
            </w:pPr>
            <w:r w:rsidRPr="00A71B61">
              <w:rPr>
                <w:rFonts w:asciiTheme="majorHAnsi" w:hAnsiTheme="majorHAnsi"/>
                <w:bCs w:val="0"/>
                <w:szCs w:val="20"/>
              </w:rPr>
              <w:t xml:space="preserve">Resultado TP-PA </w:t>
            </w:r>
          </w:p>
        </w:tc>
        <w:tc>
          <w:tcPr>
            <w:tcW w:w="1465" w:type="dxa"/>
          </w:tcPr>
          <w:p w:rsidR="00D01C83" w:rsidRPr="00A71B61" w:rsidRDefault="00D01C83" w:rsidP="00DA7551">
            <w:pPr>
              <w:jc w:val="center"/>
              <w:rPr>
                <w:rFonts w:asciiTheme="majorHAnsi" w:hAnsiTheme="majorHAnsi"/>
                <w:bCs w:val="0"/>
                <w:szCs w:val="20"/>
              </w:rPr>
            </w:pPr>
            <w:r w:rsidRPr="00A71B61">
              <w:rPr>
                <w:rFonts w:asciiTheme="majorHAnsi" w:hAnsiTheme="majorHAnsi"/>
                <w:szCs w:val="20"/>
              </w:rPr>
              <w:t>Número</w:t>
            </w:r>
          </w:p>
        </w:tc>
        <w:tc>
          <w:tcPr>
            <w:tcW w:w="2648" w:type="dxa"/>
          </w:tcPr>
          <w:p w:rsidR="00D01C83" w:rsidRPr="00A71B61" w:rsidRDefault="00D01C83" w:rsidP="00BA624A">
            <w:pPr>
              <w:jc w:val="center"/>
              <w:rPr>
                <w:rFonts w:asciiTheme="majorHAnsi" w:hAnsiTheme="majorHAnsi"/>
                <w:bCs w:val="0"/>
                <w:szCs w:val="20"/>
              </w:rPr>
            </w:pPr>
            <w:r w:rsidRPr="00A71B61">
              <w:rPr>
                <w:rFonts w:asciiTheme="majorHAnsi" w:hAnsiTheme="majorHAnsi"/>
                <w:szCs w:val="20"/>
              </w:rPr>
              <w:t xml:space="preserve">% </w:t>
            </w:r>
            <w:r w:rsidR="00BA624A" w:rsidRPr="00A71B61">
              <w:rPr>
                <w:rFonts w:asciiTheme="majorHAnsi" w:hAnsiTheme="majorHAnsi"/>
                <w:szCs w:val="20"/>
              </w:rPr>
              <w:t>vs</w:t>
            </w:r>
            <w:r w:rsidRPr="00A71B61">
              <w:rPr>
                <w:rFonts w:asciiTheme="majorHAnsi" w:hAnsiTheme="majorHAnsi"/>
                <w:szCs w:val="20"/>
              </w:rPr>
              <w:t xml:space="preserve"> total de donaciones </w:t>
            </w:r>
          </w:p>
        </w:tc>
      </w:tr>
      <w:tr w:rsidR="00BA624A" w:rsidRPr="00A71B61" w:rsidTr="0074730F">
        <w:trPr>
          <w:trHeight w:val="537"/>
        </w:trPr>
        <w:tc>
          <w:tcPr>
            <w:tcW w:w="3804" w:type="dxa"/>
          </w:tcPr>
          <w:p w:rsidR="00BA624A" w:rsidRPr="00A71B61" w:rsidRDefault="00BA624A" w:rsidP="00BA624A">
            <w:pPr>
              <w:rPr>
                <w:rFonts w:asciiTheme="majorHAnsi" w:hAnsiTheme="majorHAnsi"/>
                <w:b/>
                <w:color w:val="000000" w:themeColor="text1"/>
                <w:szCs w:val="20"/>
              </w:rPr>
            </w:pPr>
            <w:r w:rsidRPr="00A71B61">
              <w:rPr>
                <w:rFonts w:asciiTheme="majorHAnsi" w:hAnsiTheme="majorHAnsi"/>
                <w:b/>
                <w:color w:val="000000" w:themeColor="text1"/>
                <w:szCs w:val="20"/>
              </w:rPr>
              <w:t>TP-PA negativo</w:t>
            </w:r>
          </w:p>
          <w:p w:rsidR="00BA624A" w:rsidRPr="00A71B61" w:rsidRDefault="00BA624A" w:rsidP="00DA7551">
            <w:pPr>
              <w:rPr>
                <w:rFonts w:asciiTheme="majorHAnsi" w:hAnsiTheme="majorHAnsi"/>
                <w:b/>
                <w:color w:val="000000" w:themeColor="text1"/>
                <w:szCs w:val="20"/>
              </w:rPr>
            </w:pPr>
          </w:p>
        </w:tc>
        <w:tc>
          <w:tcPr>
            <w:tcW w:w="1465" w:type="dxa"/>
          </w:tcPr>
          <w:p w:rsidR="00BA624A" w:rsidRPr="00A71B61" w:rsidRDefault="00BA624A" w:rsidP="00BA624A">
            <w:pPr>
              <w:jc w:val="center"/>
              <w:rPr>
                <w:rFonts w:asciiTheme="majorHAnsi" w:hAnsiTheme="majorHAnsi"/>
                <w:b/>
                <w:color w:val="000000" w:themeColor="text1"/>
                <w:szCs w:val="20"/>
              </w:rPr>
            </w:pPr>
            <w:r w:rsidRPr="00A71B61">
              <w:rPr>
                <w:rFonts w:asciiTheme="majorHAnsi" w:hAnsiTheme="majorHAnsi"/>
                <w:b/>
                <w:color w:val="000000" w:themeColor="text1"/>
                <w:szCs w:val="20"/>
              </w:rPr>
              <w:t>132</w:t>
            </w:r>
          </w:p>
          <w:p w:rsidR="00BA624A" w:rsidRPr="00A71B61" w:rsidRDefault="00BA624A" w:rsidP="00DA7551">
            <w:pPr>
              <w:jc w:val="center"/>
              <w:rPr>
                <w:rFonts w:asciiTheme="majorHAnsi" w:hAnsiTheme="majorHAnsi"/>
                <w:color w:val="000000" w:themeColor="text1"/>
                <w:szCs w:val="20"/>
              </w:rPr>
            </w:pPr>
          </w:p>
        </w:tc>
        <w:tc>
          <w:tcPr>
            <w:tcW w:w="2648" w:type="dxa"/>
          </w:tcPr>
          <w:p w:rsidR="00BA624A" w:rsidRPr="00A71B61" w:rsidRDefault="00BA624A" w:rsidP="00BA624A">
            <w:pPr>
              <w:jc w:val="center"/>
              <w:rPr>
                <w:rFonts w:asciiTheme="majorHAnsi" w:hAnsiTheme="majorHAnsi"/>
                <w:color w:val="000000" w:themeColor="text1"/>
                <w:szCs w:val="20"/>
              </w:rPr>
            </w:pPr>
            <w:r w:rsidRPr="00A71B61">
              <w:rPr>
                <w:rFonts w:asciiTheme="majorHAnsi" w:hAnsiTheme="majorHAnsi"/>
                <w:color w:val="000000" w:themeColor="text1"/>
                <w:szCs w:val="20"/>
              </w:rPr>
              <w:t>(0.057%)</w:t>
            </w:r>
          </w:p>
          <w:p w:rsidR="00BA624A" w:rsidRPr="00A71B61" w:rsidRDefault="00BA624A" w:rsidP="00DA7551">
            <w:pPr>
              <w:jc w:val="center"/>
              <w:rPr>
                <w:rFonts w:asciiTheme="majorHAnsi" w:hAnsiTheme="majorHAnsi"/>
                <w:color w:val="000000" w:themeColor="text1"/>
                <w:szCs w:val="20"/>
              </w:rPr>
            </w:pPr>
          </w:p>
        </w:tc>
      </w:tr>
      <w:tr w:rsidR="00BA624A" w:rsidRPr="00A71B61" w:rsidTr="0074730F">
        <w:trPr>
          <w:trHeight w:val="537"/>
        </w:trPr>
        <w:tc>
          <w:tcPr>
            <w:tcW w:w="3804" w:type="dxa"/>
          </w:tcPr>
          <w:p w:rsidR="00BA624A" w:rsidRPr="00A71B61" w:rsidRDefault="00BA624A" w:rsidP="00DA7551">
            <w:pPr>
              <w:rPr>
                <w:rFonts w:asciiTheme="majorHAnsi" w:hAnsiTheme="majorHAnsi"/>
                <w:b/>
                <w:color w:val="000000" w:themeColor="text1"/>
                <w:szCs w:val="20"/>
              </w:rPr>
            </w:pPr>
            <w:r w:rsidRPr="00A71B61">
              <w:rPr>
                <w:rFonts w:asciiTheme="majorHAnsi" w:hAnsiTheme="majorHAnsi"/>
                <w:b/>
                <w:color w:val="000000" w:themeColor="text1"/>
                <w:szCs w:val="20"/>
              </w:rPr>
              <w:t>TP-PA positivo</w:t>
            </w:r>
          </w:p>
        </w:tc>
        <w:tc>
          <w:tcPr>
            <w:tcW w:w="1465" w:type="dxa"/>
          </w:tcPr>
          <w:p w:rsidR="00BA624A" w:rsidRPr="00A71B61" w:rsidRDefault="00BA624A" w:rsidP="00DA7551">
            <w:pPr>
              <w:jc w:val="center"/>
              <w:rPr>
                <w:rFonts w:asciiTheme="majorHAnsi" w:hAnsiTheme="majorHAnsi"/>
                <w:color w:val="000000" w:themeColor="text1"/>
                <w:szCs w:val="20"/>
              </w:rPr>
            </w:pPr>
            <w:r w:rsidRPr="00A71B61">
              <w:rPr>
                <w:rFonts w:asciiTheme="majorHAnsi" w:hAnsiTheme="majorHAnsi"/>
                <w:b/>
                <w:color w:val="000000" w:themeColor="text1"/>
                <w:szCs w:val="20"/>
              </w:rPr>
              <w:t>179 (*)</w:t>
            </w:r>
          </w:p>
        </w:tc>
        <w:tc>
          <w:tcPr>
            <w:tcW w:w="2648" w:type="dxa"/>
          </w:tcPr>
          <w:p w:rsidR="00BA624A" w:rsidRPr="00A71B61" w:rsidRDefault="00BA624A" w:rsidP="00DA7551">
            <w:pPr>
              <w:jc w:val="center"/>
              <w:rPr>
                <w:rFonts w:asciiTheme="majorHAnsi" w:hAnsiTheme="majorHAnsi"/>
                <w:color w:val="000000" w:themeColor="text1"/>
                <w:szCs w:val="20"/>
              </w:rPr>
            </w:pPr>
            <w:r w:rsidRPr="00A71B61">
              <w:rPr>
                <w:rFonts w:asciiTheme="majorHAnsi" w:hAnsiTheme="majorHAnsi"/>
                <w:color w:val="000000" w:themeColor="text1"/>
                <w:szCs w:val="20"/>
              </w:rPr>
              <w:t>(0.077%)</w:t>
            </w:r>
          </w:p>
        </w:tc>
      </w:tr>
    </w:tbl>
    <w:p w:rsidR="00D01C83" w:rsidRPr="00A71B61" w:rsidRDefault="00D01C83" w:rsidP="00B51AC6">
      <w:pPr>
        <w:pStyle w:val="Piedetabla"/>
      </w:pPr>
      <w:r w:rsidRPr="00A71B61">
        <w:t xml:space="preserve"> </w:t>
      </w:r>
      <w:r w:rsidR="00BA624A" w:rsidRPr="00A71B61">
        <w:t>(*)</w:t>
      </w:r>
      <w:r w:rsidRPr="00A71B61">
        <w:t xml:space="preserve">54 </w:t>
      </w:r>
      <w:r w:rsidR="00BA624A" w:rsidRPr="00A71B61">
        <w:t xml:space="preserve">corresponden a </w:t>
      </w:r>
      <w:r w:rsidRPr="00A71B61">
        <w:t xml:space="preserve">donantes repetidores </w:t>
      </w:r>
    </w:p>
    <w:p w:rsidR="00B51AC6" w:rsidRDefault="00B51AC6" w:rsidP="00B51AC6">
      <w:pPr>
        <w:pStyle w:val="Ttulo2"/>
      </w:pPr>
      <w:bookmarkStart w:id="50" w:name="_Toc15638387"/>
    </w:p>
    <w:p w:rsidR="00D01C83" w:rsidRPr="00B51AC6" w:rsidRDefault="00D01C83" w:rsidP="00B51AC6">
      <w:pPr>
        <w:pStyle w:val="Ttulo2"/>
      </w:pPr>
      <w:bookmarkStart w:id="51" w:name="_Toc90584883"/>
      <w:r w:rsidRPr="00B51AC6">
        <w:t>Hematimetría</w:t>
      </w:r>
      <w:bookmarkEnd w:id="50"/>
      <w:bookmarkEnd w:id="51"/>
    </w:p>
    <w:p w:rsidR="00D01C83" w:rsidRPr="00A71B61" w:rsidRDefault="00D01C83" w:rsidP="006C2819">
      <w:r w:rsidRPr="00A71B61">
        <w:t>A todas l</w:t>
      </w:r>
      <w:r w:rsidR="00BA624A" w:rsidRPr="00A71B61">
        <w:t>os donantes se les realizó</w:t>
      </w:r>
      <w:r w:rsidRPr="00A71B61">
        <w:t xml:space="preserve"> un hemograma</w:t>
      </w:r>
      <w:r w:rsidR="00BA624A" w:rsidRPr="00A71B61">
        <w:t xml:space="preserve"> con motivo de cada donación</w:t>
      </w:r>
      <w:r w:rsidRPr="00A71B61">
        <w:t>. En la siguiente tabla se resumen las alteraciones detectadas en esta prueba:</w:t>
      </w:r>
    </w:p>
    <w:tbl>
      <w:tblPr>
        <w:tblStyle w:val="Tabladecuadrcula5oscura-nfasis1"/>
        <w:tblW w:w="0" w:type="auto"/>
        <w:tblLook w:val="0620" w:firstRow="1" w:lastRow="0" w:firstColumn="0" w:lastColumn="0" w:noHBand="1" w:noVBand="1"/>
      </w:tblPr>
      <w:tblGrid>
        <w:gridCol w:w="2226"/>
        <w:gridCol w:w="3118"/>
        <w:gridCol w:w="2508"/>
      </w:tblGrid>
      <w:tr w:rsidR="00FB078D" w:rsidRPr="00A71B61" w:rsidTr="00FB078D">
        <w:trPr>
          <w:cnfStyle w:val="100000000000" w:firstRow="1" w:lastRow="0" w:firstColumn="0" w:lastColumn="0" w:oddVBand="0" w:evenVBand="0" w:oddHBand="0" w:evenHBand="0" w:firstRowFirstColumn="0" w:firstRowLastColumn="0" w:lastRowFirstColumn="0" w:lastRowLastColumn="0"/>
          <w:trHeight w:val="516"/>
        </w:trPr>
        <w:tc>
          <w:tcPr>
            <w:tcW w:w="2226" w:type="dxa"/>
          </w:tcPr>
          <w:p w:rsidR="00D01C83" w:rsidRPr="00A71B61" w:rsidRDefault="00D01C83" w:rsidP="00DA7551">
            <w:pPr>
              <w:rPr>
                <w:rFonts w:asciiTheme="majorHAnsi" w:hAnsiTheme="majorHAnsi"/>
                <w:b w:val="0"/>
                <w:bCs w:val="0"/>
                <w:szCs w:val="20"/>
              </w:rPr>
            </w:pPr>
          </w:p>
        </w:tc>
        <w:tc>
          <w:tcPr>
            <w:tcW w:w="3118" w:type="dxa"/>
          </w:tcPr>
          <w:p w:rsidR="00D01C83" w:rsidRPr="00A71B61" w:rsidRDefault="00D01C83" w:rsidP="00DA7551">
            <w:pPr>
              <w:jc w:val="center"/>
              <w:rPr>
                <w:rFonts w:asciiTheme="majorHAnsi" w:hAnsiTheme="majorHAnsi"/>
                <w:b w:val="0"/>
                <w:bCs w:val="0"/>
                <w:szCs w:val="20"/>
              </w:rPr>
            </w:pPr>
            <w:r w:rsidRPr="00A71B61">
              <w:rPr>
                <w:rFonts w:asciiTheme="majorHAnsi" w:hAnsiTheme="majorHAnsi"/>
                <w:szCs w:val="20"/>
              </w:rPr>
              <w:t>Número de muestras con alteraciones</w:t>
            </w:r>
          </w:p>
        </w:tc>
        <w:tc>
          <w:tcPr>
            <w:tcW w:w="2508" w:type="dxa"/>
          </w:tcPr>
          <w:p w:rsidR="00D01C83" w:rsidRPr="00A71B61" w:rsidRDefault="00D01C83" w:rsidP="00DA7551">
            <w:pPr>
              <w:jc w:val="center"/>
              <w:rPr>
                <w:rFonts w:asciiTheme="majorHAnsi" w:hAnsiTheme="majorHAnsi"/>
                <w:b w:val="0"/>
                <w:bCs w:val="0"/>
                <w:szCs w:val="20"/>
              </w:rPr>
            </w:pPr>
            <w:r w:rsidRPr="00A71B61">
              <w:rPr>
                <w:rFonts w:asciiTheme="majorHAnsi" w:hAnsiTheme="majorHAnsi"/>
                <w:szCs w:val="20"/>
              </w:rPr>
              <w:t>% respecto al total de muestras testadas</w:t>
            </w:r>
          </w:p>
        </w:tc>
      </w:tr>
      <w:tr w:rsidR="001B2153" w:rsidRPr="00A71B61" w:rsidTr="00FB078D">
        <w:trPr>
          <w:trHeight w:val="516"/>
        </w:trPr>
        <w:tc>
          <w:tcPr>
            <w:tcW w:w="2226" w:type="dxa"/>
          </w:tcPr>
          <w:p w:rsidR="00D01C83" w:rsidRPr="00A71B61" w:rsidRDefault="00D01C83" w:rsidP="00DA7551">
            <w:pPr>
              <w:rPr>
                <w:rFonts w:asciiTheme="majorHAnsi" w:hAnsiTheme="majorHAnsi"/>
                <w:b/>
                <w:color w:val="000000" w:themeColor="text1"/>
                <w:szCs w:val="20"/>
              </w:rPr>
            </w:pPr>
            <w:r w:rsidRPr="00A71B61">
              <w:rPr>
                <w:rFonts w:asciiTheme="majorHAnsi" w:hAnsiTheme="majorHAnsi"/>
                <w:b/>
                <w:color w:val="000000" w:themeColor="text1"/>
                <w:szCs w:val="20"/>
              </w:rPr>
              <w:t>Hemoglobina baja</w:t>
            </w:r>
          </w:p>
        </w:tc>
        <w:tc>
          <w:tcPr>
            <w:tcW w:w="3118" w:type="dxa"/>
          </w:tcPr>
          <w:p w:rsidR="00D01C83" w:rsidRPr="00A71B61" w:rsidRDefault="001B2153" w:rsidP="00DA7551">
            <w:pPr>
              <w:jc w:val="center"/>
              <w:rPr>
                <w:rFonts w:asciiTheme="majorHAnsi" w:hAnsiTheme="majorHAnsi"/>
                <w:color w:val="000000" w:themeColor="text1"/>
                <w:szCs w:val="20"/>
              </w:rPr>
            </w:pPr>
            <w:r w:rsidRPr="00A71B61">
              <w:rPr>
                <w:rFonts w:asciiTheme="majorHAnsi" w:hAnsiTheme="majorHAnsi"/>
                <w:color w:val="000000" w:themeColor="text1"/>
                <w:szCs w:val="20"/>
              </w:rPr>
              <w:t>2.064</w:t>
            </w:r>
          </w:p>
        </w:tc>
        <w:tc>
          <w:tcPr>
            <w:tcW w:w="2508" w:type="dxa"/>
          </w:tcPr>
          <w:p w:rsidR="00D01C83" w:rsidRPr="00A71B61" w:rsidRDefault="001B2153" w:rsidP="00DA7551">
            <w:pPr>
              <w:jc w:val="center"/>
              <w:rPr>
                <w:rFonts w:asciiTheme="majorHAnsi" w:hAnsiTheme="majorHAnsi"/>
                <w:color w:val="000000" w:themeColor="text1"/>
                <w:szCs w:val="20"/>
              </w:rPr>
            </w:pPr>
            <w:r w:rsidRPr="00A71B61">
              <w:rPr>
                <w:rFonts w:asciiTheme="majorHAnsi" w:hAnsiTheme="majorHAnsi"/>
                <w:color w:val="000000" w:themeColor="text1"/>
                <w:szCs w:val="20"/>
              </w:rPr>
              <w:t>0,88</w:t>
            </w:r>
          </w:p>
        </w:tc>
      </w:tr>
      <w:tr w:rsidR="001B2153" w:rsidRPr="00A71B61" w:rsidTr="00FB078D">
        <w:trPr>
          <w:trHeight w:val="516"/>
        </w:trPr>
        <w:tc>
          <w:tcPr>
            <w:tcW w:w="2226" w:type="dxa"/>
          </w:tcPr>
          <w:p w:rsidR="00D01C83" w:rsidRPr="00A71B61" w:rsidRDefault="00D01C83" w:rsidP="00DA7551">
            <w:pPr>
              <w:rPr>
                <w:rFonts w:asciiTheme="majorHAnsi" w:hAnsiTheme="majorHAnsi"/>
                <w:b/>
                <w:color w:val="000000" w:themeColor="text1"/>
                <w:szCs w:val="20"/>
              </w:rPr>
            </w:pPr>
            <w:r w:rsidRPr="00A71B61">
              <w:rPr>
                <w:rFonts w:asciiTheme="majorHAnsi" w:hAnsiTheme="majorHAnsi"/>
                <w:b/>
                <w:color w:val="000000" w:themeColor="text1"/>
                <w:szCs w:val="20"/>
              </w:rPr>
              <w:t xml:space="preserve">Leucocitosis  </w:t>
            </w:r>
          </w:p>
        </w:tc>
        <w:tc>
          <w:tcPr>
            <w:tcW w:w="3118" w:type="dxa"/>
          </w:tcPr>
          <w:p w:rsidR="00D01C83" w:rsidRPr="00A71B61" w:rsidRDefault="001B2153" w:rsidP="00DA7551">
            <w:pPr>
              <w:jc w:val="center"/>
              <w:rPr>
                <w:rFonts w:asciiTheme="majorHAnsi" w:hAnsiTheme="majorHAnsi"/>
                <w:color w:val="000000" w:themeColor="text1"/>
                <w:szCs w:val="20"/>
              </w:rPr>
            </w:pPr>
            <w:r w:rsidRPr="00A71B61">
              <w:rPr>
                <w:rFonts w:asciiTheme="majorHAnsi" w:hAnsiTheme="majorHAnsi"/>
                <w:color w:val="000000" w:themeColor="text1"/>
                <w:szCs w:val="20"/>
              </w:rPr>
              <w:t>364</w:t>
            </w:r>
          </w:p>
        </w:tc>
        <w:tc>
          <w:tcPr>
            <w:tcW w:w="2508" w:type="dxa"/>
          </w:tcPr>
          <w:p w:rsidR="00D01C83" w:rsidRPr="00A71B61" w:rsidRDefault="001B2153" w:rsidP="00DA7551">
            <w:pPr>
              <w:jc w:val="center"/>
              <w:rPr>
                <w:rFonts w:asciiTheme="majorHAnsi" w:hAnsiTheme="majorHAnsi"/>
                <w:color w:val="000000" w:themeColor="text1"/>
                <w:szCs w:val="20"/>
              </w:rPr>
            </w:pPr>
            <w:r w:rsidRPr="00A71B61">
              <w:rPr>
                <w:rFonts w:asciiTheme="majorHAnsi" w:hAnsiTheme="majorHAnsi"/>
                <w:color w:val="000000" w:themeColor="text1"/>
                <w:szCs w:val="20"/>
              </w:rPr>
              <w:t>0,16</w:t>
            </w:r>
          </w:p>
        </w:tc>
      </w:tr>
      <w:tr w:rsidR="001B2153" w:rsidRPr="00A71B61" w:rsidTr="00FB078D">
        <w:trPr>
          <w:trHeight w:val="516"/>
        </w:trPr>
        <w:tc>
          <w:tcPr>
            <w:tcW w:w="2226" w:type="dxa"/>
          </w:tcPr>
          <w:p w:rsidR="00D01C83" w:rsidRPr="00A71B61" w:rsidRDefault="00D01C83" w:rsidP="00DA7551">
            <w:pPr>
              <w:rPr>
                <w:rFonts w:asciiTheme="majorHAnsi" w:hAnsiTheme="majorHAnsi"/>
                <w:b/>
                <w:color w:val="000000" w:themeColor="text1"/>
                <w:szCs w:val="20"/>
                <w:lang w:val="pt-BR"/>
              </w:rPr>
            </w:pPr>
            <w:r w:rsidRPr="00A71B61">
              <w:rPr>
                <w:rFonts w:asciiTheme="majorHAnsi" w:hAnsiTheme="majorHAnsi"/>
                <w:b/>
                <w:color w:val="000000" w:themeColor="text1"/>
                <w:szCs w:val="20"/>
                <w:lang w:val="pt-BR"/>
              </w:rPr>
              <w:t>Trombopenia</w:t>
            </w:r>
          </w:p>
        </w:tc>
        <w:tc>
          <w:tcPr>
            <w:tcW w:w="3118" w:type="dxa"/>
          </w:tcPr>
          <w:p w:rsidR="00D01C83" w:rsidRPr="00A71B61" w:rsidRDefault="001B2153" w:rsidP="00DA7551">
            <w:pPr>
              <w:jc w:val="center"/>
              <w:rPr>
                <w:rFonts w:asciiTheme="majorHAnsi" w:hAnsiTheme="majorHAnsi"/>
                <w:color w:val="000000" w:themeColor="text1"/>
                <w:szCs w:val="20"/>
                <w:lang w:val="pt-BR"/>
              </w:rPr>
            </w:pPr>
            <w:r w:rsidRPr="00A71B61">
              <w:rPr>
                <w:rFonts w:asciiTheme="majorHAnsi" w:hAnsiTheme="majorHAnsi"/>
                <w:color w:val="000000" w:themeColor="text1"/>
                <w:szCs w:val="20"/>
                <w:lang w:val="pt-BR"/>
              </w:rPr>
              <w:t>103</w:t>
            </w:r>
          </w:p>
        </w:tc>
        <w:tc>
          <w:tcPr>
            <w:tcW w:w="2508" w:type="dxa"/>
          </w:tcPr>
          <w:p w:rsidR="00D01C83" w:rsidRPr="00A71B61" w:rsidRDefault="001B2153" w:rsidP="00DA7551">
            <w:pPr>
              <w:jc w:val="center"/>
              <w:rPr>
                <w:rFonts w:asciiTheme="majorHAnsi" w:hAnsiTheme="majorHAnsi"/>
                <w:color w:val="000000" w:themeColor="text1"/>
                <w:szCs w:val="20"/>
                <w:lang w:val="pt-BR"/>
              </w:rPr>
            </w:pPr>
            <w:r w:rsidRPr="00A71B61">
              <w:rPr>
                <w:rFonts w:asciiTheme="majorHAnsi" w:hAnsiTheme="majorHAnsi"/>
                <w:color w:val="000000" w:themeColor="text1"/>
                <w:szCs w:val="20"/>
                <w:lang w:val="pt-BR"/>
              </w:rPr>
              <w:t>0,04</w:t>
            </w:r>
          </w:p>
        </w:tc>
      </w:tr>
    </w:tbl>
    <w:p w:rsidR="00D01C83" w:rsidRPr="00B51AC6" w:rsidRDefault="00D01C83" w:rsidP="00B51AC6">
      <w:pPr>
        <w:pStyle w:val="Ttulo2"/>
      </w:pPr>
      <w:bookmarkStart w:id="52" w:name="_Toc15638388"/>
      <w:bookmarkStart w:id="53" w:name="_Toc90584884"/>
      <w:r w:rsidRPr="00B51AC6">
        <w:t>Laboratorio de NAT VHC/  VIH/VHB</w:t>
      </w:r>
      <w:bookmarkEnd w:id="52"/>
      <w:bookmarkEnd w:id="53"/>
    </w:p>
    <w:p w:rsidR="00D01C83" w:rsidRPr="00A71B61" w:rsidRDefault="00D01C83" w:rsidP="006C2819">
      <w:r w:rsidRPr="00A71B61">
        <w:t>En 2020 se ha analizado el material genético de los virus VIH, VHB y VHC de 233.438 donaciones. El análisis se ha realizado en pooles de 6 muestras.</w:t>
      </w:r>
    </w:p>
    <w:p w:rsidR="00D01C83" w:rsidRPr="00A71B61" w:rsidRDefault="00D01C83" w:rsidP="006C2819">
      <w:r w:rsidRPr="00A71B61">
        <w:t>Han resultado positivas 50 donaciones (0.021 %). En todos los casos se ha realizado NAT individual discriminatoria y/o cuantitativa específica:</w:t>
      </w:r>
    </w:p>
    <w:p w:rsidR="00D01C83" w:rsidRPr="006C2819" w:rsidRDefault="00D01C83" w:rsidP="00846064">
      <w:pPr>
        <w:pStyle w:val="Prrafodelista"/>
        <w:numPr>
          <w:ilvl w:val="0"/>
          <w:numId w:val="28"/>
        </w:numPr>
      </w:pPr>
      <w:r w:rsidRPr="006C2819">
        <w:t xml:space="preserve">VHC: 2 donantes, todos con serología anti-VHC positiva </w:t>
      </w:r>
    </w:p>
    <w:p w:rsidR="00D01C83" w:rsidRPr="006C2819" w:rsidRDefault="00D01C83" w:rsidP="00846064">
      <w:pPr>
        <w:pStyle w:val="Prrafodelista"/>
        <w:numPr>
          <w:ilvl w:val="0"/>
          <w:numId w:val="28"/>
        </w:numPr>
      </w:pPr>
      <w:r w:rsidRPr="006C2819">
        <w:t>VIH: 14 donantes, no incluye dos casos de donante en tratamiento que solo dio positivo el Ac VIH , no PCR</w:t>
      </w:r>
    </w:p>
    <w:p w:rsidR="00D01C83" w:rsidRPr="006C2819" w:rsidRDefault="00D01C83" w:rsidP="00846064">
      <w:pPr>
        <w:pStyle w:val="Prrafodelista"/>
        <w:numPr>
          <w:ilvl w:val="0"/>
          <w:numId w:val="28"/>
        </w:numPr>
      </w:pPr>
      <w:r w:rsidRPr="006C2819">
        <w:t>VHB: 34 donantes; 24 de ellos con HBsAg positivo y 8 donantes con infección oculta por VHB y 2 compatible con periodo ventana de VHB.</w:t>
      </w:r>
    </w:p>
    <w:p w:rsidR="00D01C83" w:rsidRPr="00A71B61" w:rsidRDefault="00D01C83" w:rsidP="006C2819">
      <w:r w:rsidRPr="00A71B61">
        <w:t>De estas 50 muestras, han resultado positivas sólo por NAT, siendo negativa la serología en un total de 10 donaciones:</w:t>
      </w:r>
    </w:p>
    <w:p w:rsidR="00D01C83" w:rsidRPr="006C2819" w:rsidRDefault="00D01C83" w:rsidP="00846064">
      <w:pPr>
        <w:pStyle w:val="Prrafodelista"/>
        <w:numPr>
          <w:ilvl w:val="0"/>
          <w:numId w:val="29"/>
        </w:numPr>
      </w:pPr>
      <w:r w:rsidRPr="006C2819">
        <w:lastRenderedPageBreak/>
        <w:t xml:space="preserve">8 infecciones por VHB oculta, todas de donantes repetidores con donaciones previas también negativas tanto por serología como por NAT para VHB </w:t>
      </w:r>
    </w:p>
    <w:p w:rsidR="00D01C83" w:rsidRPr="006C2819" w:rsidRDefault="00D01C83" w:rsidP="00846064">
      <w:pPr>
        <w:pStyle w:val="Prrafodelista"/>
        <w:numPr>
          <w:ilvl w:val="0"/>
          <w:numId w:val="29"/>
        </w:numPr>
      </w:pPr>
      <w:r w:rsidRPr="006C2819">
        <w:t>2 donantes repetidores tienen resultados  compatibles con periodo ventana de VHB, por tanto, con donaciones previas negativas.</w:t>
      </w:r>
    </w:p>
    <w:p w:rsidR="00D01C83" w:rsidRPr="00A71B61" w:rsidRDefault="00D01C83" w:rsidP="006C2819">
      <w:r w:rsidRPr="00A71B61">
        <w:t>Considerando el total de VHB, VHC e VIH positivos, incluidos los  detectados mediante serología infecciosa y mediante NAT, queda esta tabla:</w:t>
      </w:r>
    </w:p>
    <w:tbl>
      <w:tblPr>
        <w:tblStyle w:val="Tabladecuadrcula5oscura-nfasis1"/>
        <w:tblW w:w="5183" w:type="pct"/>
        <w:tblLayout w:type="fixed"/>
        <w:tblLook w:val="0660" w:firstRow="1" w:lastRow="1" w:firstColumn="0" w:lastColumn="0" w:noHBand="1" w:noVBand="1"/>
      </w:tblPr>
      <w:tblGrid>
        <w:gridCol w:w="1123"/>
        <w:gridCol w:w="1152"/>
        <w:gridCol w:w="983"/>
        <w:gridCol w:w="671"/>
        <w:gridCol w:w="445"/>
        <w:gridCol w:w="447"/>
        <w:gridCol w:w="703"/>
        <w:gridCol w:w="404"/>
        <w:gridCol w:w="731"/>
        <w:gridCol w:w="565"/>
        <w:gridCol w:w="426"/>
        <w:gridCol w:w="567"/>
      </w:tblGrid>
      <w:tr w:rsidR="00FB078D" w:rsidRPr="00A71B61" w:rsidTr="00FB078D">
        <w:trPr>
          <w:cnfStyle w:val="100000000000" w:firstRow="1" w:lastRow="0" w:firstColumn="0" w:lastColumn="0" w:oddVBand="0" w:evenVBand="0" w:oddHBand="0" w:evenHBand="0" w:firstRowFirstColumn="0" w:firstRowLastColumn="0" w:lastRowFirstColumn="0" w:lastRowLastColumn="0"/>
          <w:trHeight w:val="500"/>
        </w:trPr>
        <w:tc>
          <w:tcPr>
            <w:tcW w:w="683" w:type="pct"/>
            <w:vMerge w:val="restart"/>
          </w:tcPr>
          <w:p w:rsidR="00D01C83" w:rsidRPr="00A71B61" w:rsidRDefault="00D01C83" w:rsidP="00DA7551">
            <w:pPr>
              <w:rPr>
                <w:b w:val="0"/>
                <w:szCs w:val="20"/>
                <w:lang w:eastAsia="es-ES"/>
              </w:rPr>
            </w:pPr>
            <w:r w:rsidRPr="00A71B61">
              <w:rPr>
                <w:b w:val="0"/>
                <w:szCs w:val="20"/>
                <w:lang w:eastAsia="es-ES"/>
              </w:rPr>
              <w:t xml:space="preserve">Tipo de donante </w:t>
            </w:r>
          </w:p>
        </w:tc>
        <w:tc>
          <w:tcPr>
            <w:tcW w:w="701" w:type="pct"/>
            <w:vMerge w:val="restart"/>
          </w:tcPr>
          <w:p w:rsidR="00D01C83" w:rsidRPr="00A71B61" w:rsidRDefault="00D01C83" w:rsidP="00DA7551">
            <w:pPr>
              <w:jc w:val="center"/>
              <w:rPr>
                <w:b w:val="0"/>
                <w:szCs w:val="20"/>
                <w:lang w:eastAsia="es-ES"/>
              </w:rPr>
            </w:pPr>
            <w:r w:rsidRPr="00A71B61">
              <w:rPr>
                <w:b w:val="0"/>
                <w:szCs w:val="20"/>
                <w:lang w:eastAsia="es-ES"/>
              </w:rPr>
              <w:t>Número de donaciones</w:t>
            </w:r>
          </w:p>
        </w:tc>
        <w:tc>
          <w:tcPr>
            <w:tcW w:w="598" w:type="pct"/>
            <w:vMerge w:val="restart"/>
          </w:tcPr>
          <w:p w:rsidR="00D01C83" w:rsidRPr="00A71B61" w:rsidRDefault="00D01C83" w:rsidP="00DA7551">
            <w:pPr>
              <w:jc w:val="center"/>
              <w:rPr>
                <w:b w:val="0"/>
                <w:szCs w:val="20"/>
                <w:lang w:eastAsia="es-ES"/>
              </w:rPr>
            </w:pPr>
            <w:r w:rsidRPr="00A71B61">
              <w:rPr>
                <w:b w:val="0"/>
                <w:szCs w:val="20"/>
                <w:lang w:eastAsia="es-ES"/>
              </w:rPr>
              <w:t>Número de donantes</w:t>
            </w:r>
          </w:p>
        </w:tc>
        <w:tc>
          <w:tcPr>
            <w:tcW w:w="951" w:type="pct"/>
            <w:gridSpan w:val="3"/>
          </w:tcPr>
          <w:p w:rsidR="00D01C83" w:rsidRPr="00A71B61" w:rsidRDefault="00D01C83" w:rsidP="00DA7551">
            <w:pPr>
              <w:jc w:val="center"/>
              <w:rPr>
                <w:b w:val="0"/>
                <w:szCs w:val="20"/>
                <w:lang w:val="pt-BR" w:eastAsia="es-ES"/>
              </w:rPr>
            </w:pPr>
            <w:r w:rsidRPr="00A71B61">
              <w:rPr>
                <w:b w:val="0"/>
                <w:szCs w:val="20"/>
                <w:lang w:val="pt-BR" w:eastAsia="es-ES"/>
              </w:rPr>
              <w:t>HIV - nºdonantes positivos confirmados</w:t>
            </w:r>
          </w:p>
        </w:tc>
        <w:tc>
          <w:tcPr>
            <w:tcW w:w="1118" w:type="pct"/>
            <w:gridSpan w:val="3"/>
          </w:tcPr>
          <w:p w:rsidR="00D01C83" w:rsidRPr="00A71B61" w:rsidRDefault="00D01C83" w:rsidP="00DA7551">
            <w:pPr>
              <w:jc w:val="center"/>
              <w:rPr>
                <w:b w:val="0"/>
                <w:szCs w:val="20"/>
                <w:lang w:val="pt-BR" w:eastAsia="es-ES"/>
              </w:rPr>
            </w:pPr>
            <w:r w:rsidRPr="00A71B61">
              <w:rPr>
                <w:b w:val="0"/>
                <w:szCs w:val="20"/>
                <w:lang w:val="pt-BR" w:eastAsia="es-ES"/>
              </w:rPr>
              <w:t>HCV - nº donantes positivos confirmados</w:t>
            </w:r>
          </w:p>
        </w:tc>
        <w:tc>
          <w:tcPr>
            <w:tcW w:w="948" w:type="pct"/>
            <w:gridSpan w:val="3"/>
          </w:tcPr>
          <w:p w:rsidR="00D01C83" w:rsidRPr="00A71B61" w:rsidRDefault="00D01C83" w:rsidP="00DA7551">
            <w:pPr>
              <w:jc w:val="center"/>
              <w:rPr>
                <w:b w:val="0"/>
                <w:szCs w:val="20"/>
                <w:lang w:val="pt-BR" w:eastAsia="es-ES"/>
              </w:rPr>
            </w:pPr>
            <w:r w:rsidRPr="00A71B61">
              <w:rPr>
                <w:b w:val="0"/>
                <w:szCs w:val="20"/>
                <w:lang w:val="pt-BR" w:eastAsia="es-ES"/>
              </w:rPr>
              <w:t>HBV - nº donantes positivos confirmados</w:t>
            </w:r>
          </w:p>
        </w:tc>
      </w:tr>
      <w:tr w:rsidR="00FB078D" w:rsidRPr="00A71B61" w:rsidTr="00FB078D">
        <w:trPr>
          <w:cantSplit/>
          <w:trHeight w:val="1597"/>
        </w:trPr>
        <w:tc>
          <w:tcPr>
            <w:tcW w:w="683" w:type="pct"/>
            <w:vMerge/>
          </w:tcPr>
          <w:p w:rsidR="00D01C83" w:rsidRPr="00A71B61" w:rsidRDefault="00D01C83" w:rsidP="00DA7551">
            <w:pPr>
              <w:rPr>
                <w:b/>
                <w:szCs w:val="20"/>
                <w:lang w:val="pt-BR" w:eastAsia="es-ES"/>
              </w:rPr>
            </w:pPr>
          </w:p>
        </w:tc>
        <w:tc>
          <w:tcPr>
            <w:tcW w:w="701" w:type="pct"/>
            <w:vMerge/>
          </w:tcPr>
          <w:p w:rsidR="00D01C83" w:rsidRPr="00A71B61" w:rsidRDefault="00D01C83" w:rsidP="00DA7551">
            <w:pPr>
              <w:jc w:val="center"/>
              <w:rPr>
                <w:b/>
                <w:szCs w:val="20"/>
                <w:lang w:val="pt-BR" w:eastAsia="es-ES"/>
              </w:rPr>
            </w:pPr>
          </w:p>
        </w:tc>
        <w:tc>
          <w:tcPr>
            <w:tcW w:w="598" w:type="pct"/>
            <w:vMerge/>
          </w:tcPr>
          <w:p w:rsidR="00D01C83" w:rsidRPr="00A71B61" w:rsidRDefault="00D01C83" w:rsidP="00DA7551">
            <w:pPr>
              <w:jc w:val="center"/>
              <w:rPr>
                <w:b/>
                <w:szCs w:val="20"/>
                <w:lang w:val="pt-BR" w:eastAsia="es-ES"/>
              </w:rPr>
            </w:pPr>
          </w:p>
        </w:tc>
        <w:tc>
          <w:tcPr>
            <w:tcW w:w="408" w:type="pct"/>
            <w:textDirection w:val="btLr"/>
          </w:tcPr>
          <w:p w:rsidR="00D01C83" w:rsidRPr="00A71B61" w:rsidRDefault="00D01C83" w:rsidP="00FB078D">
            <w:pPr>
              <w:ind w:left="113" w:right="113"/>
              <w:jc w:val="center"/>
              <w:rPr>
                <w:szCs w:val="20"/>
                <w:lang w:eastAsia="es-ES"/>
              </w:rPr>
            </w:pPr>
            <w:r w:rsidRPr="00A71B61">
              <w:rPr>
                <w:szCs w:val="20"/>
                <w:lang w:eastAsia="es-ES"/>
              </w:rPr>
              <w:t>AcHIV 1/2   confirmados</w:t>
            </w:r>
          </w:p>
        </w:tc>
        <w:tc>
          <w:tcPr>
            <w:tcW w:w="271" w:type="pct"/>
            <w:textDirection w:val="btLr"/>
          </w:tcPr>
          <w:p w:rsidR="00D01C83" w:rsidRPr="00A71B61" w:rsidRDefault="00D01C83" w:rsidP="00FB078D">
            <w:pPr>
              <w:ind w:left="113" w:right="113"/>
              <w:jc w:val="center"/>
              <w:rPr>
                <w:szCs w:val="20"/>
                <w:lang w:eastAsia="es-ES"/>
              </w:rPr>
            </w:pPr>
            <w:r w:rsidRPr="00A71B61">
              <w:rPr>
                <w:szCs w:val="20"/>
                <w:lang w:eastAsia="es-ES"/>
              </w:rPr>
              <w:t>NAT sólo</w:t>
            </w:r>
          </w:p>
        </w:tc>
        <w:tc>
          <w:tcPr>
            <w:tcW w:w="272" w:type="pct"/>
            <w:textDirection w:val="btLr"/>
          </w:tcPr>
          <w:p w:rsidR="00D01C83" w:rsidRPr="00A71B61" w:rsidRDefault="00D01C83" w:rsidP="00FB078D">
            <w:pPr>
              <w:ind w:left="113" w:right="113"/>
              <w:jc w:val="center"/>
              <w:rPr>
                <w:szCs w:val="20"/>
                <w:lang w:eastAsia="es-ES"/>
              </w:rPr>
            </w:pPr>
            <w:r w:rsidRPr="00A71B61">
              <w:rPr>
                <w:szCs w:val="20"/>
                <w:lang w:eastAsia="es-ES"/>
              </w:rPr>
              <w:t>Tasa x10</w:t>
            </w:r>
            <w:r w:rsidRPr="00A71B61">
              <w:rPr>
                <w:szCs w:val="20"/>
                <w:vertAlign w:val="superscript"/>
                <w:lang w:eastAsia="es-ES"/>
              </w:rPr>
              <w:t>5</w:t>
            </w:r>
            <w:r w:rsidRPr="00A71B61">
              <w:rPr>
                <w:szCs w:val="20"/>
                <w:lang w:eastAsia="es-ES"/>
              </w:rPr>
              <w:t>dtes</w:t>
            </w:r>
          </w:p>
        </w:tc>
        <w:tc>
          <w:tcPr>
            <w:tcW w:w="428" w:type="pct"/>
            <w:textDirection w:val="btLr"/>
          </w:tcPr>
          <w:p w:rsidR="00D01C83" w:rsidRPr="00A71B61" w:rsidRDefault="00D01C83" w:rsidP="00FB078D">
            <w:pPr>
              <w:ind w:left="113" w:right="113"/>
              <w:jc w:val="center"/>
              <w:rPr>
                <w:szCs w:val="20"/>
                <w:lang w:eastAsia="es-ES"/>
              </w:rPr>
            </w:pPr>
            <w:r w:rsidRPr="00A71B61">
              <w:rPr>
                <w:szCs w:val="20"/>
                <w:lang w:eastAsia="es-ES"/>
              </w:rPr>
              <w:t>AcHCV confirmados</w:t>
            </w:r>
          </w:p>
        </w:tc>
        <w:tc>
          <w:tcPr>
            <w:tcW w:w="246" w:type="pct"/>
            <w:textDirection w:val="btLr"/>
          </w:tcPr>
          <w:p w:rsidR="00D01C83" w:rsidRPr="00A71B61" w:rsidRDefault="00D01C83" w:rsidP="00FB078D">
            <w:pPr>
              <w:ind w:left="113" w:right="113"/>
              <w:jc w:val="center"/>
              <w:rPr>
                <w:szCs w:val="20"/>
                <w:lang w:eastAsia="es-ES"/>
              </w:rPr>
            </w:pPr>
            <w:r w:rsidRPr="00A71B61">
              <w:rPr>
                <w:szCs w:val="20"/>
                <w:lang w:eastAsia="es-ES"/>
              </w:rPr>
              <w:t>NAT sólo</w:t>
            </w:r>
          </w:p>
        </w:tc>
        <w:tc>
          <w:tcPr>
            <w:tcW w:w="445" w:type="pct"/>
            <w:textDirection w:val="btLr"/>
          </w:tcPr>
          <w:p w:rsidR="00D01C83" w:rsidRPr="00A71B61" w:rsidRDefault="00D01C83" w:rsidP="00FB078D">
            <w:pPr>
              <w:ind w:left="113" w:right="113"/>
              <w:jc w:val="center"/>
              <w:rPr>
                <w:szCs w:val="20"/>
                <w:lang w:eastAsia="es-ES"/>
              </w:rPr>
            </w:pPr>
            <w:r w:rsidRPr="00A71B61">
              <w:rPr>
                <w:szCs w:val="20"/>
                <w:lang w:eastAsia="es-ES"/>
              </w:rPr>
              <w:t>Tasa x10</w:t>
            </w:r>
            <w:r w:rsidRPr="00A71B61">
              <w:rPr>
                <w:szCs w:val="20"/>
                <w:vertAlign w:val="superscript"/>
                <w:lang w:eastAsia="es-ES"/>
              </w:rPr>
              <w:t>5</w:t>
            </w:r>
            <w:r w:rsidRPr="00A71B61">
              <w:rPr>
                <w:szCs w:val="20"/>
                <w:lang w:eastAsia="es-ES"/>
              </w:rPr>
              <w:t>dtes</w:t>
            </w:r>
          </w:p>
        </w:tc>
        <w:tc>
          <w:tcPr>
            <w:tcW w:w="344" w:type="pct"/>
            <w:textDirection w:val="btLr"/>
          </w:tcPr>
          <w:p w:rsidR="00D01C83" w:rsidRPr="00A71B61" w:rsidRDefault="00D01C83" w:rsidP="00FB078D">
            <w:pPr>
              <w:ind w:left="113" w:right="113"/>
              <w:jc w:val="center"/>
              <w:rPr>
                <w:szCs w:val="20"/>
                <w:lang w:eastAsia="es-ES"/>
              </w:rPr>
            </w:pPr>
            <w:r w:rsidRPr="00A71B61">
              <w:rPr>
                <w:szCs w:val="20"/>
                <w:lang w:eastAsia="es-ES"/>
              </w:rPr>
              <w:t>HBsAgHBV confirmados</w:t>
            </w:r>
          </w:p>
        </w:tc>
        <w:tc>
          <w:tcPr>
            <w:tcW w:w="259" w:type="pct"/>
            <w:textDirection w:val="btLr"/>
          </w:tcPr>
          <w:p w:rsidR="00D01C83" w:rsidRPr="00A71B61" w:rsidRDefault="00D01C83" w:rsidP="00FB078D">
            <w:pPr>
              <w:ind w:left="113" w:right="113"/>
              <w:jc w:val="center"/>
              <w:rPr>
                <w:szCs w:val="20"/>
                <w:lang w:eastAsia="es-ES"/>
              </w:rPr>
            </w:pPr>
            <w:r w:rsidRPr="00A71B61">
              <w:rPr>
                <w:szCs w:val="20"/>
                <w:lang w:eastAsia="es-ES"/>
              </w:rPr>
              <w:t>NAT sólo</w:t>
            </w:r>
          </w:p>
        </w:tc>
        <w:tc>
          <w:tcPr>
            <w:tcW w:w="345" w:type="pct"/>
            <w:textDirection w:val="btLr"/>
          </w:tcPr>
          <w:p w:rsidR="00D01C83" w:rsidRPr="00A71B61" w:rsidRDefault="00D01C83" w:rsidP="00FB078D">
            <w:pPr>
              <w:ind w:left="113" w:right="113"/>
              <w:jc w:val="center"/>
              <w:rPr>
                <w:szCs w:val="20"/>
                <w:lang w:eastAsia="es-ES"/>
              </w:rPr>
            </w:pPr>
            <w:r w:rsidRPr="00A71B61">
              <w:rPr>
                <w:szCs w:val="20"/>
                <w:lang w:eastAsia="es-ES"/>
              </w:rPr>
              <w:t>Tasa x10</w:t>
            </w:r>
            <w:r w:rsidRPr="00A71B61">
              <w:rPr>
                <w:szCs w:val="20"/>
                <w:vertAlign w:val="superscript"/>
                <w:lang w:eastAsia="es-ES"/>
              </w:rPr>
              <w:t xml:space="preserve">5 </w:t>
            </w:r>
            <w:r w:rsidRPr="00A71B61">
              <w:rPr>
                <w:szCs w:val="20"/>
                <w:lang w:eastAsia="es-ES"/>
              </w:rPr>
              <w:t>dtes</w:t>
            </w:r>
          </w:p>
        </w:tc>
      </w:tr>
      <w:tr w:rsidR="00FB078D" w:rsidRPr="00A71B61" w:rsidTr="00FB078D">
        <w:trPr>
          <w:trHeight w:val="238"/>
        </w:trPr>
        <w:tc>
          <w:tcPr>
            <w:tcW w:w="683" w:type="pct"/>
          </w:tcPr>
          <w:p w:rsidR="00D01C83" w:rsidRPr="00A71B61" w:rsidRDefault="00D01C83" w:rsidP="00DA7551">
            <w:pPr>
              <w:rPr>
                <w:color w:val="000000"/>
                <w:szCs w:val="20"/>
                <w:lang w:eastAsia="es-ES"/>
              </w:rPr>
            </w:pPr>
            <w:r w:rsidRPr="00A71B61">
              <w:rPr>
                <w:color w:val="000000"/>
                <w:szCs w:val="20"/>
              </w:rPr>
              <w:t>Nuevo</w:t>
            </w:r>
          </w:p>
        </w:tc>
        <w:tc>
          <w:tcPr>
            <w:tcW w:w="701" w:type="pct"/>
          </w:tcPr>
          <w:p w:rsidR="00D01C83" w:rsidRPr="00A71B61" w:rsidRDefault="00D01C83" w:rsidP="00DA7551">
            <w:pPr>
              <w:jc w:val="center"/>
              <w:rPr>
                <w:color w:val="000000"/>
                <w:szCs w:val="20"/>
                <w:lang w:eastAsia="es-ES"/>
              </w:rPr>
            </w:pPr>
            <w:r w:rsidRPr="00A71B61">
              <w:rPr>
                <w:color w:val="000000"/>
                <w:szCs w:val="20"/>
              </w:rPr>
              <w:t>34.228</w:t>
            </w:r>
          </w:p>
        </w:tc>
        <w:tc>
          <w:tcPr>
            <w:tcW w:w="598" w:type="pct"/>
          </w:tcPr>
          <w:p w:rsidR="00D01C83" w:rsidRPr="00A71B61" w:rsidRDefault="00D01C83" w:rsidP="00DA7551">
            <w:pPr>
              <w:jc w:val="center"/>
              <w:rPr>
                <w:color w:val="000000"/>
                <w:szCs w:val="20"/>
              </w:rPr>
            </w:pPr>
            <w:r w:rsidRPr="00A71B61">
              <w:rPr>
                <w:color w:val="000000"/>
                <w:szCs w:val="20"/>
              </w:rPr>
              <w:t>34.228</w:t>
            </w:r>
          </w:p>
        </w:tc>
        <w:tc>
          <w:tcPr>
            <w:tcW w:w="408" w:type="pct"/>
          </w:tcPr>
          <w:p w:rsidR="00D01C83" w:rsidRPr="00A71B61" w:rsidRDefault="00D01C83" w:rsidP="00DA7551">
            <w:pPr>
              <w:jc w:val="center"/>
              <w:rPr>
                <w:color w:val="000000"/>
                <w:szCs w:val="20"/>
              </w:rPr>
            </w:pPr>
            <w:r w:rsidRPr="00A71B61">
              <w:rPr>
                <w:color w:val="000000"/>
                <w:szCs w:val="20"/>
              </w:rPr>
              <w:t>9</w:t>
            </w:r>
          </w:p>
        </w:tc>
        <w:tc>
          <w:tcPr>
            <w:tcW w:w="271" w:type="pct"/>
          </w:tcPr>
          <w:p w:rsidR="00D01C83" w:rsidRPr="00A71B61" w:rsidRDefault="00D01C83" w:rsidP="00DA7551">
            <w:pPr>
              <w:jc w:val="center"/>
              <w:rPr>
                <w:color w:val="000000"/>
                <w:szCs w:val="20"/>
              </w:rPr>
            </w:pPr>
            <w:r w:rsidRPr="00A71B61">
              <w:rPr>
                <w:color w:val="000000"/>
                <w:szCs w:val="20"/>
              </w:rPr>
              <w:t>0</w:t>
            </w:r>
          </w:p>
        </w:tc>
        <w:tc>
          <w:tcPr>
            <w:tcW w:w="272" w:type="pct"/>
          </w:tcPr>
          <w:p w:rsidR="00D01C83" w:rsidRPr="00A71B61" w:rsidRDefault="00D01C83" w:rsidP="00DA7551">
            <w:pPr>
              <w:jc w:val="center"/>
              <w:rPr>
                <w:color w:val="000000" w:themeColor="text1"/>
                <w:szCs w:val="20"/>
              </w:rPr>
            </w:pPr>
            <w:r w:rsidRPr="00A71B61">
              <w:rPr>
                <w:color w:val="000000" w:themeColor="text1"/>
                <w:szCs w:val="20"/>
              </w:rPr>
              <w:t>26</w:t>
            </w:r>
          </w:p>
        </w:tc>
        <w:tc>
          <w:tcPr>
            <w:tcW w:w="428" w:type="pct"/>
          </w:tcPr>
          <w:p w:rsidR="00D01C83" w:rsidRPr="00A71B61" w:rsidRDefault="00D01C83" w:rsidP="00DA7551">
            <w:pPr>
              <w:jc w:val="center"/>
              <w:rPr>
                <w:color w:val="000000" w:themeColor="text1"/>
                <w:szCs w:val="20"/>
              </w:rPr>
            </w:pPr>
            <w:r w:rsidRPr="00A71B61">
              <w:rPr>
                <w:color w:val="000000" w:themeColor="text1"/>
                <w:szCs w:val="20"/>
              </w:rPr>
              <w:t>12</w:t>
            </w:r>
          </w:p>
        </w:tc>
        <w:tc>
          <w:tcPr>
            <w:tcW w:w="246" w:type="pct"/>
          </w:tcPr>
          <w:p w:rsidR="00D01C83" w:rsidRPr="00A71B61" w:rsidRDefault="00D01C83" w:rsidP="00DA7551">
            <w:pPr>
              <w:jc w:val="center"/>
              <w:rPr>
                <w:color w:val="000000" w:themeColor="text1"/>
                <w:szCs w:val="20"/>
              </w:rPr>
            </w:pPr>
            <w:r w:rsidRPr="00A71B61">
              <w:rPr>
                <w:color w:val="000000" w:themeColor="text1"/>
                <w:szCs w:val="20"/>
              </w:rPr>
              <w:t>0</w:t>
            </w:r>
          </w:p>
        </w:tc>
        <w:tc>
          <w:tcPr>
            <w:tcW w:w="445" w:type="pct"/>
          </w:tcPr>
          <w:p w:rsidR="00D01C83" w:rsidRPr="00A71B61" w:rsidRDefault="00D01C83" w:rsidP="00DA7551">
            <w:pPr>
              <w:jc w:val="center"/>
              <w:rPr>
                <w:color w:val="000000" w:themeColor="text1"/>
                <w:szCs w:val="20"/>
              </w:rPr>
            </w:pPr>
            <w:r w:rsidRPr="00A71B61">
              <w:rPr>
                <w:color w:val="000000" w:themeColor="text1"/>
                <w:szCs w:val="20"/>
              </w:rPr>
              <w:t>35</w:t>
            </w:r>
          </w:p>
        </w:tc>
        <w:tc>
          <w:tcPr>
            <w:tcW w:w="344" w:type="pct"/>
          </w:tcPr>
          <w:p w:rsidR="00D01C83" w:rsidRPr="00A71B61" w:rsidRDefault="00D01C83" w:rsidP="00DA7551">
            <w:pPr>
              <w:jc w:val="center"/>
              <w:rPr>
                <w:color w:val="000000" w:themeColor="text1"/>
                <w:szCs w:val="20"/>
              </w:rPr>
            </w:pPr>
            <w:r w:rsidRPr="00A71B61">
              <w:rPr>
                <w:color w:val="000000" w:themeColor="text1"/>
                <w:szCs w:val="20"/>
              </w:rPr>
              <w:t>22</w:t>
            </w:r>
          </w:p>
        </w:tc>
        <w:tc>
          <w:tcPr>
            <w:tcW w:w="259" w:type="pct"/>
          </w:tcPr>
          <w:p w:rsidR="00D01C83" w:rsidRPr="00A71B61" w:rsidRDefault="00D01C83" w:rsidP="00DA7551">
            <w:pPr>
              <w:jc w:val="center"/>
              <w:rPr>
                <w:color w:val="000000" w:themeColor="text1"/>
                <w:szCs w:val="20"/>
              </w:rPr>
            </w:pPr>
            <w:r w:rsidRPr="00A71B61">
              <w:rPr>
                <w:color w:val="000000" w:themeColor="text1"/>
                <w:szCs w:val="20"/>
              </w:rPr>
              <w:t>0</w:t>
            </w:r>
          </w:p>
        </w:tc>
        <w:tc>
          <w:tcPr>
            <w:tcW w:w="345" w:type="pct"/>
          </w:tcPr>
          <w:p w:rsidR="00D01C83" w:rsidRPr="00A71B61" w:rsidRDefault="00D01C83" w:rsidP="00DA7551">
            <w:pPr>
              <w:jc w:val="center"/>
              <w:rPr>
                <w:color w:val="000000" w:themeColor="text1"/>
                <w:szCs w:val="20"/>
              </w:rPr>
            </w:pPr>
            <w:r w:rsidRPr="00A71B61">
              <w:rPr>
                <w:color w:val="000000" w:themeColor="text1"/>
                <w:szCs w:val="20"/>
              </w:rPr>
              <w:t>64</w:t>
            </w:r>
          </w:p>
        </w:tc>
      </w:tr>
      <w:tr w:rsidR="00FB078D" w:rsidRPr="00A71B61" w:rsidTr="00FB078D">
        <w:trPr>
          <w:trHeight w:val="256"/>
        </w:trPr>
        <w:tc>
          <w:tcPr>
            <w:tcW w:w="683" w:type="pct"/>
          </w:tcPr>
          <w:p w:rsidR="00D01C83" w:rsidRPr="00A71B61" w:rsidRDefault="00D01C83" w:rsidP="00DA7551">
            <w:pPr>
              <w:rPr>
                <w:color w:val="000000"/>
                <w:szCs w:val="20"/>
              </w:rPr>
            </w:pPr>
            <w:r w:rsidRPr="00A71B61">
              <w:rPr>
                <w:color w:val="000000"/>
                <w:szCs w:val="20"/>
              </w:rPr>
              <w:t>Repetidor</w:t>
            </w:r>
          </w:p>
        </w:tc>
        <w:tc>
          <w:tcPr>
            <w:tcW w:w="701" w:type="pct"/>
          </w:tcPr>
          <w:p w:rsidR="00D01C83" w:rsidRPr="00A71B61" w:rsidRDefault="00D01C83" w:rsidP="00DA7551">
            <w:pPr>
              <w:jc w:val="center"/>
              <w:rPr>
                <w:color w:val="000000"/>
                <w:szCs w:val="20"/>
              </w:rPr>
            </w:pPr>
            <w:r w:rsidRPr="00A71B61">
              <w:rPr>
                <w:color w:val="000000"/>
                <w:szCs w:val="20"/>
              </w:rPr>
              <w:t>199.210</w:t>
            </w:r>
          </w:p>
        </w:tc>
        <w:tc>
          <w:tcPr>
            <w:tcW w:w="598" w:type="pct"/>
          </w:tcPr>
          <w:p w:rsidR="00D01C83" w:rsidRPr="00A71B61" w:rsidRDefault="00D01C83" w:rsidP="00DA7551">
            <w:pPr>
              <w:jc w:val="center"/>
              <w:rPr>
                <w:color w:val="000000"/>
                <w:szCs w:val="20"/>
              </w:rPr>
            </w:pPr>
            <w:r w:rsidRPr="00A71B61">
              <w:rPr>
                <w:color w:val="000000"/>
                <w:szCs w:val="20"/>
              </w:rPr>
              <w:t>129.732</w:t>
            </w:r>
          </w:p>
        </w:tc>
        <w:tc>
          <w:tcPr>
            <w:tcW w:w="408" w:type="pct"/>
          </w:tcPr>
          <w:p w:rsidR="00D01C83" w:rsidRPr="00A71B61" w:rsidRDefault="00D01C83" w:rsidP="00DA7551">
            <w:pPr>
              <w:jc w:val="center"/>
              <w:rPr>
                <w:color w:val="000000"/>
                <w:szCs w:val="20"/>
              </w:rPr>
            </w:pPr>
            <w:r w:rsidRPr="00A71B61">
              <w:rPr>
                <w:color w:val="000000"/>
                <w:szCs w:val="20"/>
              </w:rPr>
              <w:t>7</w:t>
            </w:r>
          </w:p>
        </w:tc>
        <w:tc>
          <w:tcPr>
            <w:tcW w:w="271" w:type="pct"/>
          </w:tcPr>
          <w:p w:rsidR="00D01C83" w:rsidRPr="00A71B61" w:rsidRDefault="00D01C83" w:rsidP="00DA7551">
            <w:pPr>
              <w:jc w:val="center"/>
              <w:rPr>
                <w:color w:val="000000"/>
                <w:szCs w:val="20"/>
              </w:rPr>
            </w:pPr>
            <w:r w:rsidRPr="00A71B61">
              <w:rPr>
                <w:color w:val="000000"/>
                <w:szCs w:val="20"/>
              </w:rPr>
              <w:t>0</w:t>
            </w:r>
          </w:p>
        </w:tc>
        <w:tc>
          <w:tcPr>
            <w:tcW w:w="272" w:type="pct"/>
          </w:tcPr>
          <w:p w:rsidR="00D01C83" w:rsidRPr="00A71B61" w:rsidRDefault="00D01C83" w:rsidP="00DA7551">
            <w:pPr>
              <w:jc w:val="center"/>
              <w:rPr>
                <w:color w:val="000000" w:themeColor="text1"/>
                <w:szCs w:val="20"/>
              </w:rPr>
            </w:pPr>
            <w:r w:rsidRPr="00A71B61">
              <w:rPr>
                <w:color w:val="000000" w:themeColor="text1"/>
                <w:szCs w:val="20"/>
              </w:rPr>
              <w:t>5</w:t>
            </w:r>
          </w:p>
        </w:tc>
        <w:tc>
          <w:tcPr>
            <w:tcW w:w="428" w:type="pct"/>
          </w:tcPr>
          <w:p w:rsidR="00D01C83" w:rsidRPr="00A71B61" w:rsidRDefault="00D01C83" w:rsidP="00DA7551">
            <w:pPr>
              <w:jc w:val="center"/>
              <w:rPr>
                <w:color w:val="000000" w:themeColor="text1"/>
                <w:szCs w:val="20"/>
              </w:rPr>
            </w:pPr>
            <w:r w:rsidRPr="00A71B61">
              <w:rPr>
                <w:color w:val="000000" w:themeColor="text1"/>
                <w:szCs w:val="20"/>
              </w:rPr>
              <w:t>2</w:t>
            </w:r>
          </w:p>
        </w:tc>
        <w:tc>
          <w:tcPr>
            <w:tcW w:w="246" w:type="pct"/>
          </w:tcPr>
          <w:p w:rsidR="00D01C83" w:rsidRPr="00A71B61" w:rsidRDefault="00D01C83" w:rsidP="00DA7551">
            <w:pPr>
              <w:jc w:val="center"/>
              <w:rPr>
                <w:color w:val="000000" w:themeColor="text1"/>
                <w:szCs w:val="20"/>
              </w:rPr>
            </w:pPr>
            <w:r w:rsidRPr="00A71B61">
              <w:rPr>
                <w:color w:val="000000" w:themeColor="text1"/>
                <w:szCs w:val="20"/>
              </w:rPr>
              <w:t>0</w:t>
            </w:r>
          </w:p>
        </w:tc>
        <w:tc>
          <w:tcPr>
            <w:tcW w:w="445" w:type="pct"/>
          </w:tcPr>
          <w:p w:rsidR="00D01C83" w:rsidRPr="00A71B61" w:rsidRDefault="00D01C83" w:rsidP="00DA7551">
            <w:pPr>
              <w:jc w:val="center"/>
              <w:rPr>
                <w:color w:val="000000" w:themeColor="text1"/>
                <w:szCs w:val="20"/>
              </w:rPr>
            </w:pPr>
            <w:r w:rsidRPr="00A71B61">
              <w:rPr>
                <w:color w:val="000000" w:themeColor="text1"/>
                <w:szCs w:val="20"/>
              </w:rPr>
              <w:t>1.5</w:t>
            </w:r>
          </w:p>
        </w:tc>
        <w:tc>
          <w:tcPr>
            <w:tcW w:w="344" w:type="pct"/>
          </w:tcPr>
          <w:p w:rsidR="00D01C83" w:rsidRPr="00A71B61" w:rsidRDefault="00D01C83" w:rsidP="00DA7551">
            <w:pPr>
              <w:jc w:val="center"/>
              <w:rPr>
                <w:color w:val="000000" w:themeColor="text1"/>
                <w:szCs w:val="20"/>
              </w:rPr>
            </w:pPr>
            <w:r w:rsidRPr="00A71B61">
              <w:rPr>
                <w:color w:val="000000" w:themeColor="text1"/>
                <w:szCs w:val="20"/>
              </w:rPr>
              <w:t>18</w:t>
            </w:r>
          </w:p>
        </w:tc>
        <w:tc>
          <w:tcPr>
            <w:tcW w:w="259" w:type="pct"/>
          </w:tcPr>
          <w:p w:rsidR="00D01C83" w:rsidRPr="00A71B61" w:rsidRDefault="00D01C83" w:rsidP="00DA7551">
            <w:pPr>
              <w:jc w:val="center"/>
              <w:rPr>
                <w:color w:val="000000" w:themeColor="text1"/>
                <w:szCs w:val="20"/>
              </w:rPr>
            </w:pPr>
            <w:r w:rsidRPr="00A71B61">
              <w:rPr>
                <w:color w:val="000000" w:themeColor="text1"/>
                <w:szCs w:val="20"/>
              </w:rPr>
              <w:t>10</w:t>
            </w:r>
          </w:p>
        </w:tc>
        <w:tc>
          <w:tcPr>
            <w:tcW w:w="345" w:type="pct"/>
          </w:tcPr>
          <w:p w:rsidR="00D01C83" w:rsidRPr="00A71B61" w:rsidRDefault="00D01C83" w:rsidP="00DA7551">
            <w:pPr>
              <w:jc w:val="center"/>
              <w:rPr>
                <w:color w:val="000000" w:themeColor="text1"/>
                <w:szCs w:val="20"/>
              </w:rPr>
            </w:pPr>
            <w:r w:rsidRPr="00A71B61">
              <w:rPr>
                <w:color w:val="000000" w:themeColor="text1"/>
                <w:szCs w:val="20"/>
              </w:rPr>
              <w:t>14</w:t>
            </w:r>
          </w:p>
        </w:tc>
      </w:tr>
      <w:tr w:rsidR="00FB078D" w:rsidRPr="00A71B61" w:rsidTr="00FB078D">
        <w:trPr>
          <w:cnfStyle w:val="010000000000" w:firstRow="0" w:lastRow="1" w:firstColumn="0" w:lastColumn="0" w:oddVBand="0" w:evenVBand="0" w:oddHBand="0" w:evenHBand="0" w:firstRowFirstColumn="0" w:firstRowLastColumn="0" w:lastRowFirstColumn="0" w:lastRowLastColumn="0"/>
          <w:trHeight w:val="212"/>
        </w:trPr>
        <w:tc>
          <w:tcPr>
            <w:tcW w:w="683" w:type="pct"/>
          </w:tcPr>
          <w:p w:rsidR="00D01C83" w:rsidRPr="00A71B61" w:rsidRDefault="00D01C83" w:rsidP="00DA7551">
            <w:pPr>
              <w:rPr>
                <w:bCs w:val="0"/>
                <w:szCs w:val="20"/>
              </w:rPr>
            </w:pPr>
            <w:r w:rsidRPr="00A71B61">
              <w:rPr>
                <w:bCs w:val="0"/>
                <w:szCs w:val="20"/>
              </w:rPr>
              <w:t>TOTAL</w:t>
            </w:r>
          </w:p>
        </w:tc>
        <w:tc>
          <w:tcPr>
            <w:tcW w:w="701" w:type="pct"/>
          </w:tcPr>
          <w:p w:rsidR="00D01C83" w:rsidRPr="00A71B61" w:rsidRDefault="00D01C83" w:rsidP="00DA7551">
            <w:pPr>
              <w:jc w:val="center"/>
              <w:rPr>
                <w:szCs w:val="20"/>
              </w:rPr>
            </w:pPr>
            <w:r w:rsidRPr="00A71B61">
              <w:rPr>
                <w:szCs w:val="20"/>
              </w:rPr>
              <w:t>233.438</w:t>
            </w:r>
          </w:p>
        </w:tc>
        <w:tc>
          <w:tcPr>
            <w:tcW w:w="598" w:type="pct"/>
          </w:tcPr>
          <w:p w:rsidR="00D01C83" w:rsidRPr="00A71B61" w:rsidRDefault="00D01C83" w:rsidP="00DA7551">
            <w:pPr>
              <w:jc w:val="center"/>
              <w:rPr>
                <w:szCs w:val="20"/>
              </w:rPr>
            </w:pPr>
            <w:r w:rsidRPr="00A71B61">
              <w:rPr>
                <w:szCs w:val="20"/>
              </w:rPr>
              <w:t>163.960</w:t>
            </w:r>
          </w:p>
        </w:tc>
        <w:tc>
          <w:tcPr>
            <w:tcW w:w="408" w:type="pct"/>
          </w:tcPr>
          <w:p w:rsidR="00D01C83" w:rsidRPr="00A71B61" w:rsidRDefault="00D01C83" w:rsidP="00DA7551">
            <w:pPr>
              <w:jc w:val="center"/>
              <w:rPr>
                <w:szCs w:val="20"/>
              </w:rPr>
            </w:pPr>
            <w:r w:rsidRPr="00A71B61">
              <w:rPr>
                <w:szCs w:val="20"/>
              </w:rPr>
              <w:t>16</w:t>
            </w:r>
          </w:p>
        </w:tc>
        <w:tc>
          <w:tcPr>
            <w:tcW w:w="271" w:type="pct"/>
          </w:tcPr>
          <w:p w:rsidR="00D01C83" w:rsidRPr="00A71B61" w:rsidRDefault="00D01C83" w:rsidP="00DA7551">
            <w:pPr>
              <w:jc w:val="center"/>
              <w:rPr>
                <w:szCs w:val="20"/>
              </w:rPr>
            </w:pPr>
            <w:r w:rsidRPr="00A71B61">
              <w:rPr>
                <w:szCs w:val="20"/>
              </w:rPr>
              <w:t>0</w:t>
            </w:r>
          </w:p>
        </w:tc>
        <w:tc>
          <w:tcPr>
            <w:tcW w:w="272" w:type="pct"/>
          </w:tcPr>
          <w:p w:rsidR="00D01C83" w:rsidRPr="00A71B61" w:rsidRDefault="00D01C83" w:rsidP="00DA7551">
            <w:pPr>
              <w:jc w:val="center"/>
              <w:rPr>
                <w:szCs w:val="20"/>
              </w:rPr>
            </w:pPr>
            <w:r w:rsidRPr="00A71B61">
              <w:rPr>
                <w:szCs w:val="20"/>
              </w:rPr>
              <w:t>10</w:t>
            </w:r>
          </w:p>
        </w:tc>
        <w:tc>
          <w:tcPr>
            <w:tcW w:w="428" w:type="pct"/>
          </w:tcPr>
          <w:p w:rsidR="00D01C83" w:rsidRPr="00A71B61" w:rsidRDefault="00D01C83" w:rsidP="00DA7551">
            <w:pPr>
              <w:jc w:val="center"/>
              <w:rPr>
                <w:szCs w:val="20"/>
              </w:rPr>
            </w:pPr>
            <w:r w:rsidRPr="00A71B61">
              <w:rPr>
                <w:szCs w:val="20"/>
              </w:rPr>
              <w:t>14</w:t>
            </w:r>
          </w:p>
        </w:tc>
        <w:tc>
          <w:tcPr>
            <w:tcW w:w="246" w:type="pct"/>
          </w:tcPr>
          <w:p w:rsidR="00D01C83" w:rsidRPr="00A71B61" w:rsidRDefault="00D01C83" w:rsidP="00DA7551">
            <w:pPr>
              <w:jc w:val="center"/>
              <w:rPr>
                <w:szCs w:val="20"/>
              </w:rPr>
            </w:pPr>
            <w:r w:rsidRPr="00A71B61">
              <w:rPr>
                <w:szCs w:val="20"/>
              </w:rPr>
              <w:t>0</w:t>
            </w:r>
          </w:p>
        </w:tc>
        <w:tc>
          <w:tcPr>
            <w:tcW w:w="445" w:type="pct"/>
          </w:tcPr>
          <w:p w:rsidR="00D01C83" w:rsidRPr="00A71B61" w:rsidRDefault="00D01C83" w:rsidP="00DA7551">
            <w:pPr>
              <w:jc w:val="center"/>
              <w:rPr>
                <w:szCs w:val="20"/>
              </w:rPr>
            </w:pPr>
            <w:r w:rsidRPr="00A71B61">
              <w:rPr>
                <w:szCs w:val="20"/>
              </w:rPr>
              <w:t>8..5</w:t>
            </w:r>
          </w:p>
        </w:tc>
        <w:tc>
          <w:tcPr>
            <w:tcW w:w="344" w:type="pct"/>
          </w:tcPr>
          <w:p w:rsidR="00D01C83" w:rsidRPr="00A71B61" w:rsidRDefault="00D01C83" w:rsidP="00DA7551">
            <w:pPr>
              <w:jc w:val="center"/>
              <w:rPr>
                <w:szCs w:val="20"/>
              </w:rPr>
            </w:pPr>
            <w:r w:rsidRPr="00A71B61">
              <w:rPr>
                <w:szCs w:val="20"/>
              </w:rPr>
              <w:t>40</w:t>
            </w:r>
          </w:p>
        </w:tc>
        <w:tc>
          <w:tcPr>
            <w:tcW w:w="259" w:type="pct"/>
          </w:tcPr>
          <w:p w:rsidR="00D01C83" w:rsidRPr="00A71B61" w:rsidRDefault="00D01C83" w:rsidP="00DA7551">
            <w:pPr>
              <w:jc w:val="center"/>
              <w:rPr>
                <w:szCs w:val="20"/>
              </w:rPr>
            </w:pPr>
            <w:r w:rsidRPr="00A71B61">
              <w:rPr>
                <w:szCs w:val="20"/>
              </w:rPr>
              <w:t>10</w:t>
            </w:r>
          </w:p>
        </w:tc>
        <w:tc>
          <w:tcPr>
            <w:tcW w:w="345" w:type="pct"/>
          </w:tcPr>
          <w:p w:rsidR="00D01C83" w:rsidRPr="00A71B61" w:rsidRDefault="00D01C83" w:rsidP="00DA7551">
            <w:pPr>
              <w:jc w:val="center"/>
              <w:rPr>
                <w:szCs w:val="20"/>
              </w:rPr>
            </w:pPr>
            <w:r w:rsidRPr="00A71B61">
              <w:rPr>
                <w:szCs w:val="20"/>
              </w:rPr>
              <w:t>24</w:t>
            </w:r>
          </w:p>
        </w:tc>
      </w:tr>
    </w:tbl>
    <w:p w:rsidR="00D01C83" w:rsidRPr="00A71B61" w:rsidRDefault="00D01C83" w:rsidP="00D01C83">
      <w:pPr>
        <w:rPr>
          <w:szCs w:val="20"/>
        </w:rPr>
      </w:pPr>
    </w:p>
    <w:p w:rsidR="00D01C83" w:rsidRPr="00B51AC6" w:rsidRDefault="00D01C83" w:rsidP="00B51AC6">
      <w:pPr>
        <w:pStyle w:val="Ttulo2"/>
      </w:pPr>
      <w:bookmarkStart w:id="54" w:name="_Toc15638389"/>
      <w:bookmarkStart w:id="55" w:name="_Toc90584885"/>
      <w:r w:rsidRPr="00B51AC6">
        <w:t>Otras analíticas</w:t>
      </w:r>
      <w:bookmarkEnd w:id="54"/>
      <w:bookmarkEnd w:id="55"/>
    </w:p>
    <w:p w:rsidR="00D01C83" w:rsidRPr="00A71B61" w:rsidRDefault="001B2153" w:rsidP="006C2819">
      <w:r w:rsidRPr="00A71B61">
        <w:rPr>
          <w:b/>
        </w:rPr>
        <w:t>A</w:t>
      </w:r>
      <w:r w:rsidR="00D01C83" w:rsidRPr="00A71B61">
        <w:rPr>
          <w:b/>
        </w:rPr>
        <w:t>nticuerpos anti-T. Cruzi -Chagas:</w:t>
      </w:r>
      <w:r w:rsidR="00D01C83" w:rsidRPr="00A71B61">
        <w:t xml:space="preserve"> 15.410</w:t>
      </w:r>
      <w:r w:rsidR="000B0280" w:rsidRPr="00A71B61">
        <w:t xml:space="preserve">. </w:t>
      </w:r>
      <w:r w:rsidR="00D01C83" w:rsidRPr="00A71B61">
        <w:t>Anti-T. Cruzi positivo: 8 (0,052%);  los 8 donantes de primera vez</w:t>
      </w:r>
      <w:r w:rsidR="000B0280" w:rsidRPr="00A71B61">
        <w:t>.</w:t>
      </w:r>
      <w:r w:rsidR="00D01C83" w:rsidRPr="00A71B61">
        <w:t xml:space="preserve"> </w:t>
      </w:r>
    </w:p>
    <w:p w:rsidR="00D01C83" w:rsidRPr="00A71B61" w:rsidRDefault="001B2153" w:rsidP="006C2819">
      <w:pPr>
        <w:rPr>
          <w:lang w:val="pt-BR"/>
        </w:rPr>
      </w:pPr>
      <w:r w:rsidRPr="00A71B61">
        <w:rPr>
          <w:b/>
        </w:rPr>
        <w:t>A</w:t>
      </w:r>
      <w:r w:rsidR="00D01C83" w:rsidRPr="00A71B61">
        <w:rPr>
          <w:b/>
        </w:rPr>
        <w:t>nticuerpos anti-HTLV I/I</w:t>
      </w:r>
      <w:r w:rsidR="000B0280" w:rsidRPr="00A71B61">
        <w:rPr>
          <w:b/>
        </w:rPr>
        <w:t>.</w:t>
      </w:r>
      <w:r w:rsidR="00D01C83" w:rsidRPr="00A71B61">
        <w:rPr>
          <w:b/>
        </w:rPr>
        <w:t>I:</w:t>
      </w:r>
      <w:r w:rsidR="00D01C83" w:rsidRPr="00A71B61">
        <w:t xml:space="preserve"> 15.414</w:t>
      </w:r>
      <w:r w:rsidR="000B0280" w:rsidRPr="00A71B61">
        <w:t>.</w:t>
      </w:r>
      <w:r w:rsidR="00D01C83" w:rsidRPr="00A71B61">
        <w:rPr>
          <w:lang w:val="pt-BR"/>
        </w:rPr>
        <w:t>Anti-HTLV positivo: 3 donantes de primera vez (0,019%)</w:t>
      </w:r>
      <w:r w:rsidR="000B0280" w:rsidRPr="00A71B61">
        <w:rPr>
          <w:lang w:val="pt-BR"/>
        </w:rPr>
        <w:t>.</w:t>
      </w:r>
    </w:p>
    <w:p w:rsidR="00D01C83" w:rsidRPr="00A71B61" w:rsidRDefault="001B2153" w:rsidP="006C2819">
      <w:r w:rsidRPr="00A71B61">
        <w:rPr>
          <w:b/>
          <w:color w:val="000000" w:themeColor="text1"/>
        </w:rPr>
        <w:t>A</w:t>
      </w:r>
      <w:r w:rsidR="00D01C83" w:rsidRPr="00A71B61">
        <w:rPr>
          <w:b/>
          <w:color w:val="000000" w:themeColor="text1"/>
        </w:rPr>
        <w:t>nticuerpos anti-Plasmodium - Malaria</w:t>
      </w:r>
      <w:r w:rsidR="00D01C83" w:rsidRPr="00A71B61">
        <w:t>: 11.761</w:t>
      </w:r>
      <w:r w:rsidR="000B0280" w:rsidRPr="00A71B61">
        <w:t>.</w:t>
      </w:r>
      <w:r w:rsidR="00D01C83" w:rsidRPr="00A71B61">
        <w:t>Anti-Plasmodium reactivos: 231 (1,96 %); 159 donantes de primera vez y 72 repetidores</w:t>
      </w:r>
    </w:p>
    <w:p w:rsidR="00D01C83" w:rsidRPr="00A71B61" w:rsidRDefault="00D01C83" w:rsidP="006C2819">
      <w:r w:rsidRPr="00A71B61">
        <w:rPr>
          <w:b/>
        </w:rPr>
        <w:t>Anti-CMV</w:t>
      </w:r>
      <w:r w:rsidRPr="00A71B61">
        <w:t>:  8175 donaciones</w:t>
      </w:r>
      <w:r w:rsidR="000B0280" w:rsidRPr="00A71B61">
        <w:t>.</w:t>
      </w:r>
      <w:r w:rsidRPr="00A71B61">
        <w:t>Anti-CMV IgG negativo: 631 (8 %)</w:t>
      </w:r>
      <w:r w:rsidR="000B0280" w:rsidRPr="00A71B61">
        <w:t xml:space="preserve">. </w:t>
      </w:r>
      <w:r w:rsidRPr="00A71B61">
        <w:t>Anti-CMV IgG positivo: 7544 (92 %)</w:t>
      </w:r>
    </w:p>
    <w:p w:rsidR="00D01C83" w:rsidRPr="00A71B61" w:rsidRDefault="00D01C83" w:rsidP="006C2819">
      <w:r w:rsidRPr="00A71B61">
        <w:t xml:space="preserve">Además se realizan Análisis a las muestras procedentes de </w:t>
      </w:r>
      <w:r w:rsidRPr="00A71B61">
        <w:rPr>
          <w:b/>
        </w:rPr>
        <w:t xml:space="preserve">donantes de Médula Ósea y del Banco de Cordón </w:t>
      </w:r>
      <w:r w:rsidRPr="00A71B61">
        <w:t>(47 unidades tipo extracción B, en 2020).</w:t>
      </w:r>
    </w:p>
    <w:p w:rsidR="00D01C83" w:rsidRPr="00A71B61" w:rsidRDefault="00D01C83" w:rsidP="006C2819">
      <w:r w:rsidRPr="00A71B61">
        <w:t xml:space="preserve">Respecto a los </w:t>
      </w:r>
      <w:r w:rsidRPr="00A71B61">
        <w:rPr>
          <w:b/>
        </w:rPr>
        <w:t>tubos de seguimiento de donantes</w:t>
      </w:r>
      <w:r w:rsidRPr="00A71B61">
        <w:t xml:space="preserve"> de sangre se procesaron </w:t>
      </w:r>
      <w:r w:rsidRPr="00A71B61">
        <w:rPr>
          <w:b/>
        </w:rPr>
        <w:t xml:space="preserve">2.062, </w:t>
      </w:r>
      <w:r w:rsidRPr="00A71B61">
        <w:t>tipo extracción T, en 2020, que incluyen los estudios de Hemovigilancia, de Corteza Ovárica y de Covid en donantes para Obtención de Plasma Hiperinmune.</w:t>
      </w:r>
    </w:p>
    <w:p w:rsidR="00D01C83" w:rsidRPr="00A71B61" w:rsidRDefault="00D01C83" w:rsidP="00D01C83">
      <w:pPr>
        <w:rPr>
          <w:szCs w:val="20"/>
        </w:rPr>
      </w:pPr>
    </w:p>
    <w:p w:rsidR="00D01C83" w:rsidRPr="00B51AC6" w:rsidRDefault="00D01C83" w:rsidP="00B51AC6">
      <w:pPr>
        <w:pStyle w:val="Ttulo2"/>
      </w:pPr>
      <w:bookmarkStart w:id="56" w:name="_Toc15638390"/>
      <w:bookmarkStart w:id="57" w:name="_Toc90584886"/>
      <w:r w:rsidRPr="00B51AC6">
        <w:lastRenderedPageBreak/>
        <w:t>Unidades de sangre rechazadas por alteraciones analíticas</w:t>
      </w:r>
      <w:bookmarkEnd w:id="56"/>
      <w:bookmarkEnd w:id="57"/>
    </w:p>
    <w:p w:rsidR="00D01C83" w:rsidRPr="00A71B61" w:rsidRDefault="00D01C83" w:rsidP="006C2819">
      <w:r w:rsidRPr="00A71B61">
        <w:t>En conjunto, se han rechazado por motivos analíticos relacionados con marcadores infecciosos un total de 869 donaciones (481 VP+378 FP) lo que supone el 0.37 % del total.</w:t>
      </w:r>
    </w:p>
    <w:p w:rsidR="00DA7551" w:rsidRPr="00A71B61" w:rsidRDefault="00DA7551">
      <w:pPr>
        <w:rPr>
          <w:szCs w:val="20"/>
        </w:rPr>
      </w:pPr>
      <w:r w:rsidRPr="00A71B61">
        <w:rPr>
          <w:szCs w:val="20"/>
        </w:rPr>
        <w:br w:type="page"/>
      </w:r>
    </w:p>
    <w:p w:rsidR="00DA7551" w:rsidRPr="00B51AC6" w:rsidRDefault="00DA7551" w:rsidP="00B51AC6">
      <w:pPr>
        <w:pStyle w:val="Ttulo1"/>
      </w:pPr>
      <w:bookmarkStart w:id="58" w:name="_Toc56606600"/>
      <w:bookmarkStart w:id="59" w:name="_Toc90584887"/>
      <w:r w:rsidRPr="00B51AC6">
        <w:lastRenderedPageBreak/>
        <w:t xml:space="preserve">Laboratorio de Fraccionamiento </w:t>
      </w:r>
      <w:r w:rsidR="00B51AC6">
        <w:t>–</w:t>
      </w:r>
      <w:r w:rsidRPr="00B51AC6">
        <w:t xml:space="preserve"> Distribución. Control de Calidad</w:t>
      </w:r>
      <w:bookmarkEnd w:id="58"/>
      <w:bookmarkEnd w:id="59"/>
    </w:p>
    <w:p w:rsidR="00DA7551" w:rsidRPr="00B51AC6" w:rsidRDefault="00DA7551" w:rsidP="00B51AC6">
      <w:pPr>
        <w:pStyle w:val="Ttulo2"/>
      </w:pPr>
      <w:bookmarkStart w:id="60" w:name="_Toc56606601"/>
      <w:bookmarkStart w:id="61" w:name="_Toc90584888"/>
      <w:r w:rsidRPr="00B51AC6">
        <w:t>Procesamiento</w:t>
      </w:r>
      <w:bookmarkEnd w:id="60"/>
      <w:bookmarkEnd w:id="61"/>
    </w:p>
    <w:p w:rsidR="00DA7551" w:rsidRPr="00A71B61" w:rsidRDefault="00DA7551" w:rsidP="006C2819">
      <w:r w:rsidRPr="00A71B61">
        <w:t>En el laboratorio de Fraccionamiento se han procesado los siguientes componentes:</w:t>
      </w:r>
    </w:p>
    <w:tbl>
      <w:tblPr>
        <w:tblStyle w:val="Tabladecuadrcula5oscura-nfasis1"/>
        <w:tblpPr w:leftFromText="141" w:rightFromText="141" w:vertAnchor="text" w:horzAnchor="margin" w:tblpXSpec="center" w:tblpY="205"/>
        <w:tblW w:w="5035" w:type="pct"/>
        <w:tblLook w:val="0620" w:firstRow="1" w:lastRow="0" w:firstColumn="0" w:lastColumn="0" w:noHBand="1" w:noVBand="1"/>
      </w:tblPr>
      <w:tblGrid>
        <w:gridCol w:w="4725"/>
        <w:gridCol w:w="3257"/>
      </w:tblGrid>
      <w:tr w:rsidR="00DA7551" w:rsidRPr="00A71B61" w:rsidTr="00FB078D">
        <w:trPr>
          <w:cnfStyle w:val="100000000000" w:firstRow="1" w:lastRow="0" w:firstColumn="0" w:lastColumn="0" w:oddVBand="0" w:evenVBand="0" w:oddHBand="0" w:evenHBand="0" w:firstRowFirstColumn="0" w:firstRowLastColumn="0" w:lastRowFirstColumn="0" w:lastRowLastColumn="0"/>
          <w:trHeight w:val="656"/>
        </w:trPr>
        <w:tc>
          <w:tcPr>
            <w:tcW w:w="2960" w:type="pct"/>
          </w:tcPr>
          <w:p w:rsidR="00DA7551" w:rsidRPr="00A71B61" w:rsidRDefault="00DA7551" w:rsidP="00DA7551">
            <w:pPr>
              <w:rPr>
                <w:rFonts w:eastAsia="Times New Roman" w:cs="LucidaSansUnicode"/>
                <w:bCs w:val="0"/>
                <w:szCs w:val="20"/>
              </w:rPr>
            </w:pPr>
            <w:r w:rsidRPr="00A71B61">
              <w:rPr>
                <w:rFonts w:eastAsia="Times New Roman" w:cs="LucidaSansUnicode"/>
                <w:bCs w:val="0"/>
                <w:szCs w:val="20"/>
              </w:rPr>
              <w:t>Componente</w:t>
            </w:r>
          </w:p>
        </w:tc>
        <w:tc>
          <w:tcPr>
            <w:tcW w:w="2040" w:type="pct"/>
          </w:tcPr>
          <w:p w:rsidR="00DA7551" w:rsidRPr="00A71B61" w:rsidRDefault="00DA7551" w:rsidP="00DA7551">
            <w:pPr>
              <w:jc w:val="center"/>
              <w:rPr>
                <w:rFonts w:eastAsia="Times New Roman" w:cs="Arial"/>
                <w:bCs w:val="0"/>
                <w:szCs w:val="20"/>
              </w:rPr>
            </w:pPr>
            <w:r w:rsidRPr="00A71B61">
              <w:rPr>
                <w:rFonts w:eastAsia="Times New Roman" w:cs="Arial"/>
                <w:bCs w:val="0"/>
                <w:szCs w:val="20"/>
              </w:rPr>
              <w:t>Unidades procesadas/producidas</w:t>
            </w:r>
          </w:p>
        </w:tc>
      </w:tr>
      <w:tr w:rsidR="00DA7551" w:rsidRPr="00A71B61" w:rsidTr="00FB078D">
        <w:trPr>
          <w:trHeight w:val="434"/>
        </w:trPr>
        <w:tc>
          <w:tcPr>
            <w:tcW w:w="2960" w:type="pct"/>
          </w:tcPr>
          <w:p w:rsidR="00DA7551" w:rsidRPr="00A71B61" w:rsidRDefault="00DA7551" w:rsidP="00DA7551">
            <w:pPr>
              <w:rPr>
                <w:rFonts w:cs="Arial"/>
                <w:b/>
                <w:szCs w:val="20"/>
              </w:rPr>
            </w:pPr>
            <w:r w:rsidRPr="00A71B61">
              <w:rPr>
                <w:rFonts w:cs="LucidaSansUnicode"/>
                <w:b/>
                <w:szCs w:val="20"/>
              </w:rPr>
              <w:t xml:space="preserve">Sangre total en  SAG-Manitol </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228.454</w:t>
            </w:r>
          </w:p>
        </w:tc>
      </w:tr>
      <w:tr w:rsidR="00DA7551" w:rsidRPr="00A71B61" w:rsidTr="00FB078D">
        <w:trPr>
          <w:trHeight w:val="434"/>
        </w:trPr>
        <w:tc>
          <w:tcPr>
            <w:tcW w:w="2960" w:type="pct"/>
          </w:tcPr>
          <w:p w:rsidR="00DA7551" w:rsidRPr="00A71B61" w:rsidRDefault="00DA7551" w:rsidP="00DA7551">
            <w:pPr>
              <w:rPr>
                <w:rFonts w:cs="Arial"/>
                <w:b/>
                <w:szCs w:val="20"/>
              </w:rPr>
            </w:pPr>
            <w:r w:rsidRPr="00A71B61">
              <w:rPr>
                <w:rFonts w:cs="LucidaSansUnicode"/>
                <w:b/>
                <w:szCs w:val="20"/>
              </w:rPr>
              <w:t>Eritroféresis</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327</w:t>
            </w:r>
          </w:p>
        </w:tc>
      </w:tr>
      <w:tr w:rsidR="00DA7551" w:rsidRPr="00A71B61" w:rsidTr="00FB078D">
        <w:trPr>
          <w:trHeight w:val="434"/>
        </w:trPr>
        <w:tc>
          <w:tcPr>
            <w:tcW w:w="2960" w:type="pct"/>
          </w:tcPr>
          <w:p w:rsidR="00DA7551" w:rsidRPr="00A71B61" w:rsidRDefault="00DA7551" w:rsidP="00DA7551">
            <w:pPr>
              <w:rPr>
                <w:rFonts w:cs="Arial"/>
                <w:b/>
                <w:szCs w:val="20"/>
              </w:rPr>
            </w:pPr>
            <w:r w:rsidRPr="00A71B61">
              <w:rPr>
                <w:rFonts w:cs="LucidaSansUnicode"/>
                <w:b/>
                <w:szCs w:val="20"/>
              </w:rPr>
              <w:t xml:space="preserve">Sangre total en CPD para uso pediátrico </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1.173</w:t>
            </w:r>
          </w:p>
        </w:tc>
      </w:tr>
      <w:tr w:rsidR="00DA7551" w:rsidRPr="00A71B61" w:rsidTr="00FB078D">
        <w:trPr>
          <w:trHeight w:val="394"/>
        </w:trPr>
        <w:tc>
          <w:tcPr>
            <w:tcW w:w="2960" w:type="pct"/>
          </w:tcPr>
          <w:p w:rsidR="00DA7551" w:rsidRPr="00A71B61" w:rsidRDefault="00DA7551" w:rsidP="00DA7551">
            <w:pPr>
              <w:rPr>
                <w:rFonts w:cs="Arial"/>
                <w:b/>
                <w:szCs w:val="20"/>
              </w:rPr>
            </w:pPr>
            <w:r w:rsidRPr="00A71B61">
              <w:rPr>
                <w:rFonts w:cs="LucidaSansUnicode"/>
                <w:b/>
                <w:szCs w:val="20"/>
              </w:rPr>
              <w:t xml:space="preserve">Concentrados de hematíes que entran en stock </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222.197</w:t>
            </w:r>
          </w:p>
        </w:tc>
      </w:tr>
      <w:tr w:rsidR="00DA7551" w:rsidRPr="00A71B61" w:rsidTr="00FB078D">
        <w:trPr>
          <w:trHeight w:val="425"/>
        </w:trPr>
        <w:tc>
          <w:tcPr>
            <w:tcW w:w="2960" w:type="pct"/>
          </w:tcPr>
          <w:p w:rsidR="00DA7551" w:rsidRPr="00A71B61" w:rsidRDefault="00DA7551" w:rsidP="00DA7551">
            <w:pPr>
              <w:rPr>
                <w:rFonts w:cs="Arial"/>
                <w:b/>
                <w:szCs w:val="20"/>
              </w:rPr>
            </w:pPr>
            <w:r w:rsidRPr="00A71B61">
              <w:rPr>
                <w:rFonts w:cs="LucidaSansUnicode"/>
                <w:b/>
                <w:szCs w:val="20"/>
              </w:rPr>
              <w:t>Aféresis de plaquetas/multicomponente</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4.300</w:t>
            </w:r>
          </w:p>
        </w:tc>
      </w:tr>
      <w:tr w:rsidR="00DA7551" w:rsidRPr="00A71B61" w:rsidTr="00FB078D">
        <w:trPr>
          <w:trHeight w:val="434"/>
        </w:trPr>
        <w:tc>
          <w:tcPr>
            <w:tcW w:w="2960" w:type="pct"/>
          </w:tcPr>
          <w:p w:rsidR="00DA7551" w:rsidRPr="00A71B61" w:rsidRDefault="00DA7551" w:rsidP="00DA7551">
            <w:pPr>
              <w:rPr>
                <w:rFonts w:cs="Arial"/>
                <w:b/>
                <w:szCs w:val="20"/>
              </w:rPr>
            </w:pPr>
            <w:r w:rsidRPr="00A71B61">
              <w:rPr>
                <w:rFonts w:cs="LucidaSansUnicode"/>
                <w:b/>
                <w:szCs w:val="20"/>
              </w:rPr>
              <w:t>Pooles de plaquetas realizados no inactivados</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29.675</w:t>
            </w:r>
          </w:p>
        </w:tc>
      </w:tr>
      <w:tr w:rsidR="00DA7551" w:rsidRPr="00A71B61" w:rsidTr="00FB078D">
        <w:trPr>
          <w:trHeight w:val="434"/>
        </w:trPr>
        <w:tc>
          <w:tcPr>
            <w:tcW w:w="2960" w:type="pct"/>
          </w:tcPr>
          <w:p w:rsidR="00DA7551" w:rsidRPr="00A71B61" w:rsidRDefault="00DA7551" w:rsidP="00DA7551">
            <w:pPr>
              <w:rPr>
                <w:rFonts w:cs="LucidaSansUnicode"/>
                <w:b/>
                <w:szCs w:val="20"/>
              </w:rPr>
            </w:pPr>
            <w:r w:rsidRPr="00A71B61">
              <w:rPr>
                <w:rFonts w:cs="LucidaSansUnicode"/>
                <w:b/>
                <w:szCs w:val="20"/>
              </w:rPr>
              <w:t>Pooles de plaquetas Inactivados</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10.994 (27.03%)</w:t>
            </w:r>
          </w:p>
        </w:tc>
      </w:tr>
      <w:tr w:rsidR="00DA7551" w:rsidRPr="00A71B61" w:rsidTr="00FB078D">
        <w:trPr>
          <w:trHeight w:val="434"/>
        </w:trPr>
        <w:tc>
          <w:tcPr>
            <w:tcW w:w="2960" w:type="pct"/>
          </w:tcPr>
          <w:p w:rsidR="00DA7551" w:rsidRPr="00A71B61" w:rsidRDefault="00DA7551" w:rsidP="00DA7551">
            <w:pPr>
              <w:rPr>
                <w:rFonts w:cs="Arial"/>
                <w:b/>
                <w:szCs w:val="20"/>
              </w:rPr>
            </w:pPr>
            <w:r w:rsidRPr="00A71B61">
              <w:rPr>
                <w:rFonts w:cs="LucidaSansUnicode"/>
                <w:b/>
                <w:szCs w:val="20"/>
              </w:rPr>
              <w:t xml:space="preserve">Buffy-coats que entran en stock </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209.299</w:t>
            </w:r>
          </w:p>
        </w:tc>
      </w:tr>
      <w:tr w:rsidR="00DA7551" w:rsidRPr="00A71B61" w:rsidTr="00FB078D">
        <w:trPr>
          <w:trHeight w:val="434"/>
        </w:trPr>
        <w:tc>
          <w:tcPr>
            <w:tcW w:w="2960" w:type="pct"/>
          </w:tcPr>
          <w:p w:rsidR="00DA7551" w:rsidRPr="00A71B61" w:rsidRDefault="00DA7551" w:rsidP="00DA7551">
            <w:pPr>
              <w:rPr>
                <w:rFonts w:cs="Arial"/>
                <w:b/>
                <w:szCs w:val="20"/>
              </w:rPr>
            </w:pPr>
            <w:r w:rsidRPr="00A71B61">
              <w:rPr>
                <w:rFonts w:cs="LucidaSansUnicode"/>
                <w:b/>
                <w:szCs w:val="20"/>
              </w:rPr>
              <w:t>% Utilización de buffy-coat para pooles</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63.8 %</w:t>
            </w:r>
          </w:p>
        </w:tc>
      </w:tr>
      <w:tr w:rsidR="00DA7551" w:rsidRPr="00A71B61" w:rsidTr="00FB078D">
        <w:trPr>
          <w:trHeight w:val="410"/>
        </w:trPr>
        <w:tc>
          <w:tcPr>
            <w:tcW w:w="2960" w:type="pct"/>
          </w:tcPr>
          <w:p w:rsidR="00DA7551" w:rsidRPr="00A71B61" w:rsidRDefault="00DA7551" w:rsidP="00DA7551">
            <w:pPr>
              <w:rPr>
                <w:rFonts w:cs="LucidaSansUnicode"/>
                <w:b/>
                <w:szCs w:val="20"/>
              </w:rPr>
            </w:pPr>
            <w:r w:rsidRPr="00A71B61">
              <w:rPr>
                <w:rFonts w:cs="LucidaSansUnicode"/>
                <w:b/>
                <w:szCs w:val="20"/>
              </w:rPr>
              <w:t>Unidades de plasma separadas</w:t>
            </w:r>
          </w:p>
        </w:tc>
        <w:tc>
          <w:tcPr>
            <w:tcW w:w="2040" w:type="pct"/>
          </w:tcPr>
          <w:p w:rsidR="00DA7551" w:rsidRPr="00A71B61" w:rsidRDefault="00DA7551" w:rsidP="00DA7551">
            <w:pPr>
              <w:jc w:val="center"/>
              <w:rPr>
                <w:rFonts w:cs="LucidaSansUnicode"/>
                <w:color w:val="FF0000"/>
                <w:szCs w:val="20"/>
              </w:rPr>
            </w:pPr>
            <w:r w:rsidRPr="00A71B61">
              <w:rPr>
                <w:rFonts w:cs="LucidaSansUnicode"/>
                <w:szCs w:val="20"/>
              </w:rPr>
              <w:t>227.487</w:t>
            </w:r>
          </w:p>
        </w:tc>
      </w:tr>
    </w:tbl>
    <w:p w:rsidR="00DA7551" w:rsidRPr="00A71B61" w:rsidRDefault="00DA7551" w:rsidP="00DA7551">
      <w:pPr>
        <w:rPr>
          <w:szCs w:val="20"/>
        </w:rPr>
      </w:pPr>
    </w:p>
    <w:p w:rsidR="00DA7551" w:rsidRPr="00B51AC6" w:rsidRDefault="00DA7551" w:rsidP="00B51AC6">
      <w:pPr>
        <w:pStyle w:val="Ttulo2"/>
      </w:pPr>
      <w:bookmarkStart w:id="62" w:name="_Toc90584889"/>
      <w:r w:rsidRPr="00B51AC6">
        <w:t>Caducidad de componentes en el CTCM</w:t>
      </w:r>
      <w:bookmarkEnd w:id="62"/>
    </w:p>
    <w:p w:rsidR="00DA7551" w:rsidRPr="00A71B61" w:rsidRDefault="00DA7551" w:rsidP="00DA7551">
      <w:pPr>
        <w:pStyle w:val="Prrafodelista"/>
        <w:ind w:left="1080"/>
        <w:rPr>
          <w:szCs w:val="20"/>
          <w:lang w:eastAsia="x-none"/>
        </w:rPr>
      </w:pPr>
    </w:p>
    <w:tbl>
      <w:tblPr>
        <w:tblStyle w:val="Tabladecuadrcula5oscura-nfasis1"/>
        <w:tblW w:w="0" w:type="auto"/>
        <w:jc w:val="center"/>
        <w:tblLook w:val="0620" w:firstRow="1" w:lastRow="0" w:firstColumn="0" w:lastColumn="0" w:noHBand="1" w:noVBand="1"/>
      </w:tblPr>
      <w:tblGrid>
        <w:gridCol w:w="2235"/>
        <w:gridCol w:w="2235"/>
        <w:gridCol w:w="2235"/>
      </w:tblGrid>
      <w:tr w:rsidR="00DA7551" w:rsidRPr="00A71B61" w:rsidTr="00FB078D">
        <w:trPr>
          <w:cnfStyle w:val="100000000000" w:firstRow="1" w:lastRow="0" w:firstColumn="0" w:lastColumn="0" w:oddVBand="0" w:evenVBand="0" w:oddHBand="0" w:evenHBand="0" w:firstRowFirstColumn="0" w:firstRowLastColumn="0" w:lastRowFirstColumn="0" w:lastRowLastColumn="0"/>
          <w:trHeight w:val="460"/>
          <w:jc w:val="center"/>
        </w:trPr>
        <w:tc>
          <w:tcPr>
            <w:tcW w:w="2235" w:type="dxa"/>
          </w:tcPr>
          <w:p w:rsidR="00DA7551" w:rsidRPr="00A71B61" w:rsidRDefault="00DA7551" w:rsidP="00DA7551">
            <w:pPr>
              <w:autoSpaceDE w:val="0"/>
              <w:autoSpaceDN w:val="0"/>
              <w:adjustRightInd w:val="0"/>
              <w:rPr>
                <w:rFonts w:ascii="Montserrat" w:eastAsia="Times New Roman" w:hAnsi="Montserrat" w:cs="LucidaSansUnicode"/>
                <w:bCs w:val="0"/>
                <w:szCs w:val="20"/>
                <w:lang w:eastAsia="es-ES"/>
              </w:rPr>
            </w:pPr>
            <w:r w:rsidRPr="00A71B61">
              <w:rPr>
                <w:rFonts w:ascii="Montserrat" w:eastAsia="Times New Roman" w:hAnsi="Montserrat" w:cs="LucidaSansUnicode"/>
                <w:bCs w:val="0"/>
                <w:szCs w:val="20"/>
                <w:lang w:eastAsia="es-ES"/>
              </w:rPr>
              <w:t>Componente</w:t>
            </w:r>
          </w:p>
        </w:tc>
        <w:tc>
          <w:tcPr>
            <w:tcW w:w="2235" w:type="dxa"/>
          </w:tcPr>
          <w:p w:rsidR="00DA7551" w:rsidRPr="00A71B61" w:rsidRDefault="00DA7551" w:rsidP="00DA7551">
            <w:pPr>
              <w:autoSpaceDE w:val="0"/>
              <w:autoSpaceDN w:val="0"/>
              <w:adjustRightInd w:val="0"/>
              <w:jc w:val="center"/>
              <w:rPr>
                <w:rFonts w:ascii="Montserrat" w:eastAsia="Times New Roman" w:hAnsi="Montserrat" w:cs="LucidaSansUnicode"/>
                <w:bCs w:val="0"/>
                <w:szCs w:val="20"/>
                <w:lang w:eastAsia="es-ES"/>
              </w:rPr>
            </w:pPr>
            <w:r w:rsidRPr="00A71B61">
              <w:rPr>
                <w:rFonts w:ascii="Montserrat" w:eastAsia="Times New Roman" w:hAnsi="Montserrat" w:cs="LucidaSansUnicode"/>
                <w:bCs w:val="0"/>
                <w:szCs w:val="20"/>
                <w:lang w:eastAsia="es-ES"/>
              </w:rPr>
              <w:t>Número de unidades caducadas</w:t>
            </w:r>
          </w:p>
        </w:tc>
        <w:tc>
          <w:tcPr>
            <w:tcW w:w="2235" w:type="dxa"/>
          </w:tcPr>
          <w:p w:rsidR="00DA7551" w:rsidRPr="00A71B61" w:rsidRDefault="00DA7551" w:rsidP="00DA7551">
            <w:pPr>
              <w:autoSpaceDE w:val="0"/>
              <w:autoSpaceDN w:val="0"/>
              <w:adjustRightInd w:val="0"/>
              <w:jc w:val="center"/>
              <w:rPr>
                <w:rFonts w:ascii="Montserrat" w:eastAsia="Times New Roman" w:hAnsi="Montserrat" w:cs="LucidaSansUnicode"/>
                <w:bCs w:val="0"/>
                <w:szCs w:val="20"/>
                <w:lang w:eastAsia="es-ES"/>
              </w:rPr>
            </w:pPr>
            <w:r w:rsidRPr="00A71B61">
              <w:rPr>
                <w:rFonts w:ascii="Montserrat" w:eastAsia="Times New Roman" w:hAnsi="Montserrat" w:cs="LucidaSansUnicode"/>
                <w:bCs w:val="0"/>
                <w:szCs w:val="20"/>
                <w:lang w:eastAsia="es-ES"/>
              </w:rPr>
              <w:t>% sobre unidades producidas</w:t>
            </w:r>
          </w:p>
        </w:tc>
      </w:tr>
      <w:tr w:rsidR="00DA7551" w:rsidRPr="00A71B61" w:rsidTr="00FB078D">
        <w:trPr>
          <w:trHeight w:val="460"/>
          <w:jc w:val="center"/>
        </w:trPr>
        <w:tc>
          <w:tcPr>
            <w:tcW w:w="2235" w:type="dxa"/>
          </w:tcPr>
          <w:p w:rsidR="00DA7551" w:rsidRPr="00A71B61" w:rsidRDefault="00DA7551" w:rsidP="00DA7551">
            <w:pPr>
              <w:autoSpaceDE w:val="0"/>
              <w:autoSpaceDN w:val="0"/>
              <w:adjustRightInd w:val="0"/>
              <w:rPr>
                <w:rFonts w:eastAsia="Times New Roman" w:cs="LucidaSans"/>
                <w:b/>
                <w:szCs w:val="20"/>
                <w:lang w:eastAsia="es-ES"/>
              </w:rPr>
            </w:pPr>
            <w:r w:rsidRPr="00A71B61">
              <w:rPr>
                <w:rFonts w:eastAsia="Times New Roman" w:cs="LucidaSansUnicode"/>
                <w:b/>
                <w:szCs w:val="20"/>
                <w:lang w:eastAsia="es-ES"/>
              </w:rPr>
              <w:t xml:space="preserve">Concentrados de hematíes </w:t>
            </w:r>
          </w:p>
        </w:tc>
        <w:tc>
          <w:tcPr>
            <w:tcW w:w="2235" w:type="dxa"/>
          </w:tcPr>
          <w:p w:rsidR="00DA7551" w:rsidRPr="00A71B61" w:rsidRDefault="00DA7551" w:rsidP="00DA7551">
            <w:pPr>
              <w:autoSpaceDE w:val="0"/>
              <w:autoSpaceDN w:val="0"/>
              <w:adjustRightInd w:val="0"/>
              <w:jc w:val="center"/>
              <w:rPr>
                <w:rFonts w:eastAsia="Times New Roman" w:cs="LucidaSansUnicode"/>
                <w:szCs w:val="20"/>
                <w:lang w:eastAsia="es-ES"/>
              </w:rPr>
            </w:pPr>
            <w:r w:rsidRPr="00A71B61">
              <w:rPr>
                <w:rFonts w:eastAsia="Times New Roman" w:cs="LucidaSansUnicode"/>
                <w:szCs w:val="20"/>
                <w:lang w:eastAsia="es-ES"/>
              </w:rPr>
              <w:t>469</w:t>
            </w:r>
          </w:p>
        </w:tc>
        <w:tc>
          <w:tcPr>
            <w:tcW w:w="2235" w:type="dxa"/>
          </w:tcPr>
          <w:p w:rsidR="00DA7551" w:rsidRPr="00A71B61" w:rsidRDefault="00DA7551" w:rsidP="00DA7551">
            <w:pPr>
              <w:autoSpaceDE w:val="0"/>
              <w:autoSpaceDN w:val="0"/>
              <w:adjustRightInd w:val="0"/>
              <w:jc w:val="center"/>
              <w:rPr>
                <w:rFonts w:eastAsia="Times New Roman" w:cs="LucidaSansUnicode"/>
                <w:szCs w:val="20"/>
                <w:lang w:eastAsia="es-ES"/>
              </w:rPr>
            </w:pPr>
            <w:r w:rsidRPr="00A71B61">
              <w:rPr>
                <w:rFonts w:eastAsia="Times New Roman" w:cs="LucidaSansUnicode"/>
                <w:szCs w:val="20"/>
                <w:lang w:eastAsia="es-ES"/>
              </w:rPr>
              <w:t>0.29</w:t>
            </w:r>
          </w:p>
        </w:tc>
      </w:tr>
      <w:tr w:rsidR="00DA7551" w:rsidRPr="00A71B61" w:rsidTr="00FB078D">
        <w:trPr>
          <w:trHeight w:val="460"/>
          <w:jc w:val="center"/>
        </w:trPr>
        <w:tc>
          <w:tcPr>
            <w:tcW w:w="2235" w:type="dxa"/>
          </w:tcPr>
          <w:p w:rsidR="00DA7551" w:rsidRPr="00A71B61" w:rsidRDefault="00DA7551" w:rsidP="00DA7551">
            <w:pPr>
              <w:autoSpaceDE w:val="0"/>
              <w:autoSpaceDN w:val="0"/>
              <w:adjustRightInd w:val="0"/>
              <w:rPr>
                <w:rFonts w:eastAsia="Times New Roman" w:cs="LucidaSans"/>
                <w:b/>
                <w:szCs w:val="20"/>
                <w:lang w:eastAsia="es-ES"/>
              </w:rPr>
            </w:pPr>
            <w:r w:rsidRPr="00A71B61">
              <w:rPr>
                <w:rFonts w:eastAsia="Times New Roman" w:cs="LucidaSansUnicode"/>
                <w:b/>
                <w:szCs w:val="20"/>
                <w:lang w:eastAsia="es-ES"/>
              </w:rPr>
              <w:t>Pooles de buffy-coats</w:t>
            </w:r>
          </w:p>
        </w:tc>
        <w:tc>
          <w:tcPr>
            <w:tcW w:w="2235" w:type="dxa"/>
          </w:tcPr>
          <w:p w:rsidR="00DA7551" w:rsidRPr="00A71B61" w:rsidRDefault="00DA7551" w:rsidP="00DA7551">
            <w:pPr>
              <w:autoSpaceDE w:val="0"/>
              <w:autoSpaceDN w:val="0"/>
              <w:adjustRightInd w:val="0"/>
              <w:jc w:val="center"/>
              <w:rPr>
                <w:rFonts w:eastAsia="Times New Roman" w:cs="LucidaSansUnicode"/>
                <w:szCs w:val="20"/>
                <w:lang w:eastAsia="es-ES"/>
              </w:rPr>
            </w:pPr>
            <w:r w:rsidRPr="00A71B61">
              <w:rPr>
                <w:rFonts w:eastAsia="Times New Roman" w:cs="LucidaSansUnicode"/>
                <w:szCs w:val="20"/>
                <w:lang w:eastAsia="es-ES"/>
              </w:rPr>
              <w:t>49</w:t>
            </w:r>
          </w:p>
        </w:tc>
        <w:tc>
          <w:tcPr>
            <w:tcW w:w="2235" w:type="dxa"/>
          </w:tcPr>
          <w:p w:rsidR="00DA7551" w:rsidRPr="00A71B61" w:rsidRDefault="00DA7551" w:rsidP="00DA7551">
            <w:pPr>
              <w:autoSpaceDE w:val="0"/>
              <w:autoSpaceDN w:val="0"/>
              <w:adjustRightInd w:val="0"/>
              <w:jc w:val="center"/>
              <w:rPr>
                <w:rFonts w:eastAsia="Times New Roman" w:cs="LucidaSansUnicode"/>
                <w:szCs w:val="20"/>
                <w:lang w:eastAsia="es-ES"/>
              </w:rPr>
            </w:pPr>
            <w:r w:rsidRPr="00A71B61">
              <w:rPr>
                <w:rFonts w:eastAsia="Times New Roman" w:cs="LucidaSansUnicode"/>
                <w:szCs w:val="20"/>
                <w:lang w:eastAsia="es-ES"/>
              </w:rPr>
              <w:t>0.12</w:t>
            </w:r>
          </w:p>
        </w:tc>
      </w:tr>
      <w:tr w:rsidR="00DA7551" w:rsidRPr="00A71B61" w:rsidTr="00FB078D">
        <w:trPr>
          <w:trHeight w:val="460"/>
          <w:jc w:val="center"/>
        </w:trPr>
        <w:tc>
          <w:tcPr>
            <w:tcW w:w="2235" w:type="dxa"/>
          </w:tcPr>
          <w:p w:rsidR="00DA7551" w:rsidRPr="00A71B61" w:rsidRDefault="00DA7551" w:rsidP="00DA7551">
            <w:pPr>
              <w:autoSpaceDE w:val="0"/>
              <w:autoSpaceDN w:val="0"/>
              <w:adjustRightInd w:val="0"/>
              <w:rPr>
                <w:rFonts w:eastAsia="Times New Roman" w:cs="LucidaSansUnicode"/>
                <w:b/>
                <w:szCs w:val="20"/>
                <w:lang w:eastAsia="es-ES"/>
              </w:rPr>
            </w:pPr>
            <w:r w:rsidRPr="00A71B61">
              <w:rPr>
                <w:rFonts w:eastAsia="Times New Roman" w:cs="LucidaSansUnicode"/>
                <w:b/>
                <w:szCs w:val="20"/>
                <w:lang w:eastAsia="es-ES"/>
              </w:rPr>
              <w:t>Plaquetoféresis</w:t>
            </w:r>
          </w:p>
        </w:tc>
        <w:tc>
          <w:tcPr>
            <w:tcW w:w="2235" w:type="dxa"/>
          </w:tcPr>
          <w:p w:rsidR="00DA7551" w:rsidRPr="00A71B61" w:rsidRDefault="00DA7551" w:rsidP="00DA7551">
            <w:pPr>
              <w:autoSpaceDE w:val="0"/>
              <w:autoSpaceDN w:val="0"/>
              <w:adjustRightInd w:val="0"/>
              <w:jc w:val="center"/>
              <w:rPr>
                <w:rFonts w:eastAsia="Times New Roman" w:cs="LucidaSansUnicode"/>
                <w:szCs w:val="20"/>
                <w:lang w:eastAsia="es-ES"/>
              </w:rPr>
            </w:pPr>
            <w:r w:rsidRPr="00A71B61">
              <w:rPr>
                <w:rFonts w:eastAsia="Times New Roman" w:cs="LucidaSansUnicode"/>
                <w:szCs w:val="20"/>
                <w:lang w:eastAsia="es-ES"/>
              </w:rPr>
              <w:t>11</w:t>
            </w:r>
          </w:p>
        </w:tc>
        <w:tc>
          <w:tcPr>
            <w:tcW w:w="2235" w:type="dxa"/>
          </w:tcPr>
          <w:p w:rsidR="00DA7551" w:rsidRPr="00A71B61" w:rsidRDefault="00DA7551" w:rsidP="00DA7551">
            <w:pPr>
              <w:autoSpaceDE w:val="0"/>
              <w:autoSpaceDN w:val="0"/>
              <w:adjustRightInd w:val="0"/>
              <w:jc w:val="center"/>
              <w:rPr>
                <w:rFonts w:eastAsia="Times New Roman" w:cs="LucidaSansUnicode"/>
                <w:szCs w:val="20"/>
                <w:lang w:eastAsia="es-ES"/>
              </w:rPr>
            </w:pPr>
            <w:r w:rsidRPr="00A71B61">
              <w:rPr>
                <w:rFonts w:eastAsia="Times New Roman" w:cs="LucidaSansUnicode"/>
                <w:szCs w:val="20"/>
                <w:lang w:eastAsia="es-ES"/>
              </w:rPr>
              <w:t>0.26</w:t>
            </w:r>
          </w:p>
        </w:tc>
      </w:tr>
      <w:tr w:rsidR="00DA7551" w:rsidRPr="00A71B61" w:rsidTr="00FB078D">
        <w:trPr>
          <w:trHeight w:val="460"/>
          <w:jc w:val="center"/>
        </w:trPr>
        <w:tc>
          <w:tcPr>
            <w:tcW w:w="2235" w:type="dxa"/>
          </w:tcPr>
          <w:p w:rsidR="00DA7551" w:rsidRPr="00A71B61" w:rsidRDefault="00DA7551" w:rsidP="00DA7551">
            <w:pPr>
              <w:rPr>
                <w:rFonts w:eastAsia="Times New Roman"/>
                <w:b/>
                <w:szCs w:val="20"/>
                <w:lang w:eastAsia="es-ES"/>
              </w:rPr>
            </w:pPr>
            <w:r w:rsidRPr="00A71B61">
              <w:rPr>
                <w:rFonts w:eastAsia="Times New Roman"/>
                <w:b/>
                <w:szCs w:val="20"/>
                <w:lang w:eastAsia="es-ES"/>
              </w:rPr>
              <w:t xml:space="preserve">Plasmas </w:t>
            </w:r>
          </w:p>
        </w:tc>
        <w:tc>
          <w:tcPr>
            <w:tcW w:w="2235" w:type="dxa"/>
          </w:tcPr>
          <w:p w:rsidR="00DA7551" w:rsidRPr="00A71B61" w:rsidRDefault="00DA7551" w:rsidP="00DA7551">
            <w:pPr>
              <w:jc w:val="center"/>
              <w:rPr>
                <w:rFonts w:eastAsia="Times New Roman"/>
                <w:szCs w:val="20"/>
                <w:lang w:eastAsia="es-ES"/>
              </w:rPr>
            </w:pPr>
            <w:r w:rsidRPr="00A71B61">
              <w:rPr>
                <w:rFonts w:eastAsia="Times New Roman"/>
                <w:szCs w:val="20"/>
                <w:lang w:eastAsia="es-ES"/>
              </w:rPr>
              <w:t>48</w:t>
            </w:r>
          </w:p>
        </w:tc>
        <w:tc>
          <w:tcPr>
            <w:tcW w:w="2235" w:type="dxa"/>
          </w:tcPr>
          <w:p w:rsidR="00DA7551" w:rsidRPr="00A71B61" w:rsidRDefault="00DA7551" w:rsidP="00DA7551">
            <w:pPr>
              <w:jc w:val="center"/>
              <w:rPr>
                <w:rFonts w:eastAsia="Times New Roman"/>
                <w:szCs w:val="20"/>
                <w:lang w:eastAsia="es-ES"/>
              </w:rPr>
            </w:pPr>
            <w:r w:rsidRPr="00A71B61">
              <w:rPr>
                <w:rFonts w:eastAsia="Times New Roman"/>
                <w:szCs w:val="20"/>
                <w:lang w:eastAsia="es-ES"/>
              </w:rPr>
              <w:t>0.02</w:t>
            </w:r>
          </w:p>
        </w:tc>
      </w:tr>
    </w:tbl>
    <w:p w:rsidR="00DA7551" w:rsidRPr="00A71B61" w:rsidRDefault="00DA7551" w:rsidP="00DA7551">
      <w:pPr>
        <w:pStyle w:val="Ttulo2"/>
        <w:rPr>
          <w:szCs w:val="20"/>
          <w:lang w:val="es-ES"/>
        </w:rPr>
      </w:pPr>
      <w:r w:rsidRPr="00A71B61">
        <w:rPr>
          <w:szCs w:val="20"/>
          <w:lang w:val="es-ES"/>
        </w:rPr>
        <w:t xml:space="preserve"> </w:t>
      </w:r>
    </w:p>
    <w:p w:rsidR="0099617B" w:rsidRPr="00A71B61" w:rsidRDefault="0099617B" w:rsidP="0099617B">
      <w:pPr>
        <w:rPr>
          <w:szCs w:val="20"/>
          <w:lang w:eastAsia="x-none"/>
        </w:rPr>
      </w:pPr>
    </w:p>
    <w:p w:rsidR="0099617B" w:rsidRPr="00A71B61" w:rsidRDefault="0099617B" w:rsidP="0099617B">
      <w:pPr>
        <w:rPr>
          <w:szCs w:val="20"/>
          <w:lang w:eastAsia="x-none"/>
        </w:rPr>
      </w:pPr>
    </w:p>
    <w:p w:rsidR="00DA7551" w:rsidRPr="00B51AC6" w:rsidRDefault="00DA7551" w:rsidP="00B51AC6">
      <w:pPr>
        <w:pStyle w:val="Ttulo2"/>
      </w:pPr>
      <w:bookmarkStart w:id="63" w:name="_Toc90584890"/>
      <w:r w:rsidRPr="00B51AC6">
        <w:lastRenderedPageBreak/>
        <w:t>Rechazo de componentes. Causas</w:t>
      </w:r>
      <w:bookmarkEnd w:id="63"/>
      <w:r w:rsidRPr="00B51AC6">
        <w:t xml:space="preserve"> </w:t>
      </w:r>
    </w:p>
    <w:tbl>
      <w:tblPr>
        <w:tblpPr w:leftFromText="141" w:rightFromText="141" w:vertAnchor="text" w:horzAnchor="margin" w:tblpXSpec="center" w:tblpY="298"/>
        <w:tblW w:w="9557" w:type="dxa"/>
        <w:tblCellMar>
          <w:left w:w="70" w:type="dxa"/>
          <w:right w:w="70" w:type="dxa"/>
        </w:tblCellMar>
        <w:tblLook w:val="04A0" w:firstRow="1" w:lastRow="0" w:firstColumn="1" w:lastColumn="0" w:noHBand="0" w:noVBand="1"/>
      </w:tblPr>
      <w:tblGrid>
        <w:gridCol w:w="726"/>
        <w:gridCol w:w="3213"/>
        <w:gridCol w:w="1355"/>
        <w:gridCol w:w="1618"/>
        <w:gridCol w:w="1322"/>
        <w:gridCol w:w="1323"/>
      </w:tblGrid>
      <w:tr w:rsidR="00DA7551" w:rsidRPr="00A71B61" w:rsidTr="0099617B">
        <w:trPr>
          <w:trHeight w:val="540"/>
        </w:trPr>
        <w:tc>
          <w:tcPr>
            <w:tcW w:w="726" w:type="dxa"/>
            <w:tcBorders>
              <w:top w:val="nil"/>
              <w:left w:val="nil"/>
              <w:bottom w:val="single" w:sz="4" w:space="0" w:color="auto"/>
              <w:right w:val="nil"/>
            </w:tcBorders>
            <w:shd w:val="clear" w:color="auto" w:fill="auto"/>
            <w:noWrap/>
            <w:vAlign w:val="bottom"/>
            <w:hideMark/>
          </w:tcPr>
          <w:p w:rsidR="00DA7551" w:rsidRPr="00A71B61" w:rsidRDefault="00DA7551" w:rsidP="00DA7551">
            <w:pPr>
              <w:spacing w:after="0" w:line="240" w:lineRule="auto"/>
              <w:rPr>
                <w:rFonts w:ascii="Times New Roman" w:eastAsia="Times New Roman" w:hAnsi="Times New Roman" w:cs="Times New Roman"/>
                <w:szCs w:val="20"/>
                <w:lang w:eastAsia="es-ES"/>
              </w:rPr>
            </w:pPr>
          </w:p>
        </w:tc>
        <w:tc>
          <w:tcPr>
            <w:tcW w:w="3213" w:type="dxa"/>
            <w:tcBorders>
              <w:top w:val="nil"/>
              <w:left w:val="nil"/>
              <w:bottom w:val="single" w:sz="4" w:space="0" w:color="auto"/>
              <w:right w:val="nil"/>
            </w:tcBorders>
            <w:shd w:val="clear" w:color="auto" w:fill="auto"/>
            <w:noWrap/>
            <w:vAlign w:val="center"/>
            <w:hideMark/>
          </w:tcPr>
          <w:p w:rsidR="00DA7551" w:rsidRPr="00A71B61" w:rsidRDefault="00DA7551" w:rsidP="00DA7551">
            <w:pPr>
              <w:spacing w:after="0" w:line="240" w:lineRule="auto"/>
              <w:jc w:val="center"/>
              <w:rPr>
                <w:rFonts w:ascii="Times New Roman" w:eastAsia="Times New Roman" w:hAnsi="Times New Roman" w:cs="Times New Roman"/>
                <w:szCs w:val="20"/>
                <w:lang w:eastAsia="es-ES"/>
              </w:rPr>
            </w:pPr>
          </w:p>
        </w:tc>
        <w:tc>
          <w:tcPr>
            <w:tcW w:w="1355" w:type="dxa"/>
            <w:tcBorders>
              <w:top w:val="single" w:sz="8" w:space="0" w:color="auto"/>
              <w:left w:val="single" w:sz="8" w:space="0" w:color="auto"/>
              <w:bottom w:val="nil"/>
              <w:right w:val="nil"/>
            </w:tcBorders>
            <w:shd w:val="clear" w:color="000000" w:fill="FF0000"/>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FFFFFF"/>
                <w:szCs w:val="20"/>
                <w:lang w:eastAsia="es-ES"/>
              </w:rPr>
            </w:pPr>
            <w:r w:rsidRPr="00A71B61">
              <w:rPr>
                <w:rFonts w:ascii="Calibri" w:eastAsia="Times New Roman" w:hAnsi="Calibri" w:cs="Times New Roman"/>
                <w:b/>
                <w:bCs/>
                <w:color w:val="FFFFFF"/>
                <w:szCs w:val="20"/>
                <w:lang w:eastAsia="es-ES"/>
              </w:rPr>
              <w:t>ST</w:t>
            </w:r>
          </w:p>
        </w:tc>
        <w:tc>
          <w:tcPr>
            <w:tcW w:w="1618" w:type="dxa"/>
            <w:tcBorders>
              <w:top w:val="single" w:sz="8" w:space="0" w:color="auto"/>
              <w:left w:val="nil"/>
              <w:bottom w:val="nil"/>
              <w:right w:val="nil"/>
            </w:tcBorders>
            <w:shd w:val="clear" w:color="000000" w:fill="FF0000"/>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FFFFFF"/>
                <w:szCs w:val="20"/>
                <w:lang w:eastAsia="es-ES"/>
              </w:rPr>
            </w:pPr>
            <w:r w:rsidRPr="00A71B61">
              <w:rPr>
                <w:rFonts w:ascii="Calibri" w:eastAsia="Times New Roman" w:hAnsi="Calibri" w:cs="Times New Roman"/>
                <w:b/>
                <w:bCs/>
                <w:color w:val="FFFFFF"/>
                <w:szCs w:val="20"/>
                <w:lang w:eastAsia="es-ES"/>
              </w:rPr>
              <w:t>C. de Hematíes</w:t>
            </w:r>
          </w:p>
        </w:tc>
        <w:tc>
          <w:tcPr>
            <w:tcW w:w="1322" w:type="dxa"/>
            <w:tcBorders>
              <w:top w:val="single" w:sz="8" w:space="0" w:color="auto"/>
              <w:left w:val="single" w:sz="8" w:space="0" w:color="auto"/>
              <w:bottom w:val="nil"/>
              <w:right w:val="nil"/>
            </w:tcBorders>
            <w:shd w:val="clear" w:color="000000" w:fill="FFFF00"/>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Plasma</w:t>
            </w:r>
          </w:p>
        </w:tc>
        <w:tc>
          <w:tcPr>
            <w:tcW w:w="1323" w:type="dxa"/>
            <w:tcBorders>
              <w:top w:val="single" w:sz="8" w:space="0" w:color="auto"/>
              <w:left w:val="single" w:sz="8" w:space="0" w:color="auto"/>
              <w:bottom w:val="nil"/>
              <w:right w:val="single" w:sz="8" w:space="0" w:color="auto"/>
            </w:tcBorders>
            <w:shd w:val="clear" w:color="000000" w:fill="A9D08E"/>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Plaquetas</w:t>
            </w:r>
          </w:p>
        </w:tc>
      </w:tr>
      <w:tr w:rsidR="00DA7551" w:rsidRPr="00A71B61" w:rsidTr="0099617B">
        <w:trPr>
          <w:trHeight w:val="354"/>
        </w:trPr>
        <w:tc>
          <w:tcPr>
            <w:tcW w:w="72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1</w:t>
            </w:r>
          </w:p>
        </w:tc>
        <w:tc>
          <w:tcPr>
            <w:tcW w:w="3213" w:type="dxa"/>
            <w:vMerge w:val="restart"/>
            <w:tcBorders>
              <w:top w:val="single" w:sz="4" w:space="0" w:color="auto"/>
              <w:left w:val="single" w:sz="4" w:space="0" w:color="auto"/>
              <w:bottom w:val="single" w:sz="4" w:space="0" w:color="auto"/>
              <w:right w:val="nil"/>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Donación</w:t>
            </w:r>
          </w:p>
        </w:tc>
        <w:tc>
          <w:tcPr>
            <w:tcW w:w="1355" w:type="dxa"/>
            <w:tcBorders>
              <w:top w:val="single" w:sz="8" w:space="0" w:color="auto"/>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3</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384</w:t>
            </w:r>
          </w:p>
        </w:tc>
        <w:tc>
          <w:tcPr>
            <w:tcW w:w="1618"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588</w:t>
            </w:r>
          </w:p>
        </w:tc>
        <w:tc>
          <w:tcPr>
            <w:tcW w:w="1322"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5</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694</w:t>
            </w:r>
          </w:p>
        </w:tc>
        <w:tc>
          <w:tcPr>
            <w:tcW w:w="1323"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26</w:t>
            </w:r>
          </w:p>
        </w:tc>
      </w:tr>
      <w:tr w:rsidR="00DA7551" w:rsidRPr="00A71B61" w:rsidTr="0099617B">
        <w:trPr>
          <w:trHeight w:val="354"/>
        </w:trPr>
        <w:tc>
          <w:tcPr>
            <w:tcW w:w="726" w:type="dxa"/>
            <w:vMerge/>
            <w:tcBorders>
              <w:top w:val="single" w:sz="4" w:space="0" w:color="auto"/>
              <w:left w:val="single" w:sz="4" w:space="0" w:color="auto"/>
              <w:bottom w:val="single" w:sz="4" w:space="0" w:color="auto"/>
              <w:right w:val="single" w:sz="4" w:space="0" w:color="auto"/>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3213" w:type="dxa"/>
            <w:vMerge/>
            <w:tcBorders>
              <w:top w:val="single" w:sz="4" w:space="0" w:color="auto"/>
              <w:left w:val="single" w:sz="4" w:space="0" w:color="auto"/>
              <w:bottom w:val="single" w:sz="4" w:space="0" w:color="auto"/>
              <w:right w:val="nil"/>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1355" w:type="dxa"/>
            <w:tcBorders>
              <w:top w:val="nil"/>
              <w:left w:val="single" w:sz="4"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93%</w:t>
            </w:r>
          </w:p>
        </w:tc>
        <w:tc>
          <w:tcPr>
            <w:tcW w:w="1618"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20%</w:t>
            </w:r>
          </w:p>
        </w:tc>
        <w:tc>
          <w:tcPr>
            <w:tcW w:w="1322"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63%</w:t>
            </w:r>
          </w:p>
        </w:tc>
        <w:tc>
          <w:tcPr>
            <w:tcW w:w="1323"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20%</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1.1</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Cuestionario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49</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402</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385</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1.2</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Bajo peso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r w:rsidR="00C13BAB" w:rsidRPr="00A71B61">
              <w:rPr>
                <w:rFonts w:ascii="Calibri" w:eastAsia="Times New Roman" w:hAnsi="Calibri" w:cs="Times New Roman"/>
                <w:color w:val="000000"/>
                <w:szCs w:val="20"/>
                <w:lang w:eastAsia="es-ES"/>
              </w:rPr>
              <w:t>.</w:t>
            </w:r>
            <w:r w:rsidRPr="00A71B61">
              <w:rPr>
                <w:rFonts w:ascii="Calibri" w:eastAsia="Times New Roman" w:hAnsi="Calibri" w:cs="Times New Roman"/>
                <w:color w:val="000000"/>
                <w:szCs w:val="20"/>
                <w:lang w:eastAsia="es-ES"/>
              </w:rPr>
              <w:t>186</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79</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30</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5</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1.3</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Exceso de peso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10</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323"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1.4</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Sistema abierto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145</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69</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250</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12</w:t>
            </w:r>
          </w:p>
        </w:tc>
      </w:tr>
      <w:tr w:rsidR="00DA7551" w:rsidRPr="00A71B61" w:rsidTr="0099617B">
        <w:trPr>
          <w:trHeight w:val="372"/>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1.5</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Aspecto anómalo/coágulos</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28</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5</w:t>
            </w:r>
            <w:r w:rsidR="00C13BAB" w:rsidRPr="00A71B61">
              <w:rPr>
                <w:rFonts w:ascii="Calibri" w:eastAsia="Times New Roman" w:hAnsi="Calibri" w:cs="Times New Roman"/>
                <w:color w:val="000000"/>
                <w:szCs w:val="20"/>
                <w:lang w:eastAsia="es-ES"/>
              </w:rPr>
              <w:t>.</w:t>
            </w:r>
            <w:r w:rsidRPr="00A71B61">
              <w:rPr>
                <w:rFonts w:ascii="Calibri" w:eastAsia="Times New Roman" w:hAnsi="Calibri" w:cs="Times New Roman"/>
                <w:color w:val="000000"/>
                <w:szCs w:val="20"/>
                <w:lang w:eastAsia="es-ES"/>
              </w:rPr>
              <w:t>028</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p>
        </w:tc>
      </w:tr>
      <w:tr w:rsidR="00DA7551" w:rsidRPr="00A71B61" w:rsidTr="0099617B">
        <w:trPr>
          <w:trHeight w:val="341"/>
        </w:trPr>
        <w:tc>
          <w:tcPr>
            <w:tcW w:w="72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w:t>
            </w:r>
          </w:p>
        </w:tc>
        <w:tc>
          <w:tcPr>
            <w:tcW w:w="3213" w:type="dxa"/>
            <w:vMerge w:val="restart"/>
            <w:tcBorders>
              <w:top w:val="single" w:sz="4" w:space="0" w:color="auto"/>
              <w:left w:val="single" w:sz="4" w:space="0" w:color="auto"/>
              <w:bottom w:val="single" w:sz="4" w:space="0" w:color="auto"/>
              <w:right w:val="nil"/>
            </w:tcBorders>
            <w:shd w:val="clear" w:color="000000" w:fill="D9D9D9"/>
            <w:noWrap/>
            <w:vAlign w:val="center"/>
            <w:hideMark/>
          </w:tcPr>
          <w:p w:rsidR="00DA7551" w:rsidRPr="00A71B61" w:rsidRDefault="00546058" w:rsidP="00DA7551">
            <w:pPr>
              <w:spacing w:after="0" w:line="240" w:lineRule="auto"/>
              <w:ind w:firstLineChars="100" w:firstLine="200"/>
              <w:jc w:val="right"/>
              <w:rPr>
                <w:rFonts w:ascii="Calibri" w:eastAsia="Times New Roman" w:hAnsi="Calibri" w:cs="Times New Roman"/>
                <w:b/>
                <w:bCs/>
                <w:color w:val="000000"/>
                <w:szCs w:val="20"/>
                <w:lang w:eastAsia="es-ES"/>
              </w:rPr>
            </w:pPr>
            <w:hyperlink r:id="rId84" w:anchor="RANGE!A1" w:history="1">
              <w:r w:rsidR="00DA7551" w:rsidRPr="00A71B61">
                <w:rPr>
                  <w:rFonts w:ascii="Calibri" w:eastAsia="Times New Roman" w:hAnsi="Calibri" w:cs="Times New Roman"/>
                  <w:b/>
                  <w:bCs/>
                  <w:color w:val="000000"/>
                  <w:szCs w:val="20"/>
                  <w:lang w:eastAsia="es-ES"/>
                </w:rPr>
                <w:t>Analítica</w:t>
              </w:r>
            </w:hyperlink>
          </w:p>
        </w:tc>
        <w:tc>
          <w:tcPr>
            <w:tcW w:w="1355" w:type="dxa"/>
            <w:tcBorders>
              <w:top w:val="single" w:sz="8" w:space="0" w:color="auto"/>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54</w:t>
            </w:r>
          </w:p>
        </w:tc>
        <w:tc>
          <w:tcPr>
            <w:tcW w:w="1618"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1</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392</w:t>
            </w:r>
          </w:p>
        </w:tc>
        <w:tc>
          <w:tcPr>
            <w:tcW w:w="1322"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168</w:t>
            </w:r>
          </w:p>
        </w:tc>
        <w:tc>
          <w:tcPr>
            <w:tcW w:w="1323"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9</w:t>
            </w:r>
          </w:p>
        </w:tc>
      </w:tr>
      <w:tr w:rsidR="00DA7551" w:rsidRPr="00A71B61" w:rsidTr="0099617B">
        <w:trPr>
          <w:trHeight w:val="354"/>
        </w:trPr>
        <w:tc>
          <w:tcPr>
            <w:tcW w:w="726" w:type="dxa"/>
            <w:vMerge/>
            <w:tcBorders>
              <w:top w:val="single" w:sz="4" w:space="0" w:color="auto"/>
              <w:left w:val="single" w:sz="4" w:space="0" w:color="auto"/>
              <w:bottom w:val="single" w:sz="4" w:space="0" w:color="auto"/>
              <w:right w:val="single" w:sz="4" w:space="0" w:color="auto"/>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3213" w:type="dxa"/>
            <w:vMerge/>
            <w:tcBorders>
              <w:top w:val="single" w:sz="4" w:space="0" w:color="auto"/>
              <w:left w:val="single" w:sz="4" w:space="0" w:color="auto"/>
              <w:bottom w:val="single" w:sz="4" w:space="0" w:color="auto"/>
              <w:right w:val="nil"/>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1355" w:type="dxa"/>
            <w:tcBorders>
              <w:top w:val="nil"/>
              <w:left w:val="single" w:sz="4"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618"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47%</w:t>
            </w:r>
          </w:p>
        </w:tc>
        <w:tc>
          <w:tcPr>
            <w:tcW w:w="1322"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24%</w:t>
            </w:r>
          </w:p>
        </w:tc>
        <w:tc>
          <w:tcPr>
            <w:tcW w:w="1323"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7%</w:t>
            </w:r>
          </w:p>
        </w:tc>
      </w:tr>
      <w:tr w:rsidR="00DA7551" w:rsidRPr="00A71B61" w:rsidTr="0099617B">
        <w:trPr>
          <w:trHeight w:val="341"/>
        </w:trPr>
        <w:tc>
          <w:tcPr>
            <w:tcW w:w="72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3</w:t>
            </w:r>
          </w:p>
        </w:tc>
        <w:tc>
          <w:tcPr>
            <w:tcW w:w="3213" w:type="dxa"/>
            <w:vMerge w:val="restart"/>
            <w:tcBorders>
              <w:top w:val="single" w:sz="4" w:space="0" w:color="auto"/>
              <w:left w:val="single" w:sz="4" w:space="0" w:color="auto"/>
              <w:bottom w:val="single" w:sz="4" w:space="0" w:color="auto"/>
              <w:right w:val="nil"/>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Fraccionamiento</w:t>
            </w:r>
          </w:p>
        </w:tc>
        <w:tc>
          <w:tcPr>
            <w:tcW w:w="1355" w:type="dxa"/>
            <w:tcBorders>
              <w:top w:val="nil"/>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179</w:t>
            </w:r>
          </w:p>
        </w:tc>
        <w:tc>
          <w:tcPr>
            <w:tcW w:w="1618" w:type="dxa"/>
            <w:tcBorders>
              <w:top w:val="nil"/>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525</w:t>
            </w:r>
          </w:p>
        </w:tc>
        <w:tc>
          <w:tcPr>
            <w:tcW w:w="1322" w:type="dxa"/>
            <w:tcBorders>
              <w:top w:val="nil"/>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1</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001</w:t>
            </w:r>
          </w:p>
        </w:tc>
        <w:tc>
          <w:tcPr>
            <w:tcW w:w="1323" w:type="dxa"/>
            <w:tcBorders>
              <w:top w:val="nil"/>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42</w:t>
            </w:r>
          </w:p>
        </w:tc>
      </w:tr>
      <w:tr w:rsidR="00DA7551" w:rsidRPr="00A71B61" w:rsidTr="0099617B">
        <w:trPr>
          <w:trHeight w:val="354"/>
        </w:trPr>
        <w:tc>
          <w:tcPr>
            <w:tcW w:w="726" w:type="dxa"/>
            <w:vMerge/>
            <w:tcBorders>
              <w:top w:val="single" w:sz="4" w:space="0" w:color="auto"/>
              <w:left w:val="single" w:sz="4" w:space="0" w:color="auto"/>
              <w:bottom w:val="single" w:sz="4" w:space="0" w:color="auto"/>
              <w:right w:val="single" w:sz="4" w:space="0" w:color="auto"/>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3213" w:type="dxa"/>
            <w:vMerge/>
            <w:tcBorders>
              <w:top w:val="single" w:sz="4" w:space="0" w:color="auto"/>
              <w:left w:val="single" w:sz="4" w:space="0" w:color="auto"/>
              <w:bottom w:val="single" w:sz="4" w:space="0" w:color="auto"/>
              <w:right w:val="nil"/>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1355" w:type="dxa"/>
            <w:tcBorders>
              <w:top w:val="nil"/>
              <w:left w:val="single" w:sz="4"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5%</w:t>
            </w:r>
          </w:p>
        </w:tc>
        <w:tc>
          <w:tcPr>
            <w:tcW w:w="1618"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18%</w:t>
            </w:r>
          </w:p>
        </w:tc>
        <w:tc>
          <w:tcPr>
            <w:tcW w:w="1322"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11%</w:t>
            </w:r>
          </w:p>
        </w:tc>
        <w:tc>
          <w:tcPr>
            <w:tcW w:w="1323"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33%</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3.1</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Contaminación hematíes</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REF!</w:t>
            </w:r>
          </w:p>
        </w:tc>
        <w:tc>
          <w:tcPr>
            <w:tcW w:w="1618"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REF!</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123</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21</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3.2</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Sistema abierto/roto/alterado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96</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236</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260</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12</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3.3</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Anomalía de centrifugación</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55</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3.4</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Anomalía fraccionador</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24</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299</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3.5</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Anomalía usuario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19</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27</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3.6</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Anomalía congelación /Tª</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9</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3.7</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Fallo de identificación</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3.8</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Fallo de sellado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17</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124</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99</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3.9</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Fallo filtración</w:t>
            </w:r>
          </w:p>
        </w:tc>
        <w:tc>
          <w:tcPr>
            <w:tcW w:w="1355"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109</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54"/>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3.10</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Fallo inactivación</w:t>
            </w:r>
          </w:p>
        </w:tc>
        <w:tc>
          <w:tcPr>
            <w:tcW w:w="1355"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c>
          <w:tcPr>
            <w:tcW w:w="1618"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EF!</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148</w:t>
            </w:r>
          </w:p>
        </w:tc>
        <w:tc>
          <w:tcPr>
            <w:tcW w:w="1323" w:type="dxa"/>
            <w:tcBorders>
              <w:top w:val="nil"/>
              <w:left w:val="single" w:sz="4" w:space="0" w:color="auto"/>
              <w:bottom w:val="single" w:sz="4" w:space="0" w:color="auto"/>
              <w:right w:val="single" w:sz="4" w:space="0" w:color="auto"/>
            </w:tcBorders>
            <w:shd w:val="clear" w:color="auto" w:fill="auto"/>
            <w:noWrap/>
            <w:vAlign w:val="bottom"/>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p>
        </w:tc>
      </w:tr>
      <w:tr w:rsidR="00DA7551" w:rsidRPr="00A71B61" w:rsidTr="0099617B">
        <w:trPr>
          <w:trHeight w:val="372"/>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3.11</w:t>
            </w:r>
          </w:p>
        </w:tc>
        <w:tc>
          <w:tcPr>
            <w:tcW w:w="3213" w:type="dxa"/>
            <w:tcBorders>
              <w:top w:val="single" w:sz="4" w:space="0" w:color="auto"/>
              <w:left w:val="single" w:sz="4" w:space="0" w:color="auto"/>
              <w:bottom w:val="single" w:sz="4" w:space="0" w:color="auto"/>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Otras causas fraccionamiento</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5</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28</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w:t>
            </w:r>
          </w:p>
        </w:tc>
      </w:tr>
      <w:tr w:rsidR="00DA7551" w:rsidRPr="00A71B61" w:rsidTr="0099617B">
        <w:trPr>
          <w:trHeight w:val="341"/>
        </w:trPr>
        <w:tc>
          <w:tcPr>
            <w:tcW w:w="726" w:type="dxa"/>
            <w:vMerge w:val="restart"/>
            <w:tcBorders>
              <w:top w:val="single" w:sz="4" w:space="0" w:color="auto"/>
              <w:left w:val="single" w:sz="8" w:space="0" w:color="auto"/>
              <w:bottom w:val="single" w:sz="8" w:space="0" w:color="000000"/>
              <w:right w:val="single" w:sz="8" w:space="0" w:color="auto"/>
            </w:tcBorders>
            <w:shd w:val="clear" w:color="000000" w:fill="D9D9D9"/>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4</w:t>
            </w:r>
          </w:p>
        </w:tc>
        <w:tc>
          <w:tcPr>
            <w:tcW w:w="3213" w:type="dxa"/>
            <w:vMerge w:val="restart"/>
            <w:tcBorders>
              <w:top w:val="single" w:sz="4" w:space="0" w:color="auto"/>
              <w:left w:val="single" w:sz="8" w:space="0" w:color="auto"/>
              <w:bottom w:val="single" w:sz="8" w:space="0" w:color="000000"/>
              <w:right w:val="nil"/>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Hemovigilancia</w:t>
            </w:r>
          </w:p>
        </w:tc>
        <w:tc>
          <w:tcPr>
            <w:tcW w:w="1355" w:type="dxa"/>
            <w:tcBorders>
              <w:top w:val="single" w:sz="8" w:space="0" w:color="auto"/>
              <w:left w:val="single" w:sz="4" w:space="0" w:color="auto"/>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w:t>
            </w:r>
          </w:p>
        </w:tc>
        <w:tc>
          <w:tcPr>
            <w:tcW w:w="1618"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40</w:t>
            </w:r>
          </w:p>
        </w:tc>
        <w:tc>
          <w:tcPr>
            <w:tcW w:w="1322"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22</w:t>
            </w:r>
          </w:p>
        </w:tc>
        <w:tc>
          <w:tcPr>
            <w:tcW w:w="1323" w:type="dxa"/>
            <w:tcBorders>
              <w:top w:val="single" w:sz="8" w:space="0" w:color="auto"/>
              <w:left w:val="nil"/>
              <w:bottom w:val="single" w:sz="4" w:space="0" w:color="auto"/>
              <w:right w:val="single" w:sz="4" w:space="0" w:color="auto"/>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3</w:t>
            </w:r>
          </w:p>
        </w:tc>
      </w:tr>
      <w:tr w:rsidR="00DA7551" w:rsidRPr="00A71B61" w:rsidTr="0099617B">
        <w:trPr>
          <w:trHeight w:val="354"/>
        </w:trPr>
        <w:tc>
          <w:tcPr>
            <w:tcW w:w="726" w:type="dxa"/>
            <w:vMerge/>
            <w:tcBorders>
              <w:top w:val="single" w:sz="8" w:space="0" w:color="auto"/>
              <w:left w:val="single" w:sz="8" w:space="0" w:color="auto"/>
              <w:bottom w:val="single" w:sz="8" w:space="0" w:color="000000"/>
              <w:right w:val="single" w:sz="8" w:space="0" w:color="auto"/>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3213" w:type="dxa"/>
            <w:vMerge/>
            <w:tcBorders>
              <w:top w:val="single" w:sz="8" w:space="0" w:color="auto"/>
              <w:left w:val="single" w:sz="8" w:space="0" w:color="auto"/>
              <w:bottom w:val="single" w:sz="8" w:space="0" w:color="000000"/>
              <w:right w:val="nil"/>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1355" w:type="dxa"/>
            <w:tcBorders>
              <w:top w:val="nil"/>
              <w:left w:val="single" w:sz="4"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0%</w:t>
            </w:r>
          </w:p>
        </w:tc>
        <w:tc>
          <w:tcPr>
            <w:tcW w:w="1618"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322"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0%</w:t>
            </w:r>
          </w:p>
        </w:tc>
        <w:tc>
          <w:tcPr>
            <w:tcW w:w="1323"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r>
      <w:tr w:rsidR="00DA7551" w:rsidRPr="00A71B61" w:rsidTr="0099617B">
        <w:trPr>
          <w:trHeight w:val="341"/>
        </w:trPr>
        <w:tc>
          <w:tcPr>
            <w:tcW w:w="726"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5</w:t>
            </w:r>
          </w:p>
        </w:tc>
        <w:tc>
          <w:tcPr>
            <w:tcW w:w="3213" w:type="dxa"/>
            <w:vMerge w:val="restart"/>
            <w:tcBorders>
              <w:top w:val="nil"/>
              <w:left w:val="single" w:sz="8" w:space="0" w:color="auto"/>
              <w:bottom w:val="single" w:sz="8" w:space="0" w:color="000000"/>
              <w:right w:val="nil"/>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Control de calidad</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356</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115</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43</w:t>
            </w:r>
          </w:p>
        </w:tc>
      </w:tr>
      <w:tr w:rsidR="00DA7551" w:rsidRPr="00A71B61" w:rsidTr="0099617B">
        <w:trPr>
          <w:trHeight w:val="354"/>
        </w:trPr>
        <w:tc>
          <w:tcPr>
            <w:tcW w:w="726" w:type="dxa"/>
            <w:vMerge/>
            <w:tcBorders>
              <w:top w:val="nil"/>
              <w:left w:val="single" w:sz="8" w:space="0" w:color="auto"/>
              <w:bottom w:val="single" w:sz="8" w:space="0" w:color="000000"/>
              <w:right w:val="single" w:sz="8" w:space="0" w:color="auto"/>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3213" w:type="dxa"/>
            <w:vMerge/>
            <w:tcBorders>
              <w:top w:val="nil"/>
              <w:left w:val="single" w:sz="8" w:space="0" w:color="auto"/>
              <w:bottom w:val="single" w:sz="8" w:space="0" w:color="000000"/>
              <w:right w:val="nil"/>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1355" w:type="dxa"/>
            <w:tcBorders>
              <w:top w:val="nil"/>
              <w:left w:val="single" w:sz="4"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0%</w:t>
            </w:r>
          </w:p>
        </w:tc>
        <w:tc>
          <w:tcPr>
            <w:tcW w:w="1618"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12%</w:t>
            </w:r>
          </w:p>
        </w:tc>
        <w:tc>
          <w:tcPr>
            <w:tcW w:w="1322"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323"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34%</w:t>
            </w:r>
          </w:p>
        </w:tc>
      </w:tr>
      <w:tr w:rsidR="00DA7551" w:rsidRPr="00A71B61" w:rsidTr="0099617B">
        <w:trPr>
          <w:trHeight w:val="341"/>
        </w:trPr>
        <w:tc>
          <w:tcPr>
            <w:tcW w:w="726"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rsidR="00DA7551" w:rsidRPr="00A71B61" w:rsidRDefault="00DA7551" w:rsidP="00DA7551">
            <w:pPr>
              <w:spacing w:after="0" w:line="240" w:lineRule="auto"/>
              <w:jc w:val="center"/>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6</w:t>
            </w:r>
          </w:p>
        </w:tc>
        <w:tc>
          <w:tcPr>
            <w:tcW w:w="3213" w:type="dxa"/>
            <w:vMerge w:val="restart"/>
            <w:tcBorders>
              <w:top w:val="nil"/>
              <w:left w:val="single" w:sz="8" w:space="0" w:color="auto"/>
              <w:bottom w:val="single" w:sz="8" w:space="0" w:color="000000"/>
              <w:right w:val="nil"/>
            </w:tcBorders>
            <w:shd w:val="clear" w:color="000000" w:fill="D9D9D9"/>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Otras causas</w:t>
            </w:r>
          </w:p>
        </w:tc>
        <w:tc>
          <w:tcPr>
            <w:tcW w:w="1355" w:type="dxa"/>
            <w:tcBorders>
              <w:top w:val="nil"/>
              <w:left w:val="single" w:sz="4" w:space="0" w:color="auto"/>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8</w:t>
            </w:r>
          </w:p>
        </w:tc>
        <w:tc>
          <w:tcPr>
            <w:tcW w:w="1618"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66</w:t>
            </w:r>
          </w:p>
        </w:tc>
        <w:tc>
          <w:tcPr>
            <w:tcW w:w="1322"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99</w:t>
            </w:r>
          </w:p>
        </w:tc>
        <w:tc>
          <w:tcPr>
            <w:tcW w:w="1323" w:type="dxa"/>
            <w:tcBorders>
              <w:top w:val="nil"/>
              <w:left w:val="nil"/>
              <w:bottom w:val="single" w:sz="4" w:space="0" w:color="auto"/>
              <w:right w:val="single" w:sz="4" w:space="0" w:color="auto"/>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w:t>
            </w:r>
          </w:p>
        </w:tc>
      </w:tr>
      <w:tr w:rsidR="00DA7551" w:rsidRPr="00A71B61" w:rsidTr="0099617B">
        <w:trPr>
          <w:trHeight w:val="354"/>
        </w:trPr>
        <w:tc>
          <w:tcPr>
            <w:tcW w:w="726" w:type="dxa"/>
            <w:vMerge/>
            <w:tcBorders>
              <w:top w:val="nil"/>
              <w:left w:val="single" w:sz="8" w:space="0" w:color="auto"/>
              <w:bottom w:val="single" w:sz="8" w:space="0" w:color="000000"/>
              <w:right w:val="single" w:sz="8" w:space="0" w:color="auto"/>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3213" w:type="dxa"/>
            <w:vMerge/>
            <w:tcBorders>
              <w:top w:val="nil"/>
              <w:left w:val="single" w:sz="8" w:space="0" w:color="auto"/>
              <w:bottom w:val="single" w:sz="8" w:space="0" w:color="000000"/>
              <w:right w:val="nil"/>
            </w:tcBorders>
            <w:vAlign w:val="center"/>
            <w:hideMark/>
          </w:tcPr>
          <w:p w:rsidR="00DA7551" w:rsidRPr="00A71B61" w:rsidRDefault="00DA7551" w:rsidP="00DA7551">
            <w:pPr>
              <w:spacing w:after="0" w:line="240" w:lineRule="auto"/>
              <w:rPr>
                <w:rFonts w:ascii="Calibri" w:eastAsia="Times New Roman" w:hAnsi="Calibri" w:cs="Times New Roman"/>
                <w:b/>
                <w:bCs/>
                <w:color w:val="000000"/>
                <w:szCs w:val="20"/>
                <w:lang w:eastAsia="es-ES"/>
              </w:rPr>
            </w:pPr>
          </w:p>
        </w:tc>
        <w:tc>
          <w:tcPr>
            <w:tcW w:w="1355" w:type="dxa"/>
            <w:tcBorders>
              <w:top w:val="nil"/>
              <w:left w:val="single" w:sz="4"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0%</w:t>
            </w:r>
          </w:p>
        </w:tc>
        <w:tc>
          <w:tcPr>
            <w:tcW w:w="1618"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w:t>
            </w:r>
          </w:p>
        </w:tc>
        <w:tc>
          <w:tcPr>
            <w:tcW w:w="1322"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w:t>
            </w:r>
          </w:p>
        </w:tc>
        <w:tc>
          <w:tcPr>
            <w:tcW w:w="1323" w:type="dxa"/>
            <w:tcBorders>
              <w:top w:val="nil"/>
              <w:left w:val="nil"/>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w:t>
            </w:r>
          </w:p>
        </w:tc>
      </w:tr>
      <w:tr w:rsidR="00DA7551" w:rsidRPr="00A71B61" w:rsidTr="0099617B">
        <w:trPr>
          <w:trHeight w:val="389"/>
        </w:trPr>
        <w:tc>
          <w:tcPr>
            <w:tcW w:w="726" w:type="dxa"/>
            <w:tcBorders>
              <w:top w:val="nil"/>
              <w:left w:val="nil"/>
              <w:bottom w:val="nil"/>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p>
        </w:tc>
        <w:tc>
          <w:tcPr>
            <w:tcW w:w="3213" w:type="dxa"/>
            <w:tcBorders>
              <w:top w:val="nil"/>
              <w:left w:val="single" w:sz="8" w:space="0" w:color="auto"/>
              <w:bottom w:val="single" w:sz="8" w:space="0" w:color="auto"/>
              <w:right w:val="nil"/>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Rechazos totales</w:t>
            </w:r>
          </w:p>
        </w:tc>
        <w:tc>
          <w:tcPr>
            <w:tcW w:w="1355" w:type="dxa"/>
            <w:tcBorders>
              <w:top w:val="nil"/>
              <w:left w:val="single" w:sz="4" w:space="0" w:color="auto"/>
              <w:bottom w:val="single" w:sz="4"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3</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628</w:t>
            </w:r>
          </w:p>
        </w:tc>
        <w:tc>
          <w:tcPr>
            <w:tcW w:w="1618" w:type="dxa"/>
            <w:tcBorders>
              <w:top w:val="nil"/>
              <w:left w:val="nil"/>
              <w:bottom w:val="single" w:sz="4"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29</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67</w:t>
            </w:r>
          </w:p>
        </w:tc>
        <w:tc>
          <w:tcPr>
            <w:tcW w:w="1322" w:type="dxa"/>
            <w:tcBorders>
              <w:top w:val="nil"/>
              <w:left w:val="nil"/>
              <w:bottom w:val="single" w:sz="4"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9</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099</w:t>
            </w:r>
          </w:p>
        </w:tc>
        <w:tc>
          <w:tcPr>
            <w:tcW w:w="1323" w:type="dxa"/>
            <w:tcBorders>
              <w:top w:val="nil"/>
              <w:left w:val="nil"/>
              <w:bottom w:val="single" w:sz="4"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127</w:t>
            </w:r>
          </w:p>
        </w:tc>
      </w:tr>
      <w:tr w:rsidR="00DA7551" w:rsidRPr="00A71B61" w:rsidTr="0099617B">
        <w:trPr>
          <w:trHeight w:val="389"/>
        </w:trPr>
        <w:tc>
          <w:tcPr>
            <w:tcW w:w="726" w:type="dxa"/>
            <w:tcBorders>
              <w:top w:val="nil"/>
              <w:left w:val="nil"/>
              <w:bottom w:val="nil"/>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p>
        </w:tc>
        <w:tc>
          <w:tcPr>
            <w:tcW w:w="3213" w:type="dxa"/>
            <w:tcBorders>
              <w:top w:val="nil"/>
              <w:left w:val="single" w:sz="8" w:space="0" w:color="auto"/>
              <w:bottom w:val="single" w:sz="8" w:space="0" w:color="auto"/>
              <w:right w:val="nil"/>
            </w:tcBorders>
            <w:shd w:val="clear" w:color="000000" w:fill="4472C4"/>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FFFFFF"/>
                <w:szCs w:val="20"/>
                <w:lang w:eastAsia="es-ES"/>
              </w:rPr>
            </w:pPr>
            <w:r w:rsidRPr="00A71B61">
              <w:rPr>
                <w:rFonts w:ascii="Calibri" w:eastAsia="Times New Roman" w:hAnsi="Calibri" w:cs="Times New Roman"/>
                <w:b/>
                <w:bCs/>
                <w:color w:val="FFFFFF"/>
                <w:szCs w:val="20"/>
                <w:lang w:eastAsia="es-ES"/>
              </w:rPr>
              <w:t>TOTAL FRACCIONAMIENTO</w:t>
            </w:r>
          </w:p>
        </w:tc>
        <w:tc>
          <w:tcPr>
            <w:tcW w:w="1355" w:type="dxa"/>
            <w:tcBorders>
              <w:top w:val="single" w:sz="8" w:space="0" w:color="auto"/>
              <w:left w:val="single" w:sz="8" w:space="0" w:color="auto"/>
              <w:bottom w:val="single" w:sz="8" w:space="0" w:color="auto"/>
              <w:right w:val="single" w:sz="4" w:space="0" w:color="auto"/>
            </w:tcBorders>
            <w:shd w:val="clear" w:color="000000" w:fill="DDEBF7"/>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0,08%</w:t>
            </w:r>
          </w:p>
        </w:tc>
        <w:tc>
          <w:tcPr>
            <w:tcW w:w="1618" w:type="dxa"/>
            <w:tcBorders>
              <w:top w:val="single" w:sz="8" w:space="0" w:color="auto"/>
              <w:left w:val="nil"/>
              <w:bottom w:val="single" w:sz="8" w:space="0" w:color="auto"/>
              <w:right w:val="single" w:sz="4" w:space="0" w:color="auto"/>
            </w:tcBorders>
            <w:shd w:val="clear" w:color="000000" w:fill="DDEBF7"/>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0,24%</w:t>
            </w:r>
          </w:p>
        </w:tc>
        <w:tc>
          <w:tcPr>
            <w:tcW w:w="1322" w:type="dxa"/>
            <w:tcBorders>
              <w:top w:val="single" w:sz="8" w:space="0" w:color="auto"/>
              <w:left w:val="nil"/>
              <w:bottom w:val="single" w:sz="8" w:space="0" w:color="auto"/>
              <w:right w:val="single" w:sz="4" w:space="0" w:color="auto"/>
            </w:tcBorders>
            <w:shd w:val="clear" w:color="000000" w:fill="DDEBF7"/>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0,44%</w:t>
            </w:r>
          </w:p>
        </w:tc>
        <w:tc>
          <w:tcPr>
            <w:tcW w:w="1323" w:type="dxa"/>
            <w:tcBorders>
              <w:top w:val="single" w:sz="8" w:space="0" w:color="auto"/>
              <w:left w:val="nil"/>
              <w:bottom w:val="single" w:sz="8" w:space="0" w:color="auto"/>
              <w:right w:val="single" w:sz="4" w:space="0" w:color="auto"/>
            </w:tcBorders>
            <w:shd w:val="clear" w:color="000000" w:fill="DDEBF7"/>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0,98%</w:t>
            </w:r>
          </w:p>
        </w:tc>
      </w:tr>
      <w:tr w:rsidR="00DA7551" w:rsidRPr="00A71B61" w:rsidTr="0099617B">
        <w:trPr>
          <w:trHeight w:val="425"/>
        </w:trPr>
        <w:tc>
          <w:tcPr>
            <w:tcW w:w="726" w:type="dxa"/>
            <w:tcBorders>
              <w:top w:val="nil"/>
              <w:left w:val="nil"/>
              <w:bottom w:val="nil"/>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p>
        </w:tc>
        <w:tc>
          <w:tcPr>
            <w:tcW w:w="3213" w:type="dxa"/>
            <w:tcBorders>
              <w:top w:val="nil"/>
              <w:left w:val="single" w:sz="8" w:space="0" w:color="auto"/>
              <w:bottom w:val="single" w:sz="8" w:space="0" w:color="auto"/>
              <w:right w:val="single" w:sz="8" w:space="0" w:color="auto"/>
            </w:tcBorders>
            <w:shd w:val="clear" w:color="000000" w:fill="333F4F"/>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TOTALES 2020</w:t>
            </w:r>
          </w:p>
        </w:tc>
        <w:tc>
          <w:tcPr>
            <w:tcW w:w="1355" w:type="dxa"/>
            <w:tcBorders>
              <w:top w:val="nil"/>
              <w:left w:val="nil"/>
              <w:bottom w:val="single" w:sz="8" w:space="0" w:color="auto"/>
              <w:right w:val="single" w:sz="8" w:space="0" w:color="auto"/>
            </w:tcBorders>
            <w:shd w:val="clear" w:color="000000" w:fill="FF0000"/>
            <w:noWrap/>
            <w:vAlign w:val="bottom"/>
            <w:hideMark/>
          </w:tcPr>
          <w:p w:rsidR="00DA7551" w:rsidRPr="00A71B61" w:rsidRDefault="00DA7551" w:rsidP="00DA7551">
            <w:pPr>
              <w:spacing w:after="0" w:line="240" w:lineRule="auto"/>
              <w:jc w:val="center"/>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Sangre Total</w:t>
            </w:r>
          </w:p>
        </w:tc>
        <w:tc>
          <w:tcPr>
            <w:tcW w:w="1618" w:type="dxa"/>
            <w:tcBorders>
              <w:top w:val="nil"/>
              <w:left w:val="nil"/>
              <w:bottom w:val="single" w:sz="8" w:space="0" w:color="auto"/>
              <w:right w:val="single" w:sz="8" w:space="0" w:color="auto"/>
            </w:tcBorders>
            <w:shd w:val="clear" w:color="000000" w:fill="FF0000"/>
            <w:noWrap/>
            <w:vAlign w:val="bottom"/>
            <w:hideMark/>
          </w:tcPr>
          <w:p w:rsidR="00DA7551" w:rsidRPr="00A71B61" w:rsidRDefault="00DA7551" w:rsidP="00DA7551">
            <w:pPr>
              <w:spacing w:after="0" w:line="240" w:lineRule="auto"/>
              <w:jc w:val="center"/>
              <w:rPr>
                <w:rFonts w:ascii="Calibri" w:eastAsia="Times New Roman" w:hAnsi="Calibri" w:cs="Times New Roman"/>
                <w:color w:val="FFFFFF"/>
                <w:szCs w:val="20"/>
                <w:lang w:eastAsia="es-ES"/>
              </w:rPr>
            </w:pPr>
            <w:r w:rsidRPr="00A71B61">
              <w:rPr>
                <w:rFonts w:ascii="Calibri" w:eastAsia="Times New Roman" w:hAnsi="Calibri" w:cs="Times New Roman"/>
                <w:color w:val="FFFFFF"/>
                <w:szCs w:val="20"/>
                <w:lang w:eastAsia="es-ES"/>
              </w:rPr>
              <w:t>C. de Hematíes</w:t>
            </w:r>
          </w:p>
        </w:tc>
        <w:tc>
          <w:tcPr>
            <w:tcW w:w="1322" w:type="dxa"/>
            <w:tcBorders>
              <w:top w:val="nil"/>
              <w:left w:val="nil"/>
              <w:bottom w:val="single" w:sz="8" w:space="0" w:color="auto"/>
              <w:right w:val="nil"/>
            </w:tcBorders>
            <w:shd w:val="clear" w:color="000000" w:fill="FFFF00"/>
            <w:noWrap/>
            <w:vAlign w:val="bottom"/>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Plasma</w:t>
            </w:r>
          </w:p>
        </w:tc>
        <w:tc>
          <w:tcPr>
            <w:tcW w:w="1323" w:type="dxa"/>
            <w:tcBorders>
              <w:top w:val="nil"/>
              <w:left w:val="single" w:sz="8" w:space="0" w:color="auto"/>
              <w:bottom w:val="single" w:sz="8" w:space="0" w:color="auto"/>
              <w:right w:val="single" w:sz="8" w:space="0" w:color="auto"/>
            </w:tcBorders>
            <w:shd w:val="clear" w:color="000000" w:fill="A9D08E"/>
            <w:noWrap/>
            <w:vAlign w:val="bottom"/>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Plaquetas</w:t>
            </w:r>
          </w:p>
        </w:tc>
      </w:tr>
      <w:tr w:rsidR="00DA7551" w:rsidRPr="00A71B61" w:rsidTr="0099617B">
        <w:trPr>
          <w:trHeight w:val="452"/>
        </w:trPr>
        <w:tc>
          <w:tcPr>
            <w:tcW w:w="726" w:type="dxa"/>
            <w:tcBorders>
              <w:top w:val="nil"/>
              <w:left w:val="nil"/>
              <w:bottom w:val="nil"/>
              <w:right w:val="nil"/>
            </w:tcBorders>
            <w:shd w:val="clear" w:color="auto" w:fill="auto"/>
            <w:noWrap/>
            <w:vAlign w:val="bottom"/>
            <w:hideMark/>
          </w:tcPr>
          <w:p w:rsidR="00DA7551" w:rsidRPr="00A71B61" w:rsidRDefault="00DA7551" w:rsidP="00DA7551">
            <w:pPr>
              <w:spacing w:after="0" w:line="240" w:lineRule="auto"/>
              <w:jc w:val="center"/>
              <w:rPr>
                <w:rFonts w:ascii="Calibri" w:eastAsia="Times New Roman" w:hAnsi="Calibri" w:cs="Times New Roman"/>
                <w:color w:val="000000"/>
                <w:szCs w:val="20"/>
                <w:lang w:eastAsia="es-ES"/>
              </w:rPr>
            </w:pPr>
          </w:p>
        </w:tc>
        <w:tc>
          <w:tcPr>
            <w:tcW w:w="3213" w:type="dxa"/>
            <w:tcBorders>
              <w:top w:val="nil"/>
              <w:left w:val="nil"/>
              <w:bottom w:val="nil"/>
              <w:right w:val="nil"/>
            </w:tcBorders>
            <w:shd w:val="clear" w:color="auto" w:fill="auto"/>
            <w:noWrap/>
            <w:vAlign w:val="center"/>
            <w:hideMark/>
          </w:tcPr>
          <w:p w:rsidR="00DA7551" w:rsidRPr="00A71B61" w:rsidRDefault="00DA7551" w:rsidP="00DA7551">
            <w:pPr>
              <w:spacing w:after="0" w:line="240" w:lineRule="auto"/>
              <w:jc w:val="center"/>
              <w:rPr>
                <w:rFonts w:ascii="Times New Roman" w:eastAsia="Times New Roman" w:hAnsi="Times New Roman" w:cs="Times New Roman"/>
                <w:szCs w:val="20"/>
                <w:lang w:eastAsia="es-ES"/>
              </w:rPr>
            </w:pPr>
          </w:p>
        </w:tc>
        <w:tc>
          <w:tcPr>
            <w:tcW w:w="1355" w:type="dxa"/>
            <w:tcBorders>
              <w:top w:val="single" w:sz="4" w:space="0" w:color="auto"/>
              <w:left w:val="single" w:sz="4" w:space="0" w:color="auto"/>
              <w:bottom w:val="single" w:sz="4" w:space="0" w:color="auto"/>
              <w:right w:val="single" w:sz="4" w:space="0" w:color="auto"/>
            </w:tcBorders>
            <w:shd w:val="clear" w:color="000000" w:fill="1F4E78"/>
            <w:noWrap/>
            <w:vAlign w:val="bottom"/>
            <w:hideMark/>
          </w:tcPr>
          <w:p w:rsidR="00DA7551" w:rsidRPr="00A71B61" w:rsidRDefault="00DA7551" w:rsidP="00DA7551">
            <w:pPr>
              <w:spacing w:after="0" w:line="240" w:lineRule="auto"/>
              <w:jc w:val="right"/>
              <w:rPr>
                <w:rFonts w:ascii="Calibri" w:eastAsia="Times New Roman" w:hAnsi="Calibri" w:cs="Times New Roman"/>
                <w:b/>
                <w:bCs/>
                <w:color w:val="FFFFFF"/>
                <w:szCs w:val="20"/>
                <w:lang w:eastAsia="es-ES"/>
              </w:rPr>
            </w:pPr>
            <w:r w:rsidRPr="00A71B61">
              <w:rPr>
                <w:rFonts w:ascii="Calibri" w:eastAsia="Times New Roman" w:hAnsi="Calibri" w:cs="Times New Roman"/>
                <w:b/>
                <w:bCs/>
                <w:color w:val="FFFFFF"/>
                <w:szCs w:val="20"/>
                <w:lang w:eastAsia="es-ES"/>
              </w:rPr>
              <w:t>228</w:t>
            </w:r>
            <w:r w:rsidR="00C13BAB" w:rsidRPr="00A71B61">
              <w:rPr>
                <w:rFonts w:ascii="Calibri" w:eastAsia="Times New Roman" w:hAnsi="Calibri" w:cs="Times New Roman"/>
                <w:b/>
                <w:bCs/>
                <w:color w:val="FFFFFF"/>
                <w:szCs w:val="20"/>
                <w:lang w:eastAsia="es-ES"/>
              </w:rPr>
              <w:t>.</w:t>
            </w:r>
            <w:r w:rsidRPr="00A71B61">
              <w:rPr>
                <w:rFonts w:ascii="Calibri" w:eastAsia="Times New Roman" w:hAnsi="Calibri" w:cs="Times New Roman"/>
                <w:b/>
                <w:bCs/>
                <w:color w:val="FFFFFF"/>
                <w:szCs w:val="20"/>
                <w:lang w:eastAsia="es-ES"/>
              </w:rPr>
              <w:t>454</w:t>
            </w:r>
          </w:p>
        </w:tc>
        <w:tc>
          <w:tcPr>
            <w:tcW w:w="1618" w:type="dxa"/>
            <w:tcBorders>
              <w:top w:val="nil"/>
              <w:left w:val="single" w:sz="8"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222</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197</w:t>
            </w:r>
          </w:p>
        </w:tc>
        <w:tc>
          <w:tcPr>
            <w:tcW w:w="1322" w:type="dxa"/>
            <w:tcBorders>
              <w:top w:val="nil"/>
              <w:left w:val="single" w:sz="8"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szCs w:val="20"/>
                <w:lang w:eastAsia="es-ES"/>
              </w:rPr>
              <w:t>227</w:t>
            </w:r>
            <w:r w:rsidR="00C13BAB" w:rsidRPr="00A71B61">
              <w:rPr>
                <w:rFonts w:ascii="Calibri" w:eastAsia="Times New Roman" w:hAnsi="Calibri" w:cs="Times New Roman"/>
                <w:b/>
                <w:bCs/>
                <w:szCs w:val="20"/>
                <w:lang w:eastAsia="es-ES"/>
              </w:rPr>
              <w:t>.</w:t>
            </w:r>
            <w:r w:rsidRPr="00A71B61">
              <w:rPr>
                <w:rFonts w:ascii="Calibri" w:eastAsia="Times New Roman" w:hAnsi="Calibri" w:cs="Times New Roman"/>
                <w:b/>
                <w:bCs/>
                <w:szCs w:val="20"/>
                <w:lang w:eastAsia="es-ES"/>
              </w:rPr>
              <w:t>487</w:t>
            </w:r>
          </w:p>
        </w:tc>
        <w:tc>
          <w:tcPr>
            <w:tcW w:w="1323" w:type="dxa"/>
            <w:tcBorders>
              <w:top w:val="nil"/>
              <w:left w:val="single" w:sz="8" w:space="0" w:color="auto"/>
              <w:bottom w:val="single" w:sz="8" w:space="0" w:color="auto"/>
              <w:right w:val="single" w:sz="8"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r w:rsidRPr="00A71B61">
              <w:rPr>
                <w:rFonts w:ascii="Calibri" w:eastAsia="Times New Roman" w:hAnsi="Calibri" w:cs="Times New Roman"/>
                <w:b/>
                <w:bCs/>
                <w:color w:val="000000"/>
                <w:szCs w:val="20"/>
                <w:lang w:eastAsia="es-ES"/>
              </w:rPr>
              <w:t>4</w:t>
            </w:r>
            <w:r w:rsidR="00C13BAB" w:rsidRPr="00A71B61">
              <w:rPr>
                <w:rFonts w:ascii="Calibri" w:eastAsia="Times New Roman" w:hAnsi="Calibri" w:cs="Times New Roman"/>
                <w:b/>
                <w:bCs/>
                <w:color w:val="000000"/>
                <w:szCs w:val="20"/>
                <w:lang w:eastAsia="es-ES"/>
              </w:rPr>
              <w:t>.</w:t>
            </w:r>
            <w:r w:rsidRPr="00A71B61">
              <w:rPr>
                <w:rFonts w:ascii="Calibri" w:eastAsia="Times New Roman" w:hAnsi="Calibri" w:cs="Times New Roman"/>
                <w:b/>
                <w:bCs/>
                <w:color w:val="000000"/>
                <w:szCs w:val="20"/>
                <w:lang w:eastAsia="es-ES"/>
              </w:rPr>
              <w:t>300</w:t>
            </w:r>
          </w:p>
        </w:tc>
      </w:tr>
      <w:tr w:rsidR="00DA7551" w:rsidRPr="00A71B61" w:rsidTr="0099617B">
        <w:trPr>
          <w:trHeight w:val="372"/>
        </w:trPr>
        <w:tc>
          <w:tcPr>
            <w:tcW w:w="726" w:type="dxa"/>
            <w:tcBorders>
              <w:top w:val="nil"/>
              <w:left w:val="nil"/>
              <w:bottom w:val="nil"/>
              <w:right w:val="nil"/>
            </w:tcBorders>
            <w:shd w:val="clear" w:color="auto" w:fill="auto"/>
            <w:noWrap/>
            <w:vAlign w:val="bottom"/>
            <w:hideMark/>
          </w:tcPr>
          <w:p w:rsidR="00DA7551" w:rsidRPr="00A71B61" w:rsidRDefault="00DA7551" w:rsidP="00DA7551">
            <w:pPr>
              <w:spacing w:after="0" w:line="240" w:lineRule="auto"/>
              <w:ind w:firstLineChars="100" w:firstLine="200"/>
              <w:jc w:val="right"/>
              <w:rPr>
                <w:rFonts w:ascii="Calibri" w:eastAsia="Times New Roman" w:hAnsi="Calibri" w:cs="Times New Roman"/>
                <w:b/>
                <w:bCs/>
                <w:color w:val="000000"/>
                <w:szCs w:val="20"/>
                <w:lang w:eastAsia="es-ES"/>
              </w:rPr>
            </w:pPr>
          </w:p>
        </w:tc>
        <w:tc>
          <w:tcPr>
            <w:tcW w:w="3213" w:type="dxa"/>
            <w:tcBorders>
              <w:top w:val="nil"/>
              <w:left w:val="nil"/>
              <w:bottom w:val="nil"/>
              <w:right w:val="nil"/>
            </w:tcBorders>
            <w:shd w:val="clear" w:color="auto" w:fill="auto"/>
            <w:noWrap/>
            <w:vAlign w:val="center"/>
            <w:hideMark/>
          </w:tcPr>
          <w:p w:rsidR="00DA7551" w:rsidRPr="00A71B61" w:rsidRDefault="00DA7551" w:rsidP="00DA7551">
            <w:pPr>
              <w:spacing w:after="0" w:line="240" w:lineRule="auto"/>
              <w:jc w:val="center"/>
              <w:rPr>
                <w:rFonts w:ascii="Times New Roman" w:eastAsia="Times New Roman" w:hAnsi="Times New Roman" w:cs="Times New Roman"/>
                <w:szCs w:val="20"/>
                <w:lang w:eastAsia="es-ES"/>
              </w:rPr>
            </w:pPr>
          </w:p>
        </w:tc>
        <w:tc>
          <w:tcPr>
            <w:tcW w:w="1355" w:type="dxa"/>
            <w:tcBorders>
              <w:top w:val="nil"/>
              <w:left w:val="single" w:sz="8"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1,59%</w:t>
            </w:r>
          </w:p>
        </w:tc>
        <w:tc>
          <w:tcPr>
            <w:tcW w:w="1618" w:type="dxa"/>
            <w:tcBorders>
              <w:top w:val="single" w:sz="4" w:space="0" w:color="auto"/>
              <w:left w:val="single" w:sz="8" w:space="0" w:color="auto"/>
              <w:bottom w:val="single" w:sz="8" w:space="0" w:color="auto"/>
              <w:right w:val="single" w:sz="4"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1,34%</w:t>
            </w:r>
          </w:p>
        </w:tc>
        <w:tc>
          <w:tcPr>
            <w:tcW w:w="1322" w:type="dxa"/>
            <w:tcBorders>
              <w:top w:val="single" w:sz="4" w:space="0" w:color="auto"/>
              <w:left w:val="single" w:sz="8" w:space="0" w:color="auto"/>
              <w:bottom w:val="single" w:sz="8" w:space="0" w:color="auto"/>
              <w:right w:val="nil"/>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4,00%</w:t>
            </w:r>
          </w:p>
        </w:tc>
        <w:tc>
          <w:tcPr>
            <w:tcW w:w="1323" w:type="dxa"/>
            <w:tcBorders>
              <w:top w:val="single" w:sz="4" w:space="0" w:color="auto"/>
              <w:left w:val="single" w:sz="8" w:space="0" w:color="auto"/>
              <w:bottom w:val="single" w:sz="8" w:space="0" w:color="auto"/>
              <w:right w:val="single" w:sz="8" w:space="0" w:color="auto"/>
            </w:tcBorders>
            <w:shd w:val="clear" w:color="000000" w:fill="F2F2F2"/>
            <w:noWrap/>
            <w:vAlign w:val="center"/>
            <w:hideMark/>
          </w:tcPr>
          <w:p w:rsidR="00DA7551" w:rsidRPr="00A71B61" w:rsidRDefault="00DA7551" w:rsidP="00DA7551">
            <w:pPr>
              <w:spacing w:after="0" w:line="240" w:lineRule="auto"/>
              <w:ind w:firstLineChars="100" w:firstLine="200"/>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2,95%</w:t>
            </w:r>
          </w:p>
        </w:tc>
      </w:tr>
    </w:tbl>
    <w:p w:rsidR="00DA7551" w:rsidRPr="00A71B61" w:rsidRDefault="00DA7551" w:rsidP="00DA7551">
      <w:pPr>
        <w:rPr>
          <w:szCs w:val="20"/>
        </w:rPr>
      </w:pPr>
    </w:p>
    <w:p w:rsidR="00DA7551" w:rsidRPr="00B51AC6" w:rsidRDefault="00AE04FA" w:rsidP="00B51AC6">
      <w:pPr>
        <w:pStyle w:val="Ttulo2"/>
      </w:pPr>
      <w:bookmarkStart w:id="64" w:name="_Toc90584891"/>
      <w:r w:rsidRPr="00B51AC6">
        <w:lastRenderedPageBreak/>
        <w:t>Control de calidad de componentes</w:t>
      </w:r>
      <w:bookmarkEnd w:id="64"/>
    </w:p>
    <w:p w:rsidR="00AE04FA" w:rsidRPr="00A71B61" w:rsidRDefault="00AE04FA" w:rsidP="00AE04FA">
      <w:pPr>
        <w:rPr>
          <w:szCs w:val="20"/>
        </w:rPr>
      </w:pPr>
    </w:p>
    <w:tbl>
      <w:tblPr>
        <w:tblStyle w:val="Tabladecuadrcula1clara-nfasis1"/>
        <w:tblW w:w="10008" w:type="dxa"/>
        <w:jc w:val="center"/>
        <w:tblLook w:val="04A0" w:firstRow="1" w:lastRow="0" w:firstColumn="1" w:lastColumn="0" w:noHBand="0" w:noVBand="1"/>
      </w:tblPr>
      <w:tblGrid>
        <w:gridCol w:w="1849"/>
        <w:gridCol w:w="1293"/>
        <w:gridCol w:w="1053"/>
        <w:gridCol w:w="1106"/>
        <w:gridCol w:w="1119"/>
        <w:gridCol w:w="1293"/>
        <w:gridCol w:w="1046"/>
        <w:gridCol w:w="1249"/>
      </w:tblGrid>
      <w:tr w:rsidR="00AE04FA" w:rsidRPr="00A71B61" w:rsidTr="00FB078D">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0008" w:type="dxa"/>
            <w:gridSpan w:val="8"/>
            <w:hideMark/>
          </w:tcPr>
          <w:p w:rsidR="00AE04FA" w:rsidRPr="00A71B61" w:rsidRDefault="00AE04FA" w:rsidP="00FB078D">
            <w:pPr>
              <w:jc w:val="center"/>
              <w:rPr>
                <w:rFonts w:ascii="Calibri" w:hAnsi="Calibri" w:cs="Lucida Sans Unicode"/>
                <w:b w:val="0"/>
                <w:color w:val="000000"/>
                <w:szCs w:val="20"/>
                <w:lang w:eastAsia="es-ES"/>
              </w:rPr>
            </w:pPr>
            <w:r w:rsidRPr="00A71B61">
              <w:rPr>
                <w:rFonts w:ascii="Calibri" w:hAnsi="Calibri" w:cs="Lucida Sans Unicode"/>
                <w:b w:val="0"/>
                <w:color w:val="000000"/>
                <w:szCs w:val="20"/>
                <w:lang w:eastAsia="es-ES"/>
              </w:rPr>
              <w:t>CONCENTRADO DE HEMATÍES FILTRADO</w:t>
            </w:r>
          </w:p>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b w:val="0"/>
                <w:color w:val="000000"/>
                <w:szCs w:val="20"/>
                <w:lang w:eastAsia="es-ES"/>
              </w:rPr>
              <w:t>(BOLSA CUÁDRUPLE  FRESENIUS  CON FILTRO PARA CONCENTRADO DE HEMATÍES)</w:t>
            </w:r>
          </w:p>
        </w:tc>
      </w:tr>
      <w:tr w:rsidR="00AE04FA" w:rsidRPr="00A71B61" w:rsidTr="00FB078D">
        <w:trPr>
          <w:trHeight w:val="45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080"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1193"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193"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193"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193"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193"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410"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 (ml)</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200-300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2721</w:t>
            </w:r>
            <w:r w:rsidRPr="00A71B61">
              <w:rPr>
                <w:szCs w:val="20"/>
                <w:vertAlign w:val="superscript"/>
              </w:rPr>
              <w:t>(1)</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200.00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388.68</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259.90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20.37</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97.5 %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HEMOGLOBINA</w:t>
            </w:r>
          </w:p>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(g/u)</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&gt;40  gr/u</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2676</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31.75</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86.30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50.07</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6.20</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96.9 %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rPr>
                <w:rFonts w:ascii="Calibri" w:hAnsi="Calibri" w:cs="Lucida Sans Unicode"/>
                <w:color w:val="000000"/>
                <w:szCs w:val="20"/>
                <w:lang w:eastAsia="es-ES"/>
              </w:rPr>
            </w:pPr>
            <w:r w:rsidRPr="00A71B61">
              <w:rPr>
                <w:rFonts w:ascii="Calibri" w:hAnsi="Calibri" w:cs="Lucida Sans Unicode"/>
                <w:color w:val="000000"/>
                <w:szCs w:val="20"/>
                <w:lang w:eastAsia="es-ES"/>
              </w:rPr>
              <w:t>HEMATOCRITO (%)</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50-70 %</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 xml:space="preserve">2710  </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42.80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76.20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59.83</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3.53</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99.1 %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LEUCOCITOS RESIDUALES</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1 x 10e6/u</w:t>
            </w:r>
          </w:p>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 90%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2099</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4.10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0.01</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0.12</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99.8 %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CULTIVO</w:t>
            </w:r>
          </w:p>
        </w:tc>
        <w:tc>
          <w:tcPr>
            <w:tcW w:w="1080"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NEGATIVO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528</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vertAlign w:val="superscript"/>
                <w:lang w:eastAsia="es-ES"/>
              </w:rPr>
            </w:pPr>
            <w:r w:rsidRPr="00A71B61">
              <w:rPr>
                <w:rFonts w:cs="Lucida Sans Unicode"/>
                <w:color w:val="000000"/>
                <w:szCs w:val="20"/>
                <w:lang w:eastAsia="es-ES"/>
              </w:rPr>
              <w:t xml:space="preserve">NEGATIVO </w:t>
            </w:r>
            <w:r w:rsidRPr="00A71B61">
              <w:rPr>
                <w:rFonts w:cs="Lucida Sans Unicode"/>
                <w:color w:val="000000"/>
                <w:szCs w:val="20"/>
                <w:vertAlign w:val="superscript"/>
                <w:lang w:eastAsia="es-ES"/>
              </w:rPr>
              <w:t>(2)</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410" w:type="dxa"/>
            <w:hideMark/>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99.8 %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HEMÓLISIS</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0.8% de la masa globular</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231</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0.95</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0.32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0.19</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97 %</w:t>
            </w:r>
          </w:p>
        </w:tc>
      </w:tr>
      <w:tr w:rsidR="00AE04FA" w:rsidRPr="00A71B61" w:rsidTr="00FB078D">
        <w:trPr>
          <w:trHeight w:val="586"/>
          <w:jc w:val="center"/>
        </w:trPr>
        <w:tc>
          <w:tcPr>
            <w:cnfStyle w:val="001000000000" w:firstRow="0" w:lastRow="0" w:firstColumn="1" w:lastColumn="0" w:oddVBand="0" w:evenVBand="0" w:oddHBand="0" w:evenHBand="0" w:firstRowFirstColumn="0" w:firstRowLastColumn="0" w:lastRowFirstColumn="0" w:lastRowLastColumn="0"/>
            <w:tcW w:w="10008" w:type="dxa"/>
            <w:gridSpan w:val="8"/>
            <w:hideMark/>
          </w:tcPr>
          <w:p w:rsidR="00AE04FA" w:rsidRPr="00A71B61" w:rsidRDefault="00AE04FA" w:rsidP="00FB078D">
            <w:pPr>
              <w:jc w:val="center"/>
              <w:rPr>
                <w:rFonts w:ascii="Calibri" w:hAnsi="Calibri" w:cs="Lucida Sans Unicode"/>
                <w:b w:val="0"/>
                <w:color w:val="000000"/>
                <w:szCs w:val="20"/>
                <w:lang w:eastAsia="es-ES"/>
              </w:rPr>
            </w:pPr>
            <w:r w:rsidRPr="00A71B61">
              <w:rPr>
                <w:rFonts w:ascii="Calibri" w:hAnsi="Calibri" w:cs="Lucida Sans Unicode"/>
                <w:b w:val="0"/>
                <w:color w:val="000000"/>
                <w:szCs w:val="20"/>
                <w:lang w:eastAsia="es-ES"/>
              </w:rPr>
              <w:t>CONCENTRADO DE HEMATÍES FILTRADO CPD</w:t>
            </w:r>
          </w:p>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b w:val="0"/>
                <w:color w:val="000000"/>
                <w:szCs w:val="20"/>
                <w:lang w:eastAsia="es-ES"/>
              </w:rPr>
              <w:t>(BOLSA CUÁDRUPLE FRESENIUS CON FILTRO PARA S. TOTAL)</w:t>
            </w:r>
          </w:p>
        </w:tc>
      </w:tr>
      <w:tr w:rsidR="00AE04FA" w:rsidRPr="00A71B61" w:rsidTr="00FB078D">
        <w:trPr>
          <w:trHeight w:hRule="exact" w:val="495"/>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080"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410"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 (ml)</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200-300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183.02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316.98</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246.71</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23.96</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96.0 %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cs="Lucida Sans Unicode"/>
                <w:color w:val="000000"/>
                <w:szCs w:val="20"/>
                <w:lang w:eastAsia="es-ES"/>
              </w:rPr>
            </w:pPr>
            <w:r w:rsidRPr="00A71B61">
              <w:rPr>
                <w:rFonts w:cs="Lucida Sans Unicode"/>
                <w:color w:val="000000"/>
                <w:szCs w:val="20"/>
                <w:lang w:eastAsia="es-ES"/>
              </w:rPr>
              <w:t>HEMOGLOBINA (g/u)</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&gt;40  gr/u</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42.09</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75.94</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57.92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7.52</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FB078D">
        <w:trPr>
          <w:trHeight w:hRule="exact" w:val="410"/>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rPr>
                <w:rFonts w:ascii="Calibri" w:hAnsi="Calibri" w:cs="Lucida Sans Unicode"/>
                <w:color w:val="000000"/>
                <w:szCs w:val="20"/>
                <w:lang w:eastAsia="es-ES"/>
              </w:rPr>
            </w:pPr>
            <w:r w:rsidRPr="00A71B61">
              <w:rPr>
                <w:rFonts w:ascii="Calibri" w:hAnsi="Calibri" w:cs="Lucida Sans Unicode"/>
                <w:color w:val="000000"/>
                <w:szCs w:val="20"/>
                <w:lang w:eastAsia="es-ES"/>
              </w:rPr>
              <w:t>HEMATOCRITO (%)</w:t>
            </w:r>
          </w:p>
        </w:tc>
        <w:tc>
          <w:tcPr>
            <w:tcW w:w="108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50-70 %</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52.00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84.6</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68.02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6.07</w:t>
            </w:r>
          </w:p>
        </w:tc>
        <w:tc>
          <w:tcPr>
            <w:tcW w:w="141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64.1 %</w:t>
            </w:r>
          </w:p>
        </w:tc>
      </w:tr>
      <w:tr w:rsidR="00AE04FA" w:rsidRPr="00A71B61" w:rsidTr="00FB078D">
        <w:trPr>
          <w:trHeight w:hRule="exact" w:val="790"/>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cs="Lucida Sans Unicode"/>
                <w:color w:val="000000"/>
                <w:szCs w:val="20"/>
                <w:lang w:eastAsia="es-ES"/>
              </w:rPr>
            </w:pPr>
            <w:r w:rsidRPr="00A71B61">
              <w:rPr>
                <w:rFonts w:cs="Lucida Sans Unicode"/>
                <w:color w:val="000000"/>
                <w:szCs w:val="20"/>
                <w:lang w:eastAsia="es-ES"/>
              </w:rPr>
              <w:t>LEUCOCITOS RESIDUALES</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1 x 10e6/u</w:t>
            </w:r>
          </w:p>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 90%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82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0.42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0.07</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0.11</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FB078D">
        <w:trPr>
          <w:trHeight w:hRule="exact" w:val="453"/>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cs="Lucida Sans Unicode"/>
                <w:color w:val="000000" w:themeColor="text1"/>
                <w:szCs w:val="20"/>
                <w:lang w:eastAsia="es-ES"/>
              </w:rPr>
            </w:pPr>
            <w:r w:rsidRPr="00A71B61">
              <w:rPr>
                <w:rFonts w:cs="Lucida Sans Unicode"/>
                <w:color w:val="000000" w:themeColor="text1"/>
                <w:szCs w:val="20"/>
                <w:lang w:eastAsia="es-ES"/>
              </w:rPr>
              <w:t>HEMÓLISIS</w:t>
            </w:r>
          </w:p>
        </w:tc>
        <w:tc>
          <w:tcPr>
            <w:tcW w:w="108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&lt; 0.8% de la masa globular</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FF0000"/>
                <w:szCs w:val="20"/>
              </w:rPr>
            </w:pP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410" w:type="dxa"/>
          </w:tcPr>
          <w:p w:rsidR="00AE04FA" w:rsidRPr="00A71B61" w:rsidRDefault="00AE04FA" w:rsidP="00FB078D">
            <w:pPr>
              <w:spacing w:line="192" w:lineRule="auto"/>
              <w:cnfStyle w:val="000000000000" w:firstRow="0" w:lastRow="0" w:firstColumn="0" w:lastColumn="0" w:oddVBand="0" w:evenVBand="0" w:oddHBand="0" w:evenHBand="0" w:firstRowFirstColumn="0" w:firstRowLastColumn="0" w:lastRowFirstColumn="0" w:lastRowLastColumn="0"/>
              <w:rPr>
                <w:szCs w:val="20"/>
              </w:rPr>
            </w:pPr>
          </w:p>
        </w:tc>
      </w:tr>
      <w:tr w:rsidR="00AE04FA" w:rsidRPr="00A71B61" w:rsidTr="00FB078D">
        <w:trPr>
          <w:trHeight w:val="586"/>
          <w:jc w:val="center"/>
        </w:trPr>
        <w:tc>
          <w:tcPr>
            <w:cnfStyle w:val="001000000000" w:firstRow="0" w:lastRow="0" w:firstColumn="1" w:lastColumn="0" w:oddVBand="0" w:evenVBand="0" w:oddHBand="0" w:evenHBand="0" w:firstRowFirstColumn="0" w:firstRowLastColumn="0" w:lastRowFirstColumn="0" w:lastRowLastColumn="0"/>
            <w:tcW w:w="10008" w:type="dxa"/>
            <w:gridSpan w:val="8"/>
            <w:hideMark/>
          </w:tcPr>
          <w:p w:rsidR="00AE04FA" w:rsidRPr="00A71B61" w:rsidRDefault="00AE04FA" w:rsidP="00FB078D">
            <w:pPr>
              <w:jc w:val="center"/>
              <w:rPr>
                <w:rFonts w:cs="Lucida Sans Unicode"/>
                <w:b w:val="0"/>
                <w:color w:val="000000"/>
                <w:szCs w:val="20"/>
                <w:lang w:eastAsia="es-ES"/>
              </w:rPr>
            </w:pPr>
            <w:r w:rsidRPr="00A71B61">
              <w:rPr>
                <w:rFonts w:cs="Lucida Sans Unicode"/>
                <w:b w:val="0"/>
                <w:color w:val="000000"/>
                <w:szCs w:val="20"/>
                <w:lang w:eastAsia="es-ES"/>
              </w:rPr>
              <w:t>CONCENTRADO DE HEMATÍES POR ERITROFÉRESIS</w:t>
            </w:r>
          </w:p>
          <w:p w:rsidR="00AE04FA" w:rsidRPr="00A71B61" w:rsidRDefault="00AE04FA" w:rsidP="00FB078D">
            <w:pPr>
              <w:jc w:val="center"/>
              <w:rPr>
                <w:rFonts w:cs="Lucida Sans Unicode"/>
                <w:color w:val="000000"/>
                <w:szCs w:val="20"/>
                <w:lang w:eastAsia="es-ES"/>
              </w:rPr>
            </w:pPr>
          </w:p>
        </w:tc>
      </w:tr>
      <w:tr w:rsidR="00AE04FA" w:rsidRPr="00A71B61" w:rsidTr="00FB078D">
        <w:trPr>
          <w:trHeight w:val="530"/>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080"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410"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FB078D">
        <w:trPr>
          <w:trHeight w:val="469"/>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 (ml)</w:t>
            </w:r>
          </w:p>
        </w:tc>
        <w:tc>
          <w:tcPr>
            <w:tcW w:w="108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200-330</w:t>
            </w:r>
            <w:r w:rsidRPr="00A71B61">
              <w:rPr>
                <w:szCs w:val="20"/>
                <w:vertAlign w:val="superscript"/>
              </w:rPr>
              <w:t>(3)</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210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128.30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340.57</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310.75</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16.71</w:t>
            </w:r>
          </w:p>
        </w:tc>
        <w:tc>
          <w:tcPr>
            <w:tcW w:w="141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98.6 %</w:t>
            </w:r>
          </w:p>
        </w:tc>
      </w:tr>
      <w:tr w:rsidR="00AE04FA" w:rsidRPr="00A71B61" w:rsidTr="00FB078D">
        <w:trPr>
          <w:trHeight w:val="469"/>
          <w:jc w:val="center"/>
        </w:trPr>
        <w:tc>
          <w:tcPr>
            <w:cnfStyle w:val="001000000000" w:firstRow="0" w:lastRow="0" w:firstColumn="1" w:lastColumn="0" w:oddVBand="0" w:evenVBand="0" w:oddHBand="0" w:evenHBand="0" w:firstRowFirstColumn="0" w:firstRowLastColumn="0" w:lastRowFirstColumn="0" w:lastRowLastColumn="0"/>
            <w:tcW w:w="1551" w:type="dxa"/>
            <w:hideMark/>
          </w:tcPr>
          <w:p w:rsidR="00AE04FA" w:rsidRPr="00A71B61" w:rsidRDefault="00AE04FA" w:rsidP="00FB078D">
            <w:pPr>
              <w:jc w:val="center"/>
              <w:rPr>
                <w:rFonts w:cs="Lucida Sans Unicode"/>
                <w:color w:val="000000"/>
                <w:szCs w:val="20"/>
                <w:lang w:eastAsia="es-ES"/>
              </w:rPr>
            </w:pPr>
            <w:r w:rsidRPr="00A71B61">
              <w:rPr>
                <w:rFonts w:cs="Lucida Sans Unicode"/>
                <w:color w:val="000000"/>
                <w:szCs w:val="20"/>
                <w:lang w:eastAsia="es-ES"/>
              </w:rPr>
              <w:t>HEMOGLOBINA (g/u)</w:t>
            </w:r>
          </w:p>
        </w:tc>
        <w:tc>
          <w:tcPr>
            <w:tcW w:w="108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&gt;40  gr/u</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208</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21.30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60.81</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52.07</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4.61</w:t>
            </w:r>
          </w:p>
        </w:tc>
        <w:tc>
          <w:tcPr>
            <w:tcW w:w="1410" w:type="dxa"/>
            <w:hideMark/>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98.6 %</w:t>
            </w:r>
          </w:p>
        </w:tc>
      </w:tr>
      <w:tr w:rsidR="00AE04FA" w:rsidRPr="00A71B61" w:rsidTr="00FB078D">
        <w:trPr>
          <w:trHeight w:val="469"/>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rPr>
                <w:rFonts w:ascii="Calibri" w:hAnsi="Calibri" w:cs="Lucida Sans Unicode"/>
                <w:color w:val="000000"/>
                <w:szCs w:val="20"/>
                <w:lang w:eastAsia="es-ES"/>
              </w:rPr>
            </w:pPr>
            <w:r w:rsidRPr="00A71B61">
              <w:rPr>
                <w:rFonts w:ascii="Calibri" w:hAnsi="Calibri" w:cs="Lucida Sans Unicode"/>
                <w:color w:val="000000"/>
                <w:szCs w:val="20"/>
                <w:lang w:eastAsia="es-ES"/>
              </w:rPr>
              <w:t xml:space="preserve">   HEMATOCRITO</w:t>
            </w:r>
          </w:p>
        </w:tc>
        <w:tc>
          <w:tcPr>
            <w:tcW w:w="108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50-70 %</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209</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32.90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59.00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51.23</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3.47</w:t>
            </w:r>
          </w:p>
        </w:tc>
        <w:tc>
          <w:tcPr>
            <w:tcW w:w="141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76.1 %</w:t>
            </w:r>
          </w:p>
        </w:tc>
      </w:tr>
      <w:tr w:rsidR="00AE04FA" w:rsidRPr="00A71B61" w:rsidTr="00FB078D">
        <w:trPr>
          <w:trHeight w:val="469"/>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cs="Lucida Sans Unicode"/>
                <w:color w:val="000000"/>
                <w:szCs w:val="20"/>
                <w:lang w:eastAsia="es-ES"/>
              </w:rPr>
            </w:pPr>
            <w:r w:rsidRPr="00A71B61">
              <w:rPr>
                <w:rFonts w:cs="Lucida Sans Unicode"/>
                <w:color w:val="000000"/>
                <w:szCs w:val="20"/>
                <w:lang w:eastAsia="es-ES"/>
              </w:rPr>
              <w:t>LEUCOCITOS RESIDUALES</w:t>
            </w:r>
          </w:p>
        </w:tc>
        <w:tc>
          <w:tcPr>
            <w:tcW w:w="108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1 x 10e6/u</w:t>
            </w:r>
          </w:p>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 90%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205</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highlight w:val="yellow"/>
              </w:rPr>
            </w:pPr>
            <w:r w:rsidRPr="00A71B61">
              <w:rPr>
                <w:szCs w:val="20"/>
              </w:rPr>
              <w:t>72.47</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highlight w:val="yellow"/>
              </w:rPr>
            </w:pPr>
            <w:r w:rsidRPr="00A71B61">
              <w:rPr>
                <w:szCs w:val="20"/>
              </w:rPr>
              <w:t>1.32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highlight w:val="yellow"/>
              </w:rPr>
            </w:pPr>
            <w:r w:rsidRPr="00A71B61">
              <w:rPr>
                <w:szCs w:val="20"/>
              </w:rPr>
              <w:t>7.47</w:t>
            </w:r>
          </w:p>
        </w:tc>
        <w:tc>
          <w:tcPr>
            <w:tcW w:w="141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szCs w:val="20"/>
                <w:highlight w:val="yellow"/>
              </w:rPr>
            </w:pPr>
            <w:r w:rsidRPr="00A71B61">
              <w:rPr>
                <w:szCs w:val="20"/>
              </w:rPr>
              <w:t>87.8 %</w:t>
            </w:r>
          </w:p>
        </w:tc>
      </w:tr>
      <w:tr w:rsidR="00AE04FA" w:rsidRPr="00A71B61" w:rsidTr="00FB078D">
        <w:trPr>
          <w:trHeight w:val="469"/>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CULTIVO</w:t>
            </w:r>
          </w:p>
        </w:tc>
        <w:tc>
          <w:tcPr>
            <w:tcW w:w="1080"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NEGATIVO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1</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NEGATIVO</w:t>
            </w:r>
          </w:p>
        </w:tc>
        <w:tc>
          <w:tcPr>
            <w:tcW w:w="1193"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410" w:type="dxa"/>
          </w:tcPr>
          <w:p w:rsidR="00AE04FA" w:rsidRPr="00A71B61" w:rsidRDefault="00AE04FA" w:rsidP="00FB078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100 %</w:t>
            </w:r>
          </w:p>
        </w:tc>
      </w:tr>
      <w:tr w:rsidR="00AE04FA" w:rsidRPr="00A71B61" w:rsidTr="00FB078D">
        <w:trPr>
          <w:trHeight w:val="469"/>
          <w:jc w:val="center"/>
        </w:trPr>
        <w:tc>
          <w:tcPr>
            <w:cnfStyle w:val="001000000000" w:firstRow="0" w:lastRow="0" w:firstColumn="1" w:lastColumn="0" w:oddVBand="0" w:evenVBand="0" w:oddHBand="0" w:evenHBand="0" w:firstRowFirstColumn="0" w:firstRowLastColumn="0" w:lastRowFirstColumn="0" w:lastRowLastColumn="0"/>
            <w:tcW w:w="1551" w:type="dxa"/>
          </w:tcPr>
          <w:p w:rsidR="00AE04FA" w:rsidRPr="00A71B61" w:rsidRDefault="00AE04FA" w:rsidP="00FB078D">
            <w:pPr>
              <w:jc w:val="center"/>
              <w:rPr>
                <w:rFonts w:cs="Lucida Sans Unicode"/>
                <w:color w:val="000000" w:themeColor="text1"/>
                <w:szCs w:val="20"/>
                <w:lang w:eastAsia="es-ES"/>
              </w:rPr>
            </w:pPr>
            <w:r w:rsidRPr="00A71B61">
              <w:rPr>
                <w:rFonts w:cs="Lucida Sans Unicode"/>
                <w:color w:val="000000" w:themeColor="text1"/>
                <w:szCs w:val="20"/>
                <w:lang w:eastAsia="es-ES"/>
              </w:rPr>
              <w:t>HEMÓLISIS</w:t>
            </w:r>
          </w:p>
        </w:tc>
        <w:tc>
          <w:tcPr>
            <w:tcW w:w="108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&lt; 0.8% de la masa globular</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6</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0.22</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0.79</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0.45</w:t>
            </w:r>
          </w:p>
        </w:tc>
        <w:tc>
          <w:tcPr>
            <w:tcW w:w="1193"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0.24</w:t>
            </w:r>
          </w:p>
        </w:tc>
        <w:tc>
          <w:tcPr>
            <w:tcW w:w="1410" w:type="dxa"/>
          </w:tcPr>
          <w:p w:rsidR="00AE04FA" w:rsidRPr="00A71B61" w:rsidRDefault="00AE04FA" w:rsidP="00FB078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100 %</w:t>
            </w:r>
          </w:p>
        </w:tc>
      </w:tr>
    </w:tbl>
    <w:p w:rsidR="00AE04FA" w:rsidRPr="00A71B61" w:rsidRDefault="00AE04FA" w:rsidP="00AE04FA">
      <w:pPr>
        <w:rPr>
          <w:szCs w:val="20"/>
        </w:rPr>
      </w:pPr>
    </w:p>
    <w:p w:rsidR="00AE04FA" w:rsidRPr="00A71B61" w:rsidRDefault="00AE04FA" w:rsidP="00AE04FA">
      <w:pPr>
        <w:rPr>
          <w:szCs w:val="20"/>
        </w:rPr>
      </w:pPr>
    </w:p>
    <w:tbl>
      <w:tblPr>
        <w:tblStyle w:val="Tabladecuadrcula1clara-nfasis1"/>
        <w:tblpPr w:leftFromText="141" w:rightFromText="141" w:vertAnchor="page" w:horzAnchor="margin" w:tblpXSpec="center" w:tblpY="13616"/>
        <w:tblW w:w="10042" w:type="dxa"/>
        <w:tblLook w:val="04A0" w:firstRow="1" w:lastRow="0" w:firstColumn="1" w:lastColumn="0" w:noHBand="0" w:noVBand="1"/>
      </w:tblPr>
      <w:tblGrid>
        <w:gridCol w:w="10042"/>
      </w:tblGrid>
      <w:tr w:rsidR="009E04A8" w:rsidRPr="00A71B61" w:rsidTr="00A122A0">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0042" w:type="dxa"/>
            <w:hideMark/>
          </w:tcPr>
          <w:p w:rsidR="009E04A8" w:rsidRPr="00A71B61" w:rsidRDefault="009E04A8" w:rsidP="004D69BD">
            <w:pPr>
              <w:jc w:val="center"/>
              <w:rPr>
                <w:rFonts w:ascii="Calibri" w:hAnsi="Calibri" w:cs="Times New Roman"/>
                <w:color w:val="000000"/>
                <w:szCs w:val="20"/>
                <w:lang w:eastAsia="es-ES"/>
              </w:rPr>
            </w:pPr>
            <w:r w:rsidRPr="00A71B61">
              <w:rPr>
                <w:rFonts w:ascii="Calibri" w:hAnsi="Calibri" w:cs="Lucida Sans Unicode"/>
                <w:color w:val="000000"/>
                <w:szCs w:val="20"/>
                <w:lang w:eastAsia="es-ES"/>
              </w:rPr>
              <w:lastRenderedPageBreak/>
              <w:t>Observaciones</w:t>
            </w:r>
          </w:p>
        </w:tc>
      </w:tr>
      <w:tr w:rsidR="00AE04FA" w:rsidRPr="00A71B61" w:rsidTr="00A122A0">
        <w:trPr>
          <w:trHeight w:val="579"/>
        </w:trPr>
        <w:tc>
          <w:tcPr>
            <w:cnfStyle w:val="001000000000" w:firstRow="0" w:lastRow="0" w:firstColumn="1" w:lastColumn="0" w:oddVBand="0" w:evenVBand="0" w:oddHBand="0" w:evenHBand="0" w:firstRowFirstColumn="0" w:firstRowLastColumn="0" w:lastRowFirstColumn="0" w:lastRowLastColumn="0"/>
            <w:tcW w:w="10042" w:type="dxa"/>
            <w:hideMark/>
          </w:tcPr>
          <w:p w:rsidR="00AE04FA" w:rsidRPr="00A71B61" w:rsidRDefault="00AE04FA" w:rsidP="00846064">
            <w:pPr>
              <w:pStyle w:val="Prrafodelista"/>
              <w:numPr>
                <w:ilvl w:val="0"/>
                <w:numId w:val="5"/>
              </w:numPr>
              <w:contextualSpacing w:val="0"/>
              <w:rPr>
                <w:rFonts w:ascii="Calibri" w:hAnsi="Calibri" w:cs="Lucida Sans Unicode"/>
                <w:color w:val="000000"/>
                <w:szCs w:val="20"/>
                <w:lang w:eastAsia="es-ES"/>
              </w:rPr>
            </w:pPr>
            <w:r w:rsidRPr="00A71B61">
              <w:rPr>
                <w:rFonts w:ascii="Calibri" w:hAnsi="Calibri" w:cs="Lucida Sans Unicode"/>
                <w:color w:val="000000"/>
                <w:szCs w:val="20"/>
                <w:lang w:eastAsia="es-ES"/>
              </w:rPr>
              <w:t>Sobre 220.691 CH filtrados, 1173 CH en CPD y 327 eritroféresis</w:t>
            </w:r>
          </w:p>
          <w:p w:rsidR="00AE04FA" w:rsidRPr="00A71B61" w:rsidRDefault="00AE04FA" w:rsidP="00846064">
            <w:pPr>
              <w:pStyle w:val="Prrafodelista"/>
              <w:numPr>
                <w:ilvl w:val="0"/>
                <w:numId w:val="5"/>
              </w:numPr>
              <w:contextualSpacing w:val="0"/>
              <w:rPr>
                <w:rFonts w:ascii="Calibri" w:hAnsi="Calibri" w:cs="Lucida Sans Unicode"/>
                <w:color w:val="000000"/>
                <w:szCs w:val="20"/>
                <w:lang w:eastAsia="es-ES"/>
              </w:rPr>
            </w:pPr>
            <w:r w:rsidRPr="00A71B61">
              <w:rPr>
                <w:rFonts w:ascii="Calibri" w:hAnsi="Calibri" w:cs="Lucida Sans Unicode"/>
                <w:color w:val="000000"/>
                <w:szCs w:val="20"/>
                <w:lang w:eastAsia="es-ES"/>
              </w:rPr>
              <w:t xml:space="preserve">2 cultivos positivos, uno por bacilo Gram + anaerobio y un coco Gram +  </w:t>
            </w:r>
          </w:p>
          <w:p w:rsidR="00AE04FA" w:rsidRPr="00A71B61" w:rsidRDefault="00AE04FA" w:rsidP="00846064">
            <w:pPr>
              <w:pStyle w:val="Prrafodelista"/>
              <w:numPr>
                <w:ilvl w:val="0"/>
                <w:numId w:val="5"/>
              </w:numPr>
              <w:contextualSpacing w:val="0"/>
              <w:rPr>
                <w:rFonts w:ascii="Calibri" w:hAnsi="Calibri" w:cs="Lucida Sans Unicode"/>
                <w:color w:val="000000"/>
                <w:szCs w:val="20"/>
                <w:lang w:eastAsia="es-ES"/>
              </w:rPr>
            </w:pPr>
            <w:r w:rsidRPr="00A71B61">
              <w:rPr>
                <w:rFonts w:ascii="Calibri" w:hAnsi="Calibri" w:cs="Lucida Sans Unicode"/>
                <w:color w:val="000000"/>
                <w:szCs w:val="20"/>
                <w:lang w:eastAsia="es-ES"/>
              </w:rPr>
              <w:t>Definido por el sistema utilizado</w:t>
            </w:r>
          </w:p>
        </w:tc>
      </w:tr>
    </w:tbl>
    <w:p w:rsidR="00D9208F" w:rsidRPr="00A71B61" w:rsidRDefault="00D9208F">
      <w:pPr>
        <w:rPr>
          <w:szCs w:val="20"/>
        </w:rPr>
      </w:pPr>
    </w:p>
    <w:p w:rsidR="00FB078D" w:rsidRPr="00A71B61" w:rsidRDefault="00FB078D">
      <w:pPr>
        <w:rPr>
          <w:szCs w:val="20"/>
        </w:rPr>
      </w:pPr>
    </w:p>
    <w:tbl>
      <w:tblPr>
        <w:tblStyle w:val="Tabladecuadrcula1clara-nfasis1"/>
        <w:tblW w:w="9674" w:type="dxa"/>
        <w:jc w:val="center"/>
        <w:tblLook w:val="04A0" w:firstRow="1" w:lastRow="0" w:firstColumn="1" w:lastColumn="0" w:noHBand="0" w:noVBand="1"/>
      </w:tblPr>
      <w:tblGrid>
        <w:gridCol w:w="1297"/>
        <w:gridCol w:w="1564"/>
        <w:gridCol w:w="863"/>
        <w:gridCol w:w="1155"/>
        <w:gridCol w:w="1161"/>
        <w:gridCol w:w="1293"/>
        <w:gridCol w:w="1127"/>
        <w:gridCol w:w="1214"/>
      </w:tblGrid>
      <w:tr w:rsidR="00AE04FA" w:rsidRPr="00A71B61" w:rsidTr="00A122A0">
        <w:trPr>
          <w:cnfStyle w:val="100000000000" w:firstRow="1" w:lastRow="0" w:firstColumn="0" w:lastColumn="0" w:oddVBand="0" w:evenVBand="0" w:oddHBand="0"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b w:val="0"/>
                <w:color w:val="000000"/>
                <w:szCs w:val="20"/>
                <w:lang w:eastAsia="es-ES"/>
              </w:rPr>
              <w:t>POOLES DE PLAQUETAS FILTRADOS de 4 y 5 Buffys</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616"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784"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274"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 (ml)</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&gt;40 ml/ 0.6x10e11 Plaq</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1734</w:t>
            </w:r>
            <w:r w:rsidRPr="00A71B61">
              <w:rPr>
                <w:szCs w:val="20"/>
                <w:vertAlign w:val="superscript"/>
              </w:rPr>
              <w:t>(1)</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169.31</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462.38</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357.95</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40.23</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 xml:space="preserve">96.0 % </w:t>
            </w:r>
            <w:r w:rsidRPr="00A71B61">
              <w:rPr>
                <w:szCs w:val="20"/>
                <w:vertAlign w:val="superscript"/>
              </w:rPr>
              <w:t>(2)</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themeColor="text1"/>
                <w:szCs w:val="20"/>
                <w:lang w:eastAsia="es-ES"/>
              </w:rPr>
            </w:pPr>
            <w:r w:rsidRPr="00A71B61">
              <w:rPr>
                <w:rFonts w:ascii="Calibri" w:hAnsi="Calibri" w:cs="Lucida Sans Unicode"/>
                <w:color w:val="000000" w:themeColor="text1"/>
                <w:szCs w:val="20"/>
                <w:lang w:eastAsia="es-ES"/>
              </w:rPr>
              <w:t>PLAQUETAS (x10e11/u</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&gt;2.4 x10e11/u</w:t>
            </w: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(&gt;90 % uds)</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1714</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1.66</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5.23</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3.36</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0.56</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95.6 %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LEUCOCITOS RESIDUALES</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1 x 10e6/u</w:t>
            </w: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(&gt;90 % uds)</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378</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0.36</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0.01</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0.04</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pH</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&gt;6,4</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152</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6.68</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7.60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7.21</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0.12</w:t>
            </w:r>
          </w:p>
        </w:tc>
        <w:tc>
          <w:tcPr>
            <w:tcW w:w="1274" w:type="dxa"/>
            <w:hideMark/>
          </w:tcPr>
          <w:p w:rsidR="00AE04FA" w:rsidRPr="00A71B61" w:rsidRDefault="00AE04FA" w:rsidP="004D69BD">
            <w:pPr>
              <w:spacing w:line="192" w:lineRule="auto"/>
              <w:ind w:left="95"/>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CULTIVO</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NEGATIVO</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99</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rFonts w:cs="Lucida Sans Unicode"/>
                <w:color w:val="000000"/>
                <w:szCs w:val="20"/>
                <w:lang w:eastAsia="es-ES"/>
              </w:rPr>
              <w:t>NEGATIVO</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274" w:type="dxa"/>
            <w:hideMark/>
          </w:tcPr>
          <w:p w:rsidR="00AE04FA" w:rsidRPr="00A71B61" w:rsidRDefault="00AE04FA" w:rsidP="004D69BD">
            <w:pPr>
              <w:spacing w:line="192" w:lineRule="auto"/>
              <w:ind w:left="95"/>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A122A0">
        <w:trPr>
          <w:trHeight w:val="344"/>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AE04FA" w:rsidRPr="00A71B61" w:rsidRDefault="00AE04FA" w:rsidP="004D69BD">
            <w:pPr>
              <w:jc w:val="center"/>
              <w:rPr>
                <w:rFonts w:ascii="Calibri" w:hAnsi="Calibri" w:cs="Lucida Sans Unicode"/>
                <w:color w:val="000000"/>
                <w:szCs w:val="20"/>
                <w:lang w:eastAsia="es-ES"/>
              </w:rPr>
            </w:pPr>
          </w:p>
        </w:tc>
      </w:tr>
      <w:tr w:rsidR="00AE04FA" w:rsidRPr="00A71B61" w:rsidTr="00A122A0">
        <w:trPr>
          <w:trHeight w:val="549"/>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b w:val="0"/>
                <w:color w:val="000000"/>
                <w:szCs w:val="20"/>
                <w:lang w:eastAsia="es-ES"/>
              </w:rPr>
              <w:t>POOLES DE PLAQUETAS INACTIVADOS</w:t>
            </w:r>
          </w:p>
        </w:tc>
      </w:tr>
      <w:tr w:rsidR="00AE04FA" w:rsidRPr="00A71B61" w:rsidTr="00A122A0">
        <w:trPr>
          <w:trHeight w:val="401"/>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616"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784"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274"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 (ml)</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&gt;180 ml</w:t>
            </w:r>
            <w:r w:rsidRPr="00A71B61">
              <w:rPr>
                <w:szCs w:val="20"/>
                <w:vertAlign w:val="superscript"/>
              </w:rPr>
              <w:t>(3)</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822</w:t>
            </w:r>
            <w:r w:rsidRPr="00A71B61">
              <w:rPr>
                <w:szCs w:val="20"/>
                <w:vertAlign w:val="superscript"/>
              </w:rPr>
              <w:t>(4)</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156.44</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299.01</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198.41</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9.88</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93.8 %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themeColor="text1"/>
                <w:szCs w:val="20"/>
                <w:lang w:eastAsia="es-ES"/>
              </w:rPr>
            </w:pPr>
            <w:r w:rsidRPr="00A71B61">
              <w:rPr>
                <w:rFonts w:ascii="Calibri" w:hAnsi="Calibri" w:cs="Lucida Sans Unicode"/>
                <w:color w:val="000000" w:themeColor="text1"/>
                <w:szCs w:val="20"/>
                <w:lang w:eastAsia="es-ES"/>
              </w:rPr>
              <w:t>PLAQUETAS (x10e11/u</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&gt;2.4 x10e11/u</w:t>
            </w: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(&gt;90 % uds)</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815</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1.98</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4.32</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3.02</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0.30</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98.4 %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LEUCOCITOS RESIDUALES</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1 x 10e6/u</w:t>
            </w: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(&gt;90 % uds)</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126</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0.26</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0.01</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0.04</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pH</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&gt;6,4</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149</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6.70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7.36</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7.15</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0.11</w:t>
            </w:r>
          </w:p>
        </w:tc>
        <w:tc>
          <w:tcPr>
            <w:tcW w:w="1274" w:type="dxa"/>
            <w:hideMark/>
          </w:tcPr>
          <w:p w:rsidR="00AE04FA" w:rsidRPr="00A71B61" w:rsidRDefault="00AE04FA" w:rsidP="004D69BD">
            <w:pPr>
              <w:spacing w:line="192" w:lineRule="auto"/>
              <w:ind w:left="95"/>
              <w:cnfStyle w:val="000000000000" w:firstRow="0" w:lastRow="0" w:firstColumn="0" w:lastColumn="0" w:oddVBand="0" w:evenVBand="0" w:oddHBand="0" w:evenHBand="0" w:firstRowFirstColumn="0" w:firstRowLastColumn="0" w:lastRowFirstColumn="0" w:lastRowLastColumn="0"/>
              <w:rPr>
                <w:szCs w:val="20"/>
              </w:rPr>
            </w:pPr>
            <w:r w:rsidRPr="00A71B61">
              <w:rPr>
                <w:szCs w:val="20"/>
              </w:rPr>
              <w:t xml:space="preserve">      100 %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CULTIVO</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NEGATIVO</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11</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NEGATIVO</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274" w:type="dxa"/>
            <w:hideMark/>
          </w:tcPr>
          <w:p w:rsidR="00AE04FA" w:rsidRPr="00A71B61" w:rsidRDefault="00AE04FA" w:rsidP="004D69BD">
            <w:pPr>
              <w:spacing w:line="192" w:lineRule="auto"/>
              <w:ind w:left="95"/>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A122A0">
        <w:trPr>
          <w:trHeight w:val="289"/>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AE04FA" w:rsidRPr="00A71B61" w:rsidRDefault="00AE04FA" w:rsidP="004D69BD">
            <w:pPr>
              <w:jc w:val="center"/>
              <w:rPr>
                <w:rFonts w:ascii="Calibri" w:hAnsi="Calibri" w:cs="Lucida Sans Unicode"/>
                <w:color w:val="000000"/>
                <w:szCs w:val="20"/>
                <w:lang w:eastAsia="es-ES"/>
              </w:rPr>
            </w:pPr>
          </w:p>
        </w:tc>
      </w:tr>
      <w:tr w:rsidR="00AE04FA" w:rsidRPr="00A71B61" w:rsidTr="00A122A0">
        <w:trPr>
          <w:trHeight w:val="562"/>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b w:val="0"/>
                <w:color w:val="000000"/>
                <w:szCs w:val="20"/>
                <w:lang w:eastAsia="es-ES"/>
              </w:rPr>
              <w:t>AFÉRESIS DE PLAQUETAS</w:t>
            </w:r>
          </w:p>
        </w:tc>
      </w:tr>
      <w:tr w:rsidR="00AE04FA" w:rsidRPr="00A71B61" w:rsidTr="00A122A0">
        <w:trPr>
          <w:trHeight w:val="401"/>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616"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784"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200"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274" w:type="dxa"/>
            <w:hideMark/>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 (ml)</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&gt;40 ml/ 0.6x10e11 Plaq</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vertAlign w:val="superscript"/>
              </w:rPr>
            </w:pPr>
            <w:r w:rsidRPr="00A71B61">
              <w:rPr>
                <w:szCs w:val="20"/>
              </w:rPr>
              <w:t>2449</w:t>
            </w:r>
            <w:r w:rsidRPr="00A71B61">
              <w:rPr>
                <w:szCs w:val="20"/>
                <w:vertAlign w:val="superscript"/>
              </w:rPr>
              <w:t>(5)</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66.34</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542.57</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253.56</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23.26</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99.9 %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themeColor="text1"/>
                <w:szCs w:val="20"/>
                <w:lang w:eastAsia="es-ES"/>
              </w:rPr>
            </w:pPr>
            <w:r w:rsidRPr="00A71B61">
              <w:rPr>
                <w:rFonts w:ascii="Calibri" w:hAnsi="Calibri" w:cs="Lucida Sans Unicode"/>
                <w:color w:val="000000" w:themeColor="text1"/>
                <w:szCs w:val="20"/>
                <w:lang w:eastAsia="es-ES"/>
              </w:rPr>
              <w:t>PLAQUETAS (x10e11/u</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&gt;2.4 x10e11/u</w:t>
            </w: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A71B61">
              <w:rPr>
                <w:color w:val="000000" w:themeColor="text1"/>
                <w:szCs w:val="20"/>
              </w:rPr>
              <w:t>(&gt;90 % uds)</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2431</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8.89</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3.86</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0.85</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96.6 %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LEUCOCITOS RESIDUALES</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&lt; 1 x 10e6/u</w:t>
            </w:r>
          </w:p>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(&gt;90 % uds)</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223</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0.00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3.80</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0.10</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0.37</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98.2 %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pH</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&gt;6,4</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75</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6.43</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7.67</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7.13</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r w:rsidRPr="00A71B61">
              <w:rPr>
                <w:rFonts w:cs="Lucida Sans Unicode"/>
                <w:color w:val="000000"/>
                <w:szCs w:val="20"/>
                <w:lang w:eastAsia="es-ES"/>
              </w:rPr>
              <w:t>0.25</w:t>
            </w:r>
          </w:p>
        </w:tc>
        <w:tc>
          <w:tcPr>
            <w:tcW w:w="1274"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AE04FA" w:rsidRPr="00A71B61" w:rsidTr="00A122A0">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hideMark/>
          </w:tcPr>
          <w:p w:rsidR="00AE04FA" w:rsidRPr="00A71B61" w:rsidRDefault="00AE04FA" w:rsidP="004D69BD">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CULTIVO</w:t>
            </w:r>
          </w:p>
        </w:tc>
        <w:tc>
          <w:tcPr>
            <w:tcW w:w="1616" w:type="dxa"/>
            <w:hideMark/>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NEGATIVO</w:t>
            </w:r>
          </w:p>
        </w:tc>
        <w:tc>
          <w:tcPr>
            <w:tcW w:w="784"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63</w:t>
            </w: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p>
        </w:tc>
        <w:tc>
          <w:tcPr>
            <w:tcW w:w="1200" w:type="dxa"/>
          </w:tcPr>
          <w:p w:rsidR="00AE04FA" w:rsidRPr="00A71B61" w:rsidRDefault="00AE04FA" w:rsidP="004D69BD">
            <w:pPr>
              <w:spacing w:line="192" w:lineRule="auto"/>
              <w:jc w:val="center"/>
              <w:cnfStyle w:val="000000000000" w:firstRow="0" w:lastRow="0" w:firstColumn="0" w:lastColumn="0" w:oddVBand="0" w:evenVBand="0" w:oddHBand="0" w:evenHBand="0" w:firstRowFirstColumn="0" w:firstRowLastColumn="0" w:lastRowFirstColumn="0" w:lastRowLastColumn="0"/>
              <w:rPr>
                <w:szCs w:val="20"/>
              </w:rPr>
            </w:pPr>
            <w:r w:rsidRPr="00A71B61">
              <w:rPr>
                <w:rFonts w:cs="Lucida Sans Unicode"/>
                <w:color w:val="000000"/>
                <w:szCs w:val="20"/>
                <w:lang w:eastAsia="es-ES"/>
              </w:rPr>
              <w:t>NEGATIVO</w:t>
            </w:r>
          </w:p>
        </w:tc>
        <w:tc>
          <w:tcPr>
            <w:tcW w:w="1200" w:type="dxa"/>
          </w:tcPr>
          <w:p w:rsidR="00AE04FA" w:rsidRPr="00A71B61" w:rsidRDefault="00AE04FA" w:rsidP="004D69BD">
            <w:pPr>
              <w:jc w:val="center"/>
              <w:cnfStyle w:val="000000000000" w:firstRow="0" w:lastRow="0" w:firstColumn="0" w:lastColumn="0" w:oddVBand="0" w:evenVBand="0" w:oddHBand="0" w:evenHBand="0" w:firstRowFirstColumn="0" w:firstRowLastColumn="0" w:lastRowFirstColumn="0" w:lastRowLastColumn="0"/>
              <w:rPr>
                <w:rFonts w:cs="Lucida Sans Unicode"/>
                <w:color w:val="000000"/>
                <w:szCs w:val="20"/>
                <w:lang w:eastAsia="es-ES"/>
              </w:rPr>
            </w:pPr>
          </w:p>
        </w:tc>
        <w:tc>
          <w:tcPr>
            <w:tcW w:w="1274" w:type="dxa"/>
            <w:hideMark/>
          </w:tcPr>
          <w:p w:rsidR="00AE04FA" w:rsidRPr="00A71B61" w:rsidRDefault="00AE04FA" w:rsidP="004D69BD">
            <w:pPr>
              <w:spacing w:line="192" w:lineRule="auto"/>
              <w:ind w:left="95"/>
              <w:jc w:val="center"/>
              <w:cnfStyle w:val="000000000000" w:firstRow="0" w:lastRow="0" w:firstColumn="0" w:lastColumn="0" w:oddVBand="0" w:evenVBand="0" w:oddHBand="0" w:evenHBand="0" w:firstRowFirstColumn="0" w:firstRowLastColumn="0" w:lastRowFirstColumn="0" w:lastRowLastColumn="0"/>
              <w:rPr>
                <w:szCs w:val="20"/>
              </w:rPr>
            </w:pPr>
            <w:r w:rsidRPr="00A71B61">
              <w:rPr>
                <w:szCs w:val="20"/>
              </w:rPr>
              <w:t>100 %</w:t>
            </w:r>
          </w:p>
        </w:tc>
      </w:tr>
      <w:tr w:rsidR="009E04A8" w:rsidRPr="00A71B61" w:rsidTr="00A122A0">
        <w:trPr>
          <w:trHeight w:val="410"/>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9E04A8" w:rsidRPr="00A71B61" w:rsidRDefault="009E04A8" w:rsidP="004D69BD">
            <w:pPr>
              <w:jc w:val="center"/>
              <w:rPr>
                <w:rFonts w:ascii="Calibri" w:hAnsi="Calibri" w:cs="Times New Roman"/>
                <w:color w:val="000000"/>
                <w:szCs w:val="20"/>
                <w:lang w:eastAsia="es-ES"/>
              </w:rPr>
            </w:pPr>
            <w:r w:rsidRPr="00A71B61">
              <w:rPr>
                <w:rFonts w:ascii="Calibri" w:hAnsi="Calibri" w:cs="Lucida Sans Unicode"/>
                <w:color w:val="000000"/>
                <w:szCs w:val="20"/>
                <w:lang w:eastAsia="es-ES"/>
              </w:rPr>
              <w:lastRenderedPageBreak/>
              <w:t>Observaciones</w:t>
            </w:r>
          </w:p>
        </w:tc>
      </w:tr>
      <w:tr w:rsidR="00AE04FA" w:rsidRPr="00A71B61" w:rsidTr="00A122A0">
        <w:trPr>
          <w:trHeight w:val="1089"/>
          <w:jc w:val="center"/>
        </w:trPr>
        <w:tc>
          <w:tcPr>
            <w:cnfStyle w:val="001000000000" w:firstRow="0" w:lastRow="0" w:firstColumn="1" w:lastColumn="0" w:oddVBand="0" w:evenVBand="0" w:oddHBand="0" w:evenHBand="0" w:firstRowFirstColumn="0" w:firstRowLastColumn="0" w:lastRowFirstColumn="0" w:lastRowLastColumn="0"/>
            <w:tcW w:w="9674" w:type="dxa"/>
            <w:gridSpan w:val="8"/>
            <w:hideMark/>
          </w:tcPr>
          <w:p w:rsidR="00AE04FA" w:rsidRPr="00A71B61" w:rsidRDefault="00AE04FA" w:rsidP="00846064">
            <w:pPr>
              <w:pStyle w:val="Prrafodelista"/>
              <w:numPr>
                <w:ilvl w:val="0"/>
                <w:numId w:val="6"/>
              </w:numPr>
              <w:spacing w:after="60" w:line="192" w:lineRule="auto"/>
              <w:rPr>
                <w:rFonts w:ascii="Arial Unicode MS" w:eastAsia="Arial Unicode MS" w:hAnsi="Arial Unicode MS" w:cs="Arial Unicode MS"/>
                <w:b w:val="0"/>
                <w:szCs w:val="20"/>
              </w:rPr>
            </w:pPr>
            <w:r w:rsidRPr="00A71B61">
              <w:rPr>
                <w:rFonts w:ascii="Arial Unicode MS" w:eastAsia="Arial Unicode MS" w:hAnsi="Arial Unicode MS" w:cs="Arial Unicode MS"/>
                <w:b w:val="0"/>
                <w:szCs w:val="20"/>
              </w:rPr>
              <w:t>Sobre 29.675 pooles no inactivados. De los 1.734 pooles, 1.459 han sido de 5 buffys, y el resto, de 4 buffys</w:t>
            </w:r>
          </w:p>
          <w:p w:rsidR="00AE04FA" w:rsidRPr="00A71B61" w:rsidRDefault="00AE04FA" w:rsidP="00846064">
            <w:pPr>
              <w:pStyle w:val="Prrafodelista"/>
              <w:numPr>
                <w:ilvl w:val="0"/>
                <w:numId w:val="6"/>
              </w:numPr>
              <w:spacing w:after="60" w:line="192" w:lineRule="auto"/>
              <w:rPr>
                <w:rFonts w:ascii="Arial Unicode MS" w:eastAsia="Arial Unicode MS" w:hAnsi="Arial Unicode MS" w:cs="Arial Unicode MS"/>
                <w:b w:val="0"/>
                <w:color w:val="000000"/>
                <w:szCs w:val="20"/>
                <w:lang w:eastAsia="es-ES"/>
              </w:rPr>
            </w:pPr>
            <w:r w:rsidRPr="00A71B61">
              <w:rPr>
                <w:rFonts w:ascii="Arial Unicode MS" w:eastAsia="Arial Unicode MS" w:hAnsi="Arial Unicode MS" w:cs="Arial Unicode MS"/>
                <w:b w:val="0"/>
                <w:color w:val="000000"/>
                <w:szCs w:val="20"/>
                <w:lang w:eastAsia="es-ES"/>
              </w:rPr>
              <w:t>Calculado sobre un volumen de 224 ml para una aféresis de 3,36 x 10</w:t>
            </w:r>
            <w:r w:rsidRPr="00A71B61">
              <w:rPr>
                <w:rFonts w:ascii="Arial Unicode MS" w:eastAsia="Arial Unicode MS" w:hAnsi="Arial Unicode MS" w:cs="Arial Unicode MS"/>
                <w:b w:val="0"/>
                <w:color w:val="000000"/>
                <w:szCs w:val="20"/>
                <w:vertAlign w:val="superscript"/>
                <w:lang w:eastAsia="es-ES"/>
              </w:rPr>
              <w:t xml:space="preserve">11 </w:t>
            </w:r>
            <w:r w:rsidRPr="00A71B61">
              <w:rPr>
                <w:rFonts w:ascii="Arial Unicode MS" w:eastAsia="Arial Unicode MS" w:hAnsi="Arial Unicode MS" w:cs="Arial Unicode MS"/>
                <w:b w:val="0"/>
                <w:color w:val="000000"/>
                <w:szCs w:val="20"/>
                <w:lang w:eastAsia="es-ES"/>
              </w:rPr>
              <w:t>plaquetas, que corresponde a 0,6 en 40 ml</w:t>
            </w:r>
          </w:p>
          <w:p w:rsidR="00AE04FA" w:rsidRPr="00A71B61" w:rsidRDefault="00AE04FA" w:rsidP="00846064">
            <w:pPr>
              <w:pStyle w:val="Prrafodelista"/>
              <w:numPr>
                <w:ilvl w:val="0"/>
                <w:numId w:val="6"/>
              </w:numPr>
              <w:spacing w:after="60" w:line="192" w:lineRule="auto"/>
              <w:rPr>
                <w:rFonts w:ascii="Arial Unicode MS" w:eastAsia="Arial Unicode MS" w:hAnsi="Arial Unicode MS" w:cs="Arial Unicode MS"/>
                <w:b w:val="0"/>
                <w:color w:val="000000"/>
                <w:szCs w:val="20"/>
                <w:lang w:eastAsia="es-ES"/>
              </w:rPr>
            </w:pPr>
            <w:r w:rsidRPr="00A71B61">
              <w:rPr>
                <w:rFonts w:ascii="Arial Unicode MS" w:eastAsia="Arial Unicode MS" w:hAnsi="Arial Unicode MS" w:cs="Arial Unicode MS"/>
                <w:b w:val="0"/>
                <w:color w:val="000000"/>
                <w:szCs w:val="20"/>
                <w:lang w:eastAsia="es-ES"/>
              </w:rPr>
              <w:t>Definido por el sistema utilizado</w:t>
            </w:r>
          </w:p>
          <w:p w:rsidR="00AE04FA" w:rsidRPr="00A71B61" w:rsidRDefault="00AE04FA" w:rsidP="00846064">
            <w:pPr>
              <w:pStyle w:val="Prrafodelista"/>
              <w:numPr>
                <w:ilvl w:val="0"/>
                <w:numId w:val="6"/>
              </w:numPr>
              <w:spacing w:after="60" w:line="192" w:lineRule="auto"/>
              <w:rPr>
                <w:rFonts w:ascii="Arial Unicode MS" w:eastAsia="Arial Unicode MS" w:hAnsi="Arial Unicode MS" w:cs="Arial Unicode MS"/>
                <w:b w:val="0"/>
                <w:szCs w:val="20"/>
              </w:rPr>
            </w:pPr>
            <w:r w:rsidRPr="00A71B61">
              <w:rPr>
                <w:rFonts w:ascii="Arial Unicode MS" w:eastAsia="Arial Unicode MS" w:hAnsi="Arial Unicode MS" w:cs="Arial Unicode MS"/>
                <w:b w:val="0"/>
                <w:szCs w:val="20"/>
              </w:rPr>
              <w:t>Sobre 5.497 pooles inactivados</w:t>
            </w:r>
          </w:p>
          <w:p w:rsidR="00AE04FA" w:rsidRPr="00A71B61" w:rsidRDefault="00AE04FA" w:rsidP="00846064">
            <w:pPr>
              <w:pStyle w:val="Prrafodelista"/>
              <w:numPr>
                <w:ilvl w:val="0"/>
                <w:numId w:val="6"/>
              </w:numPr>
              <w:spacing w:after="60" w:line="192" w:lineRule="auto"/>
              <w:rPr>
                <w:rFonts w:ascii="Arial Unicode MS" w:eastAsia="Arial Unicode MS" w:hAnsi="Arial Unicode MS" w:cs="Arial Unicode MS"/>
                <w:b w:val="0"/>
                <w:szCs w:val="20"/>
              </w:rPr>
            </w:pPr>
            <w:r w:rsidRPr="00A71B61">
              <w:rPr>
                <w:rFonts w:ascii="Arial Unicode MS" w:eastAsia="Arial Unicode MS" w:hAnsi="Arial Unicode MS" w:cs="Arial Unicode MS"/>
                <w:b w:val="0"/>
                <w:szCs w:val="20"/>
              </w:rPr>
              <w:t>Sobre 4.300 aféresis de plaquetas</w:t>
            </w:r>
          </w:p>
          <w:p w:rsidR="00AE04FA" w:rsidRPr="00A71B61" w:rsidRDefault="00AE04FA" w:rsidP="004D69BD">
            <w:pPr>
              <w:jc w:val="center"/>
              <w:rPr>
                <w:rFonts w:ascii="Calibri" w:hAnsi="Calibri" w:cs="Lucida Sans Unicode"/>
                <w:color w:val="000000"/>
                <w:szCs w:val="20"/>
                <w:lang w:eastAsia="es-ES"/>
              </w:rPr>
            </w:pPr>
          </w:p>
        </w:tc>
      </w:tr>
    </w:tbl>
    <w:p w:rsidR="00AE04FA" w:rsidRPr="00A71B61" w:rsidRDefault="00AE04FA" w:rsidP="00AE04FA">
      <w:pPr>
        <w:rPr>
          <w:szCs w:val="20"/>
        </w:rPr>
      </w:pPr>
    </w:p>
    <w:tbl>
      <w:tblPr>
        <w:tblStyle w:val="Tabladecuadrcula1clara-nfasis1"/>
        <w:tblpPr w:leftFromText="141" w:rightFromText="141" w:vertAnchor="page" w:horzAnchor="margin" w:tblpXSpec="center" w:tblpY="1597"/>
        <w:tblW w:w="9190" w:type="dxa"/>
        <w:tblLook w:val="04A0" w:firstRow="1" w:lastRow="0" w:firstColumn="1" w:lastColumn="0" w:noHBand="0" w:noVBand="1"/>
      </w:tblPr>
      <w:tblGrid>
        <w:gridCol w:w="1399"/>
        <w:gridCol w:w="1124"/>
        <w:gridCol w:w="1102"/>
        <w:gridCol w:w="1121"/>
        <w:gridCol w:w="1125"/>
        <w:gridCol w:w="1103"/>
        <w:gridCol w:w="1092"/>
        <w:gridCol w:w="1124"/>
      </w:tblGrid>
      <w:tr w:rsidR="00AE04FA" w:rsidRPr="00A71B61" w:rsidTr="00D9208F">
        <w:trPr>
          <w:cnfStyle w:val="100000000000" w:firstRow="1" w:lastRow="0" w:firstColumn="0" w:lastColumn="0" w:oddVBand="0" w:evenVBand="0" w:oddHBand="0"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9190" w:type="dxa"/>
            <w:gridSpan w:val="8"/>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b w:val="0"/>
                <w:color w:val="000000"/>
                <w:szCs w:val="20"/>
                <w:lang w:eastAsia="es-ES"/>
              </w:rPr>
              <w:t>PLASMA FRESCO/PLASMA INACTIVADO</w:t>
            </w:r>
          </w:p>
        </w:tc>
      </w:tr>
      <w:tr w:rsidR="00AE04FA" w:rsidRPr="00A71B61" w:rsidTr="00D9208F">
        <w:trPr>
          <w:trHeight w:val="738"/>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PARÁMETRO</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RANGO NORMAL</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Nº</w:t>
            </w:r>
          </w:p>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UDS</w:t>
            </w:r>
          </w:p>
        </w:tc>
        <w:tc>
          <w:tcPr>
            <w:tcW w:w="1146"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MÍNIMO</w:t>
            </w:r>
          </w:p>
        </w:tc>
        <w:tc>
          <w:tcPr>
            <w:tcW w:w="1146"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MÁXIMO</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MEDIA</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DS</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DENTRO DE RANGO</w:t>
            </w:r>
          </w:p>
        </w:tc>
      </w:tr>
      <w:tr w:rsidR="00AE04FA" w:rsidRPr="00A71B61" w:rsidTr="00D9208F">
        <w:trPr>
          <w:trHeight w:val="644"/>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VOLUMEN</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&gt;200 ml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vertAlign w:val="superscript"/>
                <w:lang w:eastAsia="es-ES"/>
              </w:rPr>
            </w:pPr>
            <w:r w:rsidRPr="00A71B61">
              <w:rPr>
                <w:rFonts w:ascii="Calibri" w:hAnsi="Calibri" w:cs="Lucida Sans Unicode"/>
                <w:color w:val="000000"/>
                <w:szCs w:val="20"/>
                <w:lang w:eastAsia="es-ES"/>
              </w:rPr>
              <w:t>2341</w:t>
            </w:r>
            <w:r w:rsidRPr="00A71B61">
              <w:rPr>
                <w:rFonts w:ascii="Calibri" w:hAnsi="Calibri" w:cs="Lucida Sans Unicode"/>
                <w:color w:val="000000"/>
                <w:szCs w:val="20"/>
                <w:vertAlign w:val="superscript"/>
                <w:lang w:eastAsia="es-ES"/>
              </w:rPr>
              <w:t>(1)</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194.17</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357.28</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276.42</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18.09</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99.9 %</w:t>
            </w:r>
          </w:p>
        </w:tc>
      </w:tr>
      <w:tr w:rsidR="00AE04FA" w:rsidRPr="00A71B61" w:rsidTr="00D9208F">
        <w:trPr>
          <w:trHeight w:val="311"/>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LEUCOCITOS RESIDUALES PFC (X10E9)</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&lt;0,1 X10E9/L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2341</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0.00</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1.00</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0.01</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0.05</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92.7 %</w:t>
            </w:r>
          </w:p>
        </w:tc>
      </w:tr>
      <w:tr w:rsidR="00AE04FA" w:rsidRPr="00A71B61" w:rsidTr="00D9208F">
        <w:trPr>
          <w:trHeight w:val="633"/>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PLAQUETAS RESIDUALES PFC (X10E9)</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&lt;50</w:t>
            </w:r>
          </w:p>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X10E9/L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2341</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0.00</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84.00</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5.38</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3.64</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100 %</w:t>
            </w:r>
          </w:p>
        </w:tc>
      </w:tr>
      <w:tr w:rsidR="00AE04FA" w:rsidRPr="00A71B61" w:rsidTr="00D9208F">
        <w:trPr>
          <w:trHeight w:val="633"/>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HEMATÍES RESIDUALES PFC (X10E9)</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&lt;6</w:t>
            </w:r>
          </w:p>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X10E9/L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2341</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0.00</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0.00</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0.00</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0.00</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100 %</w:t>
            </w:r>
          </w:p>
        </w:tc>
      </w:tr>
      <w:tr w:rsidR="00AE04FA" w:rsidRPr="00A71B61" w:rsidTr="00D9208F">
        <w:trPr>
          <w:trHeight w:val="673"/>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PROTEÍNAS TOTALES PFC</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&gt;50 g/l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437</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52</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70.00</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60.57</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3.04</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100 %</w:t>
            </w:r>
          </w:p>
        </w:tc>
      </w:tr>
      <w:tr w:rsidR="00AE04FA" w:rsidRPr="00A71B61" w:rsidTr="00D9208F">
        <w:trPr>
          <w:trHeight w:val="623"/>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F.VIII</w:t>
            </w:r>
          </w:p>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P.F.C.</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&gt;70% F.VIII</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49</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50</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196</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99.67</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30.39</w:t>
            </w:r>
          </w:p>
        </w:tc>
        <w:tc>
          <w:tcPr>
            <w:tcW w:w="1148" w:type="dxa"/>
            <w:hideMark/>
          </w:tcPr>
          <w:p w:rsidR="00AE04FA" w:rsidRPr="00A71B61" w:rsidRDefault="00AE04FA" w:rsidP="00AE04FA">
            <w:pP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 xml:space="preserve">        85.7 %</w:t>
            </w:r>
          </w:p>
        </w:tc>
      </w:tr>
      <w:tr w:rsidR="00AE04FA" w:rsidRPr="00A71B61" w:rsidTr="00D9208F">
        <w:trPr>
          <w:trHeight w:val="623"/>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FIBRINÓGENO</w:t>
            </w:r>
          </w:p>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P.F.C.</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&gt;140 mg/dl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49</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178</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391</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275.88</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47.27</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highlight w:val="yellow"/>
                <w:lang w:eastAsia="es-ES"/>
              </w:rPr>
            </w:pPr>
            <w:r w:rsidRPr="00A71B61">
              <w:rPr>
                <w:rFonts w:ascii="Calibri" w:hAnsi="Calibri" w:cs="Lucida Sans Unicode"/>
                <w:color w:val="000000"/>
                <w:szCs w:val="20"/>
                <w:lang w:eastAsia="es-ES"/>
              </w:rPr>
              <w:t>100 %</w:t>
            </w:r>
          </w:p>
        </w:tc>
      </w:tr>
      <w:tr w:rsidR="00AE04FA" w:rsidRPr="00A71B61" w:rsidTr="00D9208F">
        <w:trPr>
          <w:trHeight w:val="633"/>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F.VIII</w:t>
            </w:r>
          </w:p>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P.F.C. INACTIVADO</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&gt;50 UI</w:t>
            </w:r>
          </w:p>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/100 ml</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127</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42</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154</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80.65</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19.76</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96.9 %</w:t>
            </w:r>
          </w:p>
        </w:tc>
      </w:tr>
      <w:tr w:rsidR="00AE04FA" w:rsidRPr="00A71B61" w:rsidTr="00D9208F">
        <w:trPr>
          <w:trHeight w:val="887"/>
        </w:trPr>
        <w:tc>
          <w:tcPr>
            <w:cnfStyle w:val="001000000000" w:firstRow="0" w:lastRow="0" w:firstColumn="1" w:lastColumn="0" w:oddVBand="0" w:evenVBand="0" w:oddHBand="0" w:evenHBand="0" w:firstRowFirstColumn="0" w:firstRowLastColumn="0" w:lastRowFirstColumn="0" w:lastRowLastColumn="0"/>
            <w:tcW w:w="1166" w:type="dxa"/>
            <w:hideMark/>
          </w:tcPr>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FIBRINÓGENO</w:t>
            </w:r>
          </w:p>
          <w:p w:rsidR="00AE04FA" w:rsidRPr="00A71B61" w:rsidRDefault="00AE04FA" w:rsidP="00AE04FA">
            <w:pPr>
              <w:jc w:val="center"/>
              <w:rPr>
                <w:rFonts w:ascii="Calibri" w:hAnsi="Calibri" w:cs="Lucida Sans Unicode"/>
                <w:color w:val="000000"/>
                <w:szCs w:val="20"/>
                <w:lang w:eastAsia="es-ES"/>
              </w:rPr>
            </w:pPr>
            <w:r w:rsidRPr="00A71B61">
              <w:rPr>
                <w:rFonts w:ascii="Calibri" w:hAnsi="Calibri" w:cs="Lucida Sans Unicode"/>
                <w:color w:val="000000"/>
                <w:szCs w:val="20"/>
                <w:lang w:eastAsia="es-ES"/>
              </w:rPr>
              <w:t>P.F.C. INACTIVADO</w:t>
            </w:r>
          </w:p>
        </w:tc>
        <w:tc>
          <w:tcPr>
            <w:tcW w:w="1145"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&gt;60% de la unidad de plasma fresca</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127</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163</w:t>
            </w:r>
          </w:p>
        </w:tc>
        <w:tc>
          <w:tcPr>
            <w:tcW w:w="1146"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481</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247.72</w:t>
            </w:r>
          </w:p>
        </w:tc>
        <w:tc>
          <w:tcPr>
            <w:tcW w:w="1145" w:type="dxa"/>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lang w:eastAsia="es-ES"/>
              </w:rPr>
            </w:pPr>
            <w:r w:rsidRPr="00A71B61">
              <w:rPr>
                <w:rFonts w:ascii="Calibri" w:hAnsi="Calibri" w:cs="Lucida Sans Unicode"/>
                <w:color w:val="000000"/>
                <w:szCs w:val="20"/>
                <w:lang w:eastAsia="es-ES"/>
              </w:rPr>
              <w:t>45.21</w:t>
            </w:r>
          </w:p>
        </w:tc>
        <w:tc>
          <w:tcPr>
            <w:tcW w:w="1148" w:type="dxa"/>
            <w:hideMark/>
          </w:tcPr>
          <w:p w:rsidR="00AE04FA" w:rsidRPr="00A71B61" w:rsidRDefault="00AE04FA" w:rsidP="00AE04FA">
            <w:pPr>
              <w:jc w:val="center"/>
              <w:cnfStyle w:val="000000000000" w:firstRow="0" w:lastRow="0" w:firstColumn="0" w:lastColumn="0" w:oddVBand="0" w:evenVBand="0" w:oddHBand="0" w:evenHBand="0" w:firstRowFirstColumn="0" w:firstRowLastColumn="0" w:lastRowFirstColumn="0" w:lastRowLastColumn="0"/>
              <w:rPr>
                <w:rFonts w:ascii="Calibri" w:hAnsi="Calibri" w:cs="Lucida Sans Unicode"/>
                <w:color w:val="000000"/>
                <w:szCs w:val="20"/>
                <w:vertAlign w:val="superscript"/>
                <w:lang w:eastAsia="es-ES"/>
              </w:rPr>
            </w:pPr>
            <w:r w:rsidRPr="00A71B61">
              <w:rPr>
                <w:rFonts w:ascii="Calibri" w:hAnsi="Calibri" w:cs="Lucida Sans Unicode"/>
                <w:color w:val="000000"/>
                <w:szCs w:val="20"/>
                <w:lang w:eastAsia="es-ES"/>
              </w:rPr>
              <w:t xml:space="preserve">99.2 % </w:t>
            </w:r>
            <w:r w:rsidRPr="00A71B61">
              <w:rPr>
                <w:rFonts w:ascii="Calibri" w:hAnsi="Calibri" w:cs="Lucida Sans Unicode"/>
                <w:color w:val="000000"/>
                <w:szCs w:val="20"/>
                <w:vertAlign w:val="superscript"/>
                <w:lang w:eastAsia="es-ES"/>
              </w:rPr>
              <w:t>(2)</w:t>
            </w:r>
          </w:p>
        </w:tc>
      </w:tr>
    </w:tbl>
    <w:tbl>
      <w:tblPr>
        <w:tblStyle w:val="Tabladecuadrcula1clara-nfasis1"/>
        <w:tblpPr w:leftFromText="141" w:rightFromText="141" w:vertAnchor="page" w:horzAnchor="margin" w:tblpXSpec="center" w:tblpY="9373"/>
        <w:tblW w:w="9209" w:type="dxa"/>
        <w:tblLook w:val="04A0" w:firstRow="1" w:lastRow="0" w:firstColumn="1" w:lastColumn="0" w:noHBand="0" w:noVBand="1"/>
      </w:tblPr>
      <w:tblGrid>
        <w:gridCol w:w="9209"/>
      </w:tblGrid>
      <w:tr w:rsidR="009E04A8" w:rsidRPr="00A71B61" w:rsidTr="00D9208F">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9209" w:type="dxa"/>
            <w:hideMark/>
          </w:tcPr>
          <w:p w:rsidR="009E04A8" w:rsidRPr="00A71B61" w:rsidRDefault="009E04A8" w:rsidP="00263462">
            <w:pPr>
              <w:jc w:val="center"/>
              <w:rPr>
                <w:rFonts w:ascii="Calibri" w:hAnsi="Calibri" w:cs="Times New Roman"/>
                <w:color w:val="000000"/>
                <w:szCs w:val="20"/>
                <w:lang w:eastAsia="es-ES"/>
              </w:rPr>
            </w:pPr>
            <w:r w:rsidRPr="00A71B61">
              <w:rPr>
                <w:rFonts w:ascii="Calibri" w:hAnsi="Calibri" w:cs="Lucida Sans Unicode"/>
                <w:color w:val="000000"/>
                <w:szCs w:val="20"/>
                <w:lang w:eastAsia="es-ES"/>
              </w:rPr>
              <w:t>Observaciones</w:t>
            </w:r>
          </w:p>
        </w:tc>
      </w:tr>
      <w:tr w:rsidR="00263462" w:rsidRPr="00A71B61" w:rsidTr="00D9208F">
        <w:trPr>
          <w:trHeight w:val="990"/>
        </w:trPr>
        <w:tc>
          <w:tcPr>
            <w:cnfStyle w:val="001000000000" w:firstRow="0" w:lastRow="0" w:firstColumn="1" w:lastColumn="0" w:oddVBand="0" w:evenVBand="0" w:oddHBand="0" w:evenHBand="0" w:firstRowFirstColumn="0" w:firstRowLastColumn="0" w:lastRowFirstColumn="0" w:lastRowLastColumn="0"/>
            <w:tcW w:w="9209" w:type="dxa"/>
            <w:hideMark/>
          </w:tcPr>
          <w:p w:rsidR="00263462" w:rsidRPr="00A71B61" w:rsidRDefault="00263462" w:rsidP="00846064">
            <w:pPr>
              <w:pStyle w:val="Prrafodelista"/>
              <w:numPr>
                <w:ilvl w:val="0"/>
                <w:numId w:val="7"/>
              </w:numPr>
              <w:contextualSpacing w:val="0"/>
              <w:rPr>
                <w:rFonts w:ascii="Calibri" w:hAnsi="Calibri" w:cs="Lucida Sans Unicode"/>
                <w:color w:val="000000"/>
                <w:szCs w:val="20"/>
                <w:lang w:eastAsia="es-ES"/>
              </w:rPr>
            </w:pPr>
            <w:r w:rsidRPr="00A71B61">
              <w:rPr>
                <w:rFonts w:ascii="Calibri" w:hAnsi="Calibri" w:cs="Lucida Sans Unicode"/>
                <w:color w:val="000000"/>
                <w:szCs w:val="20"/>
                <w:lang w:eastAsia="es-ES"/>
              </w:rPr>
              <w:t>Sobre 29.187 uu. de PFC</w:t>
            </w:r>
          </w:p>
          <w:p w:rsidR="00263462" w:rsidRPr="00A71B61" w:rsidRDefault="00263462" w:rsidP="00846064">
            <w:pPr>
              <w:pStyle w:val="Prrafodelista"/>
              <w:numPr>
                <w:ilvl w:val="0"/>
                <w:numId w:val="7"/>
              </w:numPr>
              <w:contextualSpacing w:val="0"/>
              <w:rPr>
                <w:rFonts w:ascii="Calibri" w:hAnsi="Calibri" w:cs="Lucida Sans Unicode"/>
                <w:color w:val="000000"/>
                <w:szCs w:val="20"/>
                <w:lang w:eastAsia="es-ES"/>
              </w:rPr>
            </w:pPr>
            <w:r w:rsidRPr="00A71B61">
              <w:rPr>
                <w:rFonts w:ascii="Calibri" w:hAnsi="Calibri" w:cs="Lucida Sans Unicode"/>
                <w:color w:val="000000"/>
                <w:szCs w:val="20"/>
                <w:lang w:eastAsia="es-ES"/>
              </w:rPr>
              <w:t>Calculado sobre media de 275.88 mg/dl, considerado por debajo de 165.53 mg/dl (60%)</w:t>
            </w:r>
          </w:p>
        </w:tc>
      </w:tr>
    </w:tbl>
    <w:p w:rsidR="00AE04FA" w:rsidRPr="00A71B61" w:rsidRDefault="00AE04FA" w:rsidP="00263462">
      <w:pPr>
        <w:pStyle w:val="Default"/>
        <w:rPr>
          <w:sz w:val="20"/>
          <w:szCs w:val="20"/>
          <w:lang w:eastAsia="x-none"/>
        </w:rPr>
      </w:pPr>
    </w:p>
    <w:p w:rsidR="00263462" w:rsidRPr="00A71B61" w:rsidRDefault="00263462">
      <w:pPr>
        <w:rPr>
          <w:rFonts w:ascii="Calibri" w:hAnsi="Calibri" w:cs="Calibri"/>
          <w:color w:val="000000"/>
          <w:szCs w:val="20"/>
          <w:lang w:eastAsia="x-none"/>
        </w:rPr>
      </w:pPr>
      <w:r w:rsidRPr="00A71B61">
        <w:rPr>
          <w:szCs w:val="20"/>
          <w:lang w:eastAsia="x-none"/>
        </w:rPr>
        <w:br w:type="page"/>
      </w:r>
    </w:p>
    <w:p w:rsidR="00263462" w:rsidRPr="00B51AC6" w:rsidRDefault="004D69BD" w:rsidP="00B51AC6">
      <w:pPr>
        <w:pStyle w:val="Ttulo2"/>
      </w:pPr>
      <w:bookmarkStart w:id="65" w:name="_Toc90584892"/>
      <w:r w:rsidRPr="00B51AC6">
        <w:lastRenderedPageBreak/>
        <w:t>Componentes sanguíneos distribuidos a los hospitales</w:t>
      </w:r>
      <w:bookmarkEnd w:id="65"/>
    </w:p>
    <w:p w:rsidR="00F14849" w:rsidRPr="00A71B61" w:rsidRDefault="00F14849" w:rsidP="006C2819">
      <w:r w:rsidRPr="00A71B61">
        <w:t xml:space="preserve">En la siguiente gráfica se puede observar que en 2020 se han distribuido para transfusión menos componentes sanguíneos que en 2020. El motivo es que la demanda ha sido mucho menor puesto que los hospitales, y particularmente las UCI han tenido una alta ocupación de pacientes con COVID-19, lo que ha condicionado un menor número de procedimientos con requerimientos transfusionales </w:t>
      </w:r>
    </w:p>
    <w:tbl>
      <w:tblPr>
        <w:tblStyle w:val="Tabladecuadrcula5oscura-nfasis1"/>
        <w:tblW w:w="5000" w:type="pct"/>
        <w:tblLook w:val="0620" w:firstRow="1" w:lastRow="0" w:firstColumn="0" w:lastColumn="0" w:noHBand="1" w:noVBand="1"/>
      </w:tblPr>
      <w:tblGrid>
        <w:gridCol w:w="1837"/>
        <w:gridCol w:w="1490"/>
        <w:gridCol w:w="1430"/>
        <w:gridCol w:w="1585"/>
        <w:gridCol w:w="1585"/>
      </w:tblGrid>
      <w:tr w:rsidR="00F14849" w:rsidRPr="00A71B61" w:rsidTr="00333EBA">
        <w:trPr>
          <w:cnfStyle w:val="100000000000" w:firstRow="1" w:lastRow="0" w:firstColumn="0" w:lastColumn="0" w:oddVBand="0" w:evenVBand="0" w:oddHBand="0" w:evenHBand="0" w:firstRowFirstColumn="0" w:firstRowLastColumn="0" w:lastRowFirstColumn="0" w:lastRowLastColumn="0"/>
          <w:trHeight w:val="630"/>
        </w:trPr>
        <w:tc>
          <w:tcPr>
            <w:tcW w:w="1158" w:type="pct"/>
            <w:hideMark/>
          </w:tcPr>
          <w:p w:rsidR="00F14849" w:rsidRPr="00A71B61" w:rsidRDefault="00F14849" w:rsidP="00F14849">
            <w:pPr>
              <w:rPr>
                <w:szCs w:val="20"/>
                <w:lang w:eastAsia="x-none"/>
              </w:rPr>
            </w:pPr>
            <w:r w:rsidRPr="00A71B61">
              <w:rPr>
                <w:b w:val="0"/>
                <w:bCs w:val="0"/>
                <w:szCs w:val="20"/>
                <w:lang w:eastAsia="x-none"/>
              </w:rPr>
              <w:t>Componente</w:t>
            </w:r>
          </w:p>
        </w:tc>
        <w:tc>
          <w:tcPr>
            <w:tcW w:w="940" w:type="pct"/>
            <w:hideMark/>
          </w:tcPr>
          <w:p w:rsidR="00F14849" w:rsidRPr="00A71B61" w:rsidRDefault="00F14849" w:rsidP="00F14849">
            <w:pPr>
              <w:rPr>
                <w:szCs w:val="20"/>
                <w:lang w:eastAsia="x-none"/>
              </w:rPr>
            </w:pPr>
            <w:r w:rsidRPr="00A71B61">
              <w:rPr>
                <w:b w:val="0"/>
                <w:bCs w:val="0"/>
                <w:szCs w:val="20"/>
                <w:lang w:eastAsia="x-none"/>
              </w:rPr>
              <w:t>2019</w:t>
            </w:r>
          </w:p>
        </w:tc>
        <w:tc>
          <w:tcPr>
            <w:tcW w:w="902" w:type="pct"/>
            <w:hideMark/>
          </w:tcPr>
          <w:p w:rsidR="00F14849" w:rsidRPr="00A71B61" w:rsidRDefault="00F14849" w:rsidP="00F14849">
            <w:pPr>
              <w:rPr>
                <w:szCs w:val="20"/>
                <w:lang w:eastAsia="x-none"/>
              </w:rPr>
            </w:pPr>
            <w:r w:rsidRPr="00A71B61">
              <w:rPr>
                <w:b w:val="0"/>
                <w:bCs w:val="0"/>
                <w:szCs w:val="20"/>
                <w:lang w:eastAsia="x-none"/>
              </w:rPr>
              <w:t>2020</w:t>
            </w:r>
          </w:p>
        </w:tc>
        <w:tc>
          <w:tcPr>
            <w:tcW w:w="1000" w:type="pct"/>
            <w:hideMark/>
          </w:tcPr>
          <w:p w:rsidR="00F14849" w:rsidRPr="00A71B61" w:rsidRDefault="00F14849" w:rsidP="00F14849">
            <w:pPr>
              <w:rPr>
                <w:szCs w:val="20"/>
                <w:lang w:eastAsia="x-none"/>
              </w:rPr>
            </w:pPr>
            <w:r w:rsidRPr="00A71B61">
              <w:rPr>
                <w:b w:val="0"/>
                <w:bCs w:val="0"/>
                <w:szCs w:val="20"/>
                <w:lang w:eastAsia="x-none"/>
              </w:rPr>
              <w:t>Dif (%)</w:t>
            </w:r>
          </w:p>
          <w:p w:rsidR="00F14849" w:rsidRPr="00A71B61" w:rsidRDefault="00F14849" w:rsidP="00F14849">
            <w:pPr>
              <w:rPr>
                <w:szCs w:val="20"/>
                <w:lang w:eastAsia="x-none"/>
              </w:rPr>
            </w:pPr>
            <w:r w:rsidRPr="00A71B61">
              <w:rPr>
                <w:b w:val="0"/>
                <w:bCs w:val="0"/>
                <w:szCs w:val="20"/>
                <w:lang w:eastAsia="x-none"/>
              </w:rPr>
              <w:t>2020-2019</w:t>
            </w:r>
          </w:p>
        </w:tc>
        <w:tc>
          <w:tcPr>
            <w:tcW w:w="1000" w:type="pct"/>
            <w:hideMark/>
          </w:tcPr>
          <w:p w:rsidR="00F14849" w:rsidRPr="00A71B61" w:rsidRDefault="00F14849" w:rsidP="00F14849">
            <w:pPr>
              <w:rPr>
                <w:szCs w:val="20"/>
                <w:lang w:eastAsia="x-none"/>
              </w:rPr>
            </w:pPr>
            <w:r w:rsidRPr="00A71B61">
              <w:rPr>
                <w:b w:val="0"/>
                <w:bCs w:val="0"/>
                <w:szCs w:val="20"/>
                <w:lang w:eastAsia="x-none"/>
              </w:rPr>
              <w:t>Dif (n)</w:t>
            </w:r>
          </w:p>
          <w:p w:rsidR="00F14849" w:rsidRPr="00A71B61" w:rsidRDefault="00F14849" w:rsidP="00F14849">
            <w:pPr>
              <w:rPr>
                <w:szCs w:val="20"/>
                <w:lang w:eastAsia="x-none"/>
              </w:rPr>
            </w:pPr>
            <w:r w:rsidRPr="00A71B61">
              <w:rPr>
                <w:b w:val="0"/>
                <w:bCs w:val="0"/>
                <w:szCs w:val="20"/>
                <w:lang w:eastAsia="x-none"/>
              </w:rPr>
              <w:t>2020-2019</w:t>
            </w:r>
          </w:p>
        </w:tc>
      </w:tr>
      <w:tr w:rsidR="00F14849" w:rsidRPr="00A71B61" w:rsidTr="00333EBA">
        <w:trPr>
          <w:trHeight w:val="577"/>
        </w:trPr>
        <w:tc>
          <w:tcPr>
            <w:tcW w:w="1158" w:type="pct"/>
            <w:hideMark/>
          </w:tcPr>
          <w:p w:rsidR="00F14849" w:rsidRPr="00A71B61" w:rsidRDefault="00F14849" w:rsidP="00F14849">
            <w:pPr>
              <w:rPr>
                <w:b/>
                <w:szCs w:val="20"/>
                <w:lang w:eastAsia="x-none"/>
              </w:rPr>
            </w:pPr>
            <w:r w:rsidRPr="00A71B61">
              <w:rPr>
                <w:b/>
                <w:szCs w:val="20"/>
                <w:lang w:eastAsia="x-none"/>
              </w:rPr>
              <w:t>Concentrado de hematíes</w:t>
            </w:r>
          </w:p>
        </w:tc>
        <w:tc>
          <w:tcPr>
            <w:tcW w:w="940" w:type="pct"/>
            <w:hideMark/>
          </w:tcPr>
          <w:p w:rsidR="00F14849" w:rsidRPr="00A71B61" w:rsidRDefault="00F14849" w:rsidP="00F14849">
            <w:pPr>
              <w:rPr>
                <w:szCs w:val="20"/>
                <w:lang w:eastAsia="x-none"/>
              </w:rPr>
            </w:pPr>
            <w:r w:rsidRPr="00A71B61">
              <w:rPr>
                <w:szCs w:val="20"/>
                <w:lang w:eastAsia="x-none"/>
              </w:rPr>
              <w:t>232.337</w:t>
            </w:r>
          </w:p>
        </w:tc>
        <w:tc>
          <w:tcPr>
            <w:tcW w:w="902" w:type="pct"/>
            <w:hideMark/>
          </w:tcPr>
          <w:p w:rsidR="00F14849" w:rsidRPr="00A71B61" w:rsidRDefault="00F14849" w:rsidP="00F14849">
            <w:pPr>
              <w:rPr>
                <w:szCs w:val="20"/>
                <w:lang w:eastAsia="x-none"/>
              </w:rPr>
            </w:pPr>
            <w:r w:rsidRPr="00A71B61">
              <w:rPr>
                <w:szCs w:val="20"/>
                <w:lang w:eastAsia="x-none"/>
              </w:rPr>
              <w:t>221.038</w:t>
            </w:r>
          </w:p>
        </w:tc>
        <w:tc>
          <w:tcPr>
            <w:tcW w:w="1000" w:type="pct"/>
            <w:hideMark/>
          </w:tcPr>
          <w:p w:rsidR="00F14849" w:rsidRPr="00A71B61" w:rsidRDefault="00F14849" w:rsidP="00F14849">
            <w:pPr>
              <w:rPr>
                <w:szCs w:val="20"/>
                <w:lang w:eastAsia="x-none"/>
              </w:rPr>
            </w:pPr>
            <w:r w:rsidRPr="00A71B61">
              <w:rPr>
                <w:szCs w:val="20"/>
                <w:lang w:eastAsia="x-none"/>
              </w:rPr>
              <w:t>-4,9</w:t>
            </w:r>
          </w:p>
        </w:tc>
        <w:tc>
          <w:tcPr>
            <w:tcW w:w="1000" w:type="pct"/>
            <w:hideMark/>
          </w:tcPr>
          <w:p w:rsidR="00F14849" w:rsidRPr="00A71B61" w:rsidRDefault="00F14849" w:rsidP="00F14849">
            <w:pPr>
              <w:rPr>
                <w:szCs w:val="20"/>
                <w:lang w:eastAsia="x-none"/>
              </w:rPr>
            </w:pPr>
            <w:r w:rsidRPr="00A71B61">
              <w:rPr>
                <w:szCs w:val="20"/>
                <w:lang w:eastAsia="x-none"/>
              </w:rPr>
              <w:t>-11.299</w:t>
            </w:r>
          </w:p>
        </w:tc>
      </w:tr>
      <w:tr w:rsidR="00F14849" w:rsidRPr="00A71B61" w:rsidTr="00333EBA">
        <w:trPr>
          <w:trHeight w:val="554"/>
        </w:trPr>
        <w:tc>
          <w:tcPr>
            <w:tcW w:w="1158" w:type="pct"/>
            <w:hideMark/>
          </w:tcPr>
          <w:p w:rsidR="00F14849" w:rsidRPr="00A71B61" w:rsidRDefault="00F14849" w:rsidP="00F14849">
            <w:pPr>
              <w:rPr>
                <w:b/>
                <w:szCs w:val="20"/>
                <w:lang w:eastAsia="x-none"/>
              </w:rPr>
            </w:pPr>
            <w:r w:rsidRPr="00A71B61">
              <w:rPr>
                <w:b/>
                <w:szCs w:val="20"/>
                <w:lang w:eastAsia="x-none"/>
              </w:rPr>
              <w:t>Plaquetas</w:t>
            </w:r>
          </w:p>
        </w:tc>
        <w:tc>
          <w:tcPr>
            <w:tcW w:w="940" w:type="pct"/>
            <w:hideMark/>
          </w:tcPr>
          <w:p w:rsidR="00F14849" w:rsidRPr="00A71B61" w:rsidRDefault="00F14849" w:rsidP="00F14849">
            <w:pPr>
              <w:rPr>
                <w:szCs w:val="20"/>
                <w:lang w:eastAsia="x-none"/>
              </w:rPr>
            </w:pPr>
            <w:r w:rsidRPr="00A71B61">
              <w:rPr>
                <w:szCs w:val="20"/>
                <w:lang w:eastAsia="x-none"/>
              </w:rPr>
              <w:t>41.664</w:t>
            </w:r>
          </w:p>
        </w:tc>
        <w:tc>
          <w:tcPr>
            <w:tcW w:w="902" w:type="pct"/>
            <w:hideMark/>
          </w:tcPr>
          <w:p w:rsidR="00F14849" w:rsidRPr="00A71B61" w:rsidRDefault="00F14849" w:rsidP="00F14849">
            <w:pPr>
              <w:rPr>
                <w:szCs w:val="20"/>
                <w:lang w:eastAsia="x-none"/>
              </w:rPr>
            </w:pPr>
            <w:r w:rsidRPr="00A71B61">
              <w:rPr>
                <w:szCs w:val="20"/>
                <w:lang w:eastAsia="x-none"/>
              </w:rPr>
              <w:t>38.689</w:t>
            </w:r>
          </w:p>
        </w:tc>
        <w:tc>
          <w:tcPr>
            <w:tcW w:w="1000" w:type="pct"/>
            <w:hideMark/>
          </w:tcPr>
          <w:p w:rsidR="00F14849" w:rsidRPr="00A71B61" w:rsidRDefault="00F14849" w:rsidP="00F14849">
            <w:pPr>
              <w:rPr>
                <w:szCs w:val="20"/>
                <w:lang w:eastAsia="x-none"/>
              </w:rPr>
            </w:pPr>
            <w:r w:rsidRPr="00A71B61">
              <w:rPr>
                <w:szCs w:val="20"/>
                <w:lang w:eastAsia="x-none"/>
              </w:rPr>
              <w:t>-7,1</w:t>
            </w:r>
          </w:p>
        </w:tc>
        <w:tc>
          <w:tcPr>
            <w:tcW w:w="1000" w:type="pct"/>
            <w:hideMark/>
          </w:tcPr>
          <w:p w:rsidR="00F14849" w:rsidRPr="00A71B61" w:rsidRDefault="00F14849" w:rsidP="00F14849">
            <w:pPr>
              <w:rPr>
                <w:szCs w:val="20"/>
                <w:lang w:eastAsia="x-none"/>
              </w:rPr>
            </w:pPr>
            <w:r w:rsidRPr="00A71B61">
              <w:rPr>
                <w:szCs w:val="20"/>
                <w:lang w:eastAsia="x-none"/>
              </w:rPr>
              <w:t>-2.975</w:t>
            </w:r>
          </w:p>
        </w:tc>
      </w:tr>
      <w:tr w:rsidR="00F14849" w:rsidRPr="00A71B61" w:rsidTr="00333EBA">
        <w:trPr>
          <w:trHeight w:val="537"/>
        </w:trPr>
        <w:tc>
          <w:tcPr>
            <w:tcW w:w="1158" w:type="pct"/>
            <w:hideMark/>
          </w:tcPr>
          <w:p w:rsidR="00F14849" w:rsidRPr="00A71B61" w:rsidRDefault="00F14849" w:rsidP="00F14849">
            <w:pPr>
              <w:rPr>
                <w:b/>
                <w:szCs w:val="20"/>
                <w:lang w:eastAsia="x-none"/>
              </w:rPr>
            </w:pPr>
            <w:r w:rsidRPr="00A71B61">
              <w:rPr>
                <w:b/>
                <w:szCs w:val="20"/>
                <w:lang w:eastAsia="x-none"/>
              </w:rPr>
              <w:t>Plasma</w:t>
            </w:r>
          </w:p>
        </w:tc>
        <w:tc>
          <w:tcPr>
            <w:tcW w:w="940" w:type="pct"/>
            <w:hideMark/>
          </w:tcPr>
          <w:p w:rsidR="00F14849" w:rsidRPr="00A71B61" w:rsidRDefault="00F14849" w:rsidP="00F14849">
            <w:pPr>
              <w:rPr>
                <w:szCs w:val="20"/>
                <w:lang w:eastAsia="x-none"/>
              </w:rPr>
            </w:pPr>
            <w:r w:rsidRPr="00A71B61">
              <w:rPr>
                <w:szCs w:val="20"/>
                <w:lang w:eastAsia="x-none"/>
              </w:rPr>
              <w:t>30.104</w:t>
            </w:r>
          </w:p>
        </w:tc>
        <w:tc>
          <w:tcPr>
            <w:tcW w:w="902" w:type="pct"/>
            <w:hideMark/>
          </w:tcPr>
          <w:p w:rsidR="00F14849" w:rsidRPr="00A71B61" w:rsidRDefault="00F14849" w:rsidP="00F14849">
            <w:pPr>
              <w:rPr>
                <w:szCs w:val="20"/>
                <w:lang w:eastAsia="x-none"/>
              </w:rPr>
            </w:pPr>
            <w:r w:rsidRPr="00A71B61">
              <w:rPr>
                <w:szCs w:val="20"/>
                <w:lang w:eastAsia="x-none"/>
              </w:rPr>
              <w:t>27.906</w:t>
            </w:r>
          </w:p>
        </w:tc>
        <w:tc>
          <w:tcPr>
            <w:tcW w:w="1000" w:type="pct"/>
            <w:hideMark/>
          </w:tcPr>
          <w:p w:rsidR="00F14849" w:rsidRPr="00A71B61" w:rsidRDefault="00F14849" w:rsidP="00F14849">
            <w:pPr>
              <w:rPr>
                <w:szCs w:val="20"/>
                <w:lang w:eastAsia="x-none"/>
              </w:rPr>
            </w:pPr>
            <w:r w:rsidRPr="00A71B61">
              <w:rPr>
                <w:szCs w:val="20"/>
                <w:lang w:eastAsia="x-none"/>
              </w:rPr>
              <w:t>-7,1</w:t>
            </w:r>
          </w:p>
        </w:tc>
        <w:tc>
          <w:tcPr>
            <w:tcW w:w="1000" w:type="pct"/>
            <w:hideMark/>
          </w:tcPr>
          <w:p w:rsidR="00F14849" w:rsidRPr="00A71B61" w:rsidRDefault="00F14849" w:rsidP="00F14849">
            <w:pPr>
              <w:rPr>
                <w:szCs w:val="20"/>
                <w:lang w:eastAsia="x-none"/>
              </w:rPr>
            </w:pPr>
            <w:r w:rsidRPr="00A71B61">
              <w:rPr>
                <w:szCs w:val="20"/>
                <w:lang w:eastAsia="x-none"/>
              </w:rPr>
              <w:t>-2.198</w:t>
            </w:r>
          </w:p>
        </w:tc>
      </w:tr>
    </w:tbl>
    <w:p w:rsidR="00F14849" w:rsidRPr="00A71B61" w:rsidRDefault="00F14849" w:rsidP="00F14849">
      <w:pPr>
        <w:rPr>
          <w:szCs w:val="20"/>
          <w:lang w:eastAsia="x-none"/>
        </w:rPr>
      </w:pPr>
    </w:p>
    <w:p w:rsidR="00F14849" w:rsidRPr="00A71B61" w:rsidRDefault="00F14849" w:rsidP="006C2819">
      <w:r w:rsidRPr="00A71B61">
        <w:t>En la</w:t>
      </w:r>
      <w:r w:rsidR="0027605B" w:rsidRPr="00A71B61">
        <w:t>s</w:t>
      </w:r>
      <w:r w:rsidRPr="00A71B61">
        <w:t xml:space="preserve"> siguientes </w:t>
      </w:r>
      <w:r w:rsidR="0027605B" w:rsidRPr="00A71B61">
        <w:t xml:space="preserve">tres </w:t>
      </w:r>
      <w:r w:rsidRPr="00A71B61">
        <w:t>tablas se muestra el descenso en la distribución de cada componentes sanguíneo en función del tipo de hospital</w:t>
      </w:r>
    </w:p>
    <w:tbl>
      <w:tblPr>
        <w:tblStyle w:val="Tabladecuadrcula5oscura-nfasis1"/>
        <w:tblW w:w="5000" w:type="pct"/>
        <w:tblLook w:val="0660" w:firstRow="1" w:lastRow="1" w:firstColumn="0" w:lastColumn="0" w:noHBand="1" w:noVBand="1"/>
      </w:tblPr>
      <w:tblGrid>
        <w:gridCol w:w="2444"/>
        <w:gridCol w:w="1161"/>
        <w:gridCol w:w="1035"/>
        <w:gridCol w:w="1738"/>
        <w:gridCol w:w="1549"/>
      </w:tblGrid>
      <w:tr w:rsidR="004D69BD" w:rsidRPr="00A71B61" w:rsidTr="00263D80">
        <w:trPr>
          <w:cnfStyle w:val="100000000000" w:firstRow="1" w:lastRow="0" w:firstColumn="0" w:lastColumn="0" w:oddVBand="0" w:evenVBand="0" w:oddHBand="0" w:evenHBand="0" w:firstRowFirstColumn="0" w:firstRowLastColumn="0" w:lastRowFirstColumn="0" w:lastRowLastColumn="0"/>
          <w:trHeight w:val="894"/>
        </w:trPr>
        <w:tc>
          <w:tcPr>
            <w:tcW w:w="1542" w:type="pct"/>
            <w:hideMark/>
          </w:tcPr>
          <w:p w:rsidR="004D69BD" w:rsidRPr="00A71B61" w:rsidRDefault="00F14849" w:rsidP="004D69BD">
            <w:pPr>
              <w:rPr>
                <w:szCs w:val="20"/>
                <w:lang w:eastAsia="x-none"/>
              </w:rPr>
            </w:pPr>
            <w:r w:rsidRPr="00A71B61">
              <w:rPr>
                <w:bCs w:val="0"/>
                <w:szCs w:val="20"/>
                <w:lang w:eastAsia="x-none"/>
              </w:rPr>
              <w:t>Distribución de concentrados e hematíes</w:t>
            </w:r>
          </w:p>
        </w:tc>
        <w:tc>
          <w:tcPr>
            <w:tcW w:w="732" w:type="pct"/>
            <w:hideMark/>
          </w:tcPr>
          <w:p w:rsidR="004D69BD" w:rsidRPr="00A71B61" w:rsidRDefault="004D69BD" w:rsidP="004D69BD">
            <w:pPr>
              <w:rPr>
                <w:szCs w:val="20"/>
                <w:lang w:eastAsia="x-none"/>
              </w:rPr>
            </w:pPr>
            <w:r w:rsidRPr="00A71B61">
              <w:rPr>
                <w:bCs w:val="0"/>
                <w:szCs w:val="20"/>
                <w:lang w:eastAsia="x-none"/>
              </w:rPr>
              <w:t>2019</w:t>
            </w:r>
          </w:p>
        </w:tc>
        <w:tc>
          <w:tcPr>
            <w:tcW w:w="653" w:type="pct"/>
            <w:hideMark/>
          </w:tcPr>
          <w:p w:rsidR="004D69BD" w:rsidRPr="00A71B61" w:rsidRDefault="004D69BD" w:rsidP="004D69BD">
            <w:pPr>
              <w:rPr>
                <w:szCs w:val="20"/>
                <w:lang w:eastAsia="x-none"/>
              </w:rPr>
            </w:pPr>
            <w:r w:rsidRPr="00A71B61">
              <w:rPr>
                <w:bCs w:val="0"/>
                <w:szCs w:val="20"/>
                <w:lang w:eastAsia="x-none"/>
              </w:rPr>
              <w:t>2020</w:t>
            </w:r>
          </w:p>
        </w:tc>
        <w:tc>
          <w:tcPr>
            <w:tcW w:w="1096" w:type="pct"/>
            <w:hideMark/>
          </w:tcPr>
          <w:p w:rsidR="004D69BD" w:rsidRPr="00A71B61" w:rsidRDefault="004D69BD" w:rsidP="004D69BD">
            <w:pPr>
              <w:rPr>
                <w:szCs w:val="20"/>
                <w:lang w:eastAsia="x-none"/>
              </w:rPr>
            </w:pPr>
            <w:r w:rsidRPr="00A71B61">
              <w:rPr>
                <w:bCs w:val="0"/>
                <w:szCs w:val="20"/>
                <w:lang w:eastAsia="x-none"/>
              </w:rPr>
              <w:t>Dif (%)</w:t>
            </w:r>
          </w:p>
          <w:p w:rsidR="004D69BD" w:rsidRPr="00A71B61" w:rsidRDefault="004D69BD" w:rsidP="004D69BD">
            <w:pPr>
              <w:rPr>
                <w:szCs w:val="20"/>
                <w:lang w:eastAsia="x-none"/>
              </w:rPr>
            </w:pPr>
            <w:r w:rsidRPr="00A71B61">
              <w:rPr>
                <w:bCs w:val="0"/>
                <w:szCs w:val="20"/>
                <w:lang w:eastAsia="x-none"/>
              </w:rPr>
              <w:t>2020-2019</w:t>
            </w:r>
          </w:p>
        </w:tc>
        <w:tc>
          <w:tcPr>
            <w:tcW w:w="978" w:type="pct"/>
            <w:hideMark/>
          </w:tcPr>
          <w:p w:rsidR="004D69BD" w:rsidRPr="00A71B61" w:rsidRDefault="004D69BD" w:rsidP="004D69BD">
            <w:pPr>
              <w:rPr>
                <w:szCs w:val="20"/>
                <w:lang w:eastAsia="x-none"/>
              </w:rPr>
            </w:pPr>
            <w:r w:rsidRPr="00A71B61">
              <w:rPr>
                <w:bCs w:val="0"/>
                <w:szCs w:val="20"/>
                <w:lang w:eastAsia="x-none"/>
              </w:rPr>
              <w:t>Dif (n)</w:t>
            </w:r>
          </w:p>
          <w:p w:rsidR="004D69BD" w:rsidRPr="00A71B61" w:rsidRDefault="004D69BD" w:rsidP="004D69BD">
            <w:pPr>
              <w:rPr>
                <w:szCs w:val="20"/>
                <w:lang w:eastAsia="x-none"/>
              </w:rPr>
            </w:pPr>
            <w:r w:rsidRPr="00A71B61">
              <w:rPr>
                <w:bCs w:val="0"/>
                <w:szCs w:val="20"/>
                <w:lang w:eastAsia="x-none"/>
              </w:rPr>
              <w:t>2020-2019</w:t>
            </w:r>
          </w:p>
        </w:tc>
      </w:tr>
      <w:tr w:rsidR="004D69BD" w:rsidRPr="00A71B61" w:rsidTr="00263D80">
        <w:trPr>
          <w:trHeight w:val="548"/>
        </w:trPr>
        <w:tc>
          <w:tcPr>
            <w:tcW w:w="1542" w:type="pct"/>
            <w:hideMark/>
          </w:tcPr>
          <w:p w:rsidR="004D69BD" w:rsidRPr="00A71B61" w:rsidRDefault="004D69BD" w:rsidP="004D69BD">
            <w:pPr>
              <w:rPr>
                <w:b/>
                <w:szCs w:val="20"/>
                <w:lang w:eastAsia="x-none"/>
              </w:rPr>
            </w:pPr>
            <w:r w:rsidRPr="00A71B61">
              <w:rPr>
                <w:b/>
                <w:szCs w:val="20"/>
                <w:lang w:eastAsia="x-none"/>
              </w:rPr>
              <w:t>Hospitales públicos</w:t>
            </w:r>
          </w:p>
        </w:tc>
        <w:tc>
          <w:tcPr>
            <w:tcW w:w="732" w:type="pct"/>
            <w:hideMark/>
          </w:tcPr>
          <w:p w:rsidR="004D69BD" w:rsidRPr="00A71B61" w:rsidRDefault="004D69BD" w:rsidP="0027605B">
            <w:pPr>
              <w:jc w:val="center"/>
              <w:rPr>
                <w:szCs w:val="20"/>
                <w:lang w:eastAsia="x-none"/>
              </w:rPr>
            </w:pPr>
            <w:r w:rsidRPr="00A71B61">
              <w:rPr>
                <w:szCs w:val="20"/>
                <w:lang w:eastAsia="x-none"/>
              </w:rPr>
              <w:t>191.940</w:t>
            </w:r>
          </w:p>
        </w:tc>
        <w:tc>
          <w:tcPr>
            <w:tcW w:w="653" w:type="pct"/>
            <w:hideMark/>
          </w:tcPr>
          <w:p w:rsidR="004D69BD" w:rsidRPr="00A71B61" w:rsidRDefault="004D69BD" w:rsidP="0027605B">
            <w:pPr>
              <w:jc w:val="center"/>
              <w:rPr>
                <w:szCs w:val="20"/>
                <w:lang w:eastAsia="x-none"/>
              </w:rPr>
            </w:pPr>
            <w:r w:rsidRPr="00A71B61">
              <w:rPr>
                <w:szCs w:val="20"/>
                <w:lang w:eastAsia="x-none"/>
              </w:rPr>
              <w:t>181.108</w:t>
            </w:r>
          </w:p>
        </w:tc>
        <w:tc>
          <w:tcPr>
            <w:tcW w:w="1096" w:type="pct"/>
            <w:hideMark/>
          </w:tcPr>
          <w:p w:rsidR="004D69BD" w:rsidRPr="00A71B61" w:rsidRDefault="004D69BD" w:rsidP="0027605B">
            <w:pPr>
              <w:jc w:val="center"/>
              <w:rPr>
                <w:szCs w:val="20"/>
                <w:lang w:eastAsia="x-none"/>
              </w:rPr>
            </w:pPr>
            <w:r w:rsidRPr="00A71B61">
              <w:rPr>
                <w:szCs w:val="20"/>
                <w:lang w:eastAsia="x-none"/>
              </w:rPr>
              <w:t>-5,6</w:t>
            </w:r>
          </w:p>
        </w:tc>
        <w:tc>
          <w:tcPr>
            <w:tcW w:w="978" w:type="pct"/>
            <w:hideMark/>
          </w:tcPr>
          <w:p w:rsidR="004D69BD" w:rsidRPr="00A71B61" w:rsidRDefault="004D69BD" w:rsidP="0027605B">
            <w:pPr>
              <w:jc w:val="center"/>
              <w:rPr>
                <w:szCs w:val="20"/>
                <w:lang w:eastAsia="x-none"/>
              </w:rPr>
            </w:pPr>
            <w:r w:rsidRPr="00A71B61">
              <w:rPr>
                <w:szCs w:val="20"/>
                <w:lang w:eastAsia="x-none"/>
              </w:rPr>
              <w:t>-10.832</w:t>
            </w:r>
          </w:p>
        </w:tc>
      </w:tr>
      <w:tr w:rsidR="004D69BD" w:rsidRPr="00A71B61" w:rsidTr="00263D80">
        <w:trPr>
          <w:trHeight w:val="670"/>
        </w:trPr>
        <w:tc>
          <w:tcPr>
            <w:tcW w:w="1542" w:type="pct"/>
            <w:hideMark/>
          </w:tcPr>
          <w:p w:rsidR="004D69BD" w:rsidRPr="00A71B61" w:rsidRDefault="004D69BD" w:rsidP="004D69BD">
            <w:pPr>
              <w:rPr>
                <w:b/>
                <w:szCs w:val="20"/>
                <w:lang w:eastAsia="x-none"/>
              </w:rPr>
            </w:pPr>
            <w:r w:rsidRPr="00A71B61">
              <w:rPr>
                <w:b/>
                <w:szCs w:val="20"/>
                <w:lang w:eastAsia="x-none"/>
              </w:rPr>
              <w:t>Hospitales HM</w:t>
            </w:r>
          </w:p>
        </w:tc>
        <w:tc>
          <w:tcPr>
            <w:tcW w:w="732" w:type="pct"/>
            <w:hideMark/>
          </w:tcPr>
          <w:p w:rsidR="004D69BD" w:rsidRPr="00A71B61" w:rsidRDefault="004D69BD" w:rsidP="0027605B">
            <w:pPr>
              <w:jc w:val="center"/>
              <w:rPr>
                <w:szCs w:val="20"/>
                <w:lang w:eastAsia="x-none"/>
              </w:rPr>
            </w:pPr>
            <w:r w:rsidRPr="00A71B61">
              <w:rPr>
                <w:szCs w:val="20"/>
                <w:lang w:eastAsia="x-none"/>
              </w:rPr>
              <w:t>11.664</w:t>
            </w:r>
          </w:p>
        </w:tc>
        <w:tc>
          <w:tcPr>
            <w:tcW w:w="653" w:type="pct"/>
            <w:hideMark/>
          </w:tcPr>
          <w:p w:rsidR="004D69BD" w:rsidRPr="00A71B61" w:rsidRDefault="004D69BD" w:rsidP="0027605B">
            <w:pPr>
              <w:jc w:val="center"/>
              <w:rPr>
                <w:szCs w:val="20"/>
                <w:lang w:eastAsia="x-none"/>
              </w:rPr>
            </w:pPr>
            <w:r w:rsidRPr="00A71B61">
              <w:rPr>
                <w:szCs w:val="20"/>
                <w:lang w:eastAsia="x-none"/>
              </w:rPr>
              <w:t>9.542</w:t>
            </w:r>
          </w:p>
        </w:tc>
        <w:tc>
          <w:tcPr>
            <w:tcW w:w="1096" w:type="pct"/>
            <w:hideMark/>
          </w:tcPr>
          <w:p w:rsidR="004D69BD" w:rsidRPr="00A71B61" w:rsidRDefault="004D69BD" w:rsidP="0027605B">
            <w:pPr>
              <w:jc w:val="center"/>
              <w:rPr>
                <w:szCs w:val="20"/>
                <w:lang w:eastAsia="x-none"/>
              </w:rPr>
            </w:pPr>
            <w:r w:rsidRPr="00A71B61">
              <w:rPr>
                <w:szCs w:val="20"/>
                <w:lang w:eastAsia="x-none"/>
              </w:rPr>
              <w:t>-18,2</w:t>
            </w:r>
          </w:p>
        </w:tc>
        <w:tc>
          <w:tcPr>
            <w:tcW w:w="978" w:type="pct"/>
            <w:hideMark/>
          </w:tcPr>
          <w:p w:rsidR="004D69BD" w:rsidRPr="00A71B61" w:rsidRDefault="004D69BD" w:rsidP="0027605B">
            <w:pPr>
              <w:jc w:val="center"/>
              <w:rPr>
                <w:szCs w:val="20"/>
                <w:lang w:eastAsia="x-none"/>
              </w:rPr>
            </w:pPr>
            <w:r w:rsidRPr="00A71B61">
              <w:rPr>
                <w:szCs w:val="20"/>
                <w:lang w:eastAsia="x-none"/>
              </w:rPr>
              <w:t>-2.122</w:t>
            </w:r>
          </w:p>
        </w:tc>
      </w:tr>
      <w:tr w:rsidR="004D69BD" w:rsidRPr="00A71B61" w:rsidTr="00263D80">
        <w:trPr>
          <w:trHeight w:val="966"/>
        </w:trPr>
        <w:tc>
          <w:tcPr>
            <w:tcW w:w="1542" w:type="pct"/>
            <w:hideMark/>
          </w:tcPr>
          <w:p w:rsidR="004D69BD" w:rsidRPr="00A71B61" w:rsidRDefault="004D69BD" w:rsidP="004D69BD">
            <w:pPr>
              <w:rPr>
                <w:b/>
                <w:szCs w:val="20"/>
                <w:lang w:eastAsia="x-none"/>
              </w:rPr>
            </w:pPr>
            <w:r w:rsidRPr="00A71B61">
              <w:rPr>
                <w:b/>
                <w:szCs w:val="20"/>
                <w:lang w:eastAsia="x-none"/>
              </w:rPr>
              <w:t>Resto de hospitales privados</w:t>
            </w:r>
          </w:p>
        </w:tc>
        <w:tc>
          <w:tcPr>
            <w:tcW w:w="732" w:type="pct"/>
            <w:hideMark/>
          </w:tcPr>
          <w:p w:rsidR="004D69BD" w:rsidRPr="00A71B61" w:rsidRDefault="004D69BD" w:rsidP="0027605B">
            <w:pPr>
              <w:jc w:val="center"/>
              <w:rPr>
                <w:szCs w:val="20"/>
                <w:lang w:eastAsia="x-none"/>
              </w:rPr>
            </w:pPr>
            <w:r w:rsidRPr="00A71B61">
              <w:rPr>
                <w:szCs w:val="20"/>
                <w:lang w:eastAsia="x-none"/>
              </w:rPr>
              <w:t>28.778</w:t>
            </w:r>
          </w:p>
        </w:tc>
        <w:tc>
          <w:tcPr>
            <w:tcW w:w="653" w:type="pct"/>
            <w:hideMark/>
          </w:tcPr>
          <w:p w:rsidR="004D69BD" w:rsidRPr="00A71B61" w:rsidRDefault="004D69BD" w:rsidP="0027605B">
            <w:pPr>
              <w:jc w:val="center"/>
              <w:rPr>
                <w:szCs w:val="20"/>
                <w:lang w:eastAsia="x-none"/>
              </w:rPr>
            </w:pPr>
            <w:r w:rsidRPr="00A71B61">
              <w:rPr>
                <w:szCs w:val="20"/>
                <w:lang w:eastAsia="x-none"/>
              </w:rPr>
              <w:t>29.266</w:t>
            </w:r>
          </w:p>
        </w:tc>
        <w:tc>
          <w:tcPr>
            <w:tcW w:w="1096" w:type="pct"/>
            <w:hideMark/>
          </w:tcPr>
          <w:p w:rsidR="004D69BD" w:rsidRPr="00A71B61" w:rsidRDefault="004D69BD" w:rsidP="0027605B">
            <w:pPr>
              <w:jc w:val="center"/>
              <w:rPr>
                <w:szCs w:val="20"/>
                <w:lang w:eastAsia="x-none"/>
              </w:rPr>
            </w:pPr>
            <w:r w:rsidRPr="00A71B61">
              <w:rPr>
                <w:szCs w:val="20"/>
                <w:lang w:eastAsia="x-none"/>
              </w:rPr>
              <w:t>1,7</w:t>
            </w:r>
          </w:p>
        </w:tc>
        <w:tc>
          <w:tcPr>
            <w:tcW w:w="978" w:type="pct"/>
            <w:hideMark/>
          </w:tcPr>
          <w:p w:rsidR="004D69BD" w:rsidRPr="00A71B61" w:rsidRDefault="004D69BD" w:rsidP="0027605B">
            <w:pPr>
              <w:jc w:val="center"/>
              <w:rPr>
                <w:szCs w:val="20"/>
                <w:lang w:eastAsia="x-none"/>
              </w:rPr>
            </w:pPr>
            <w:r w:rsidRPr="00A71B61">
              <w:rPr>
                <w:szCs w:val="20"/>
                <w:lang w:eastAsia="x-none"/>
              </w:rPr>
              <w:t>488</w:t>
            </w:r>
          </w:p>
        </w:tc>
      </w:tr>
      <w:tr w:rsidR="004D69BD" w:rsidRPr="00A71B61" w:rsidTr="00263D80">
        <w:trPr>
          <w:cnfStyle w:val="010000000000" w:firstRow="0" w:lastRow="1" w:firstColumn="0" w:lastColumn="0" w:oddVBand="0" w:evenVBand="0" w:oddHBand="0" w:evenHBand="0" w:firstRowFirstColumn="0" w:firstRowLastColumn="0" w:lastRowFirstColumn="0" w:lastRowLastColumn="0"/>
          <w:trHeight w:val="616"/>
        </w:trPr>
        <w:tc>
          <w:tcPr>
            <w:tcW w:w="1542" w:type="pct"/>
            <w:hideMark/>
          </w:tcPr>
          <w:p w:rsidR="004D69BD" w:rsidRPr="00A71B61" w:rsidRDefault="004D69BD" w:rsidP="004D69BD">
            <w:pPr>
              <w:rPr>
                <w:szCs w:val="20"/>
                <w:lang w:eastAsia="x-none"/>
              </w:rPr>
            </w:pPr>
            <w:r w:rsidRPr="00A71B61">
              <w:rPr>
                <w:bCs w:val="0"/>
                <w:szCs w:val="20"/>
                <w:lang w:eastAsia="x-none"/>
              </w:rPr>
              <w:t>Total</w:t>
            </w:r>
          </w:p>
        </w:tc>
        <w:tc>
          <w:tcPr>
            <w:tcW w:w="732" w:type="pct"/>
            <w:hideMark/>
          </w:tcPr>
          <w:p w:rsidR="004D69BD" w:rsidRPr="00A71B61" w:rsidRDefault="004D69BD" w:rsidP="0027605B">
            <w:pPr>
              <w:jc w:val="center"/>
              <w:rPr>
                <w:szCs w:val="20"/>
                <w:lang w:eastAsia="x-none"/>
              </w:rPr>
            </w:pPr>
            <w:r w:rsidRPr="00A71B61">
              <w:rPr>
                <w:bCs w:val="0"/>
                <w:szCs w:val="20"/>
                <w:lang w:eastAsia="x-none"/>
              </w:rPr>
              <w:t>232.337</w:t>
            </w:r>
          </w:p>
        </w:tc>
        <w:tc>
          <w:tcPr>
            <w:tcW w:w="653" w:type="pct"/>
            <w:hideMark/>
          </w:tcPr>
          <w:p w:rsidR="004D69BD" w:rsidRPr="00A71B61" w:rsidRDefault="004D69BD" w:rsidP="0027605B">
            <w:pPr>
              <w:jc w:val="center"/>
              <w:rPr>
                <w:szCs w:val="20"/>
                <w:lang w:eastAsia="x-none"/>
              </w:rPr>
            </w:pPr>
            <w:r w:rsidRPr="00A71B61">
              <w:rPr>
                <w:bCs w:val="0"/>
                <w:szCs w:val="20"/>
                <w:lang w:eastAsia="x-none"/>
              </w:rPr>
              <w:t>221.038</w:t>
            </w:r>
          </w:p>
        </w:tc>
        <w:tc>
          <w:tcPr>
            <w:tcW w:w="1096" w:type="pct"/>
            <w:hideMark/>
          </w:tcPr>
          <w:p w:rsidR="004D69BD" w:rsidRPr="00A71B61" w:rsidRDefault="004D69BD" w:rsidP="0027605B">
            <w:pPr>
              <w:jc w:val="center"/>
              <w:rPr>
                <w:szCs w:val="20"/>
                <w:lang w:eastAsia="x-none"/>
              </w:rPr>
            </w:pPr>
            <w:r w:rsidRPr="00A71B61">
              <w:rPr>
                <w:bCs w:val="0"/>
                <w:szCs w:val="20"/>
                <w:lang w:eastAsia="x-none"/>
              </w:rPr>
              <w:t>-4,9</w:t>
            </w:r>
          </w:p>
        </w:tc>
        <w:tc>
          <w:tcPr>
            <w:tcW w:w="978" w:type="pct"/>
            <w:hideMark/>
          </w:tcPr>
          <w:p w:rsidR="004D69BD" w:rsidRPr="00A71B61" w:rsidRDefault="004D69BD" w:rsidP="0027605B">
            <w:pPr>
              <w:jc w:val="center"/>
              <w:rPr>
                <w:szCs w:val="20"/>
                <w:lang w:eastAsia="x-none"/>
              </w:rPr>
            </w:pPr>
            <w:r w:rsidRPr="00A71B61">
              <w:rPr>
                <w:bCs w:val="0"/>
                <w:szCs w:val="20"/>
                <w:lang w:eastAsia="x-none"/>
              </w:rPr>
              <w:t>-11.299</w:t>
            </w:r>
          </w:p>
        </w:tc>
      </w:tr>
    </w:tbl>
    <w:p w:rsidR="0027605B" w:rsidRPr="00A71B61" w:rsidRDefault="0027605B" w:rsidP="004D69BD">
      <w:pPr>
        <w:rPr>
          <w:szCs w:val="20"/>
          <w:lang w:val="x-none" w:eastAsia="x-none"/>
        </w:rPr>
      </w:pPr>
    </w:p>
    <w:p w:rsidR="0027605B" w:rsidRPr="00A71B61" w:rsidRDefault="0027605B">
      <w:pPr>
        <w:rPr>
          <w:szCs w:val="20"/>
          <w:lang w:val="x-none" w:eastAsia="x-none"/>
        </w:rPr>
      </w:pPr>
      <w:r w:rsidRPr="00A71B61">
        <w:rPr>
          <w:szCs w:val="20"/>
          <w:lang w:val="x-none" w:eastAsia="x-none"/>
        </w:rPr>
        <w:br w:type="page"/>
      </w:r>
    </w:p>
    <w:p w:rsidR="004D69BD" w:rsidRPr="00A71B61" w:rsidRDefault="004D69BD" w:rsidP="004D69BD">
      <w:pPr>
        <w:rPr>
          <w:szCs w:val="20"/>
          <w:lang w:val="x-none" w:eastAsia="x-none"/>
        </w:rPr>
      </w:pPr>
    </w:p>
    <w:tbl>
      <w:tblPr>
        <w:tblStyle w:val="Tabladecuadrcula5oscura-nfasis1"/>
        <w:tblW w:w="5000" w:type="pct"/>
        <w:tblLook w:val="0660" w:firstRow="1" w:lastRow="1" w:firstColumn="0" w:lastColumn="0" w:noHBand="1" w:noVBand="1"/>
      </w:tblPr>
      <w:tblGrid>
        <w:gridCol w:w="2261"/>
        <w:gridCol w:w="1421"/>
        <w:gridCol w:w="1078"/>
        <w:gridCol w:w="1585"/>
        <w:gridCol w:w="1582"/>
      </w:tblGrid>
      <w:tr w:rsidR="0027605B" w:rsidRPr="00A71B61" w:rsidTr="00263D80">
        <w:trPr>
          <w:cnfStyle w:val="100000000000" w:firstRow="1" w:lastRow="0" w:firstColumn="0" w:lastColumn="0" w:oddVBand="0" w:evenVBand="0" w:oddHBand="0" w:evenHBand="0" w:firstRowFirstColumn="0" w:firstRowLastColumn="0" w:lastRowFirstColumn="0" w:lastRowLastColumn="0"/>
          <w:trHeight w:val="759"/>
        </w:trPr>
        <w:tc>
          <w:tcPr>
            <w:tcW w:w="1426" w:type="pct"/>
            <w:hideMark/>
          </w:tcPr>
          <w:p w:rsidR="0027605B" w:rsidRPr="00A71B61" w:rsidRDefault="0027605B" w:rsidP="0027605B">
            <w:pPr>
              <w:rPr>
                <w:szCs w:val="20"/>
                <w:lang w:eastAsia="x-none"/>
              </w:rPr>
            </w:pPr>
            <w:r w:rsidRPr="00A71B61">
              <w:rPr>
                <w:b w:val="0"/>
                <w:bCs w:val="0"/>
                <w:szCs w:val="20"/>
                <w:lang w:eastAsia="x-none"/>
              </w:rPr>
              <w:t>Distribución de plaquetas</w:t>
            </w:r>
          </w:p>
        </w:tc>
        <w:tc>
          <w:tcPr>
            <w:tcW w:w="896" w:type="pct"/>
            <w:hideMark/>
          </w:tcPr>
          <w:p w:rsidR="0027605B" w:rsidRPr="00A71B61" w:rsidRDefault="0027605B" w:rsidP="0027605B">
            <w:pPr>
              <w:rPr>
                <w:szCs w:val="20"/>
                <w:lang w:eastAsia="x-none"/>
              </w:rPr>
            </w:pPr>
            <w:r w:rsidRPr="00A71B61">
              <w:rPr>
                <w:b w:val="0"/>
                <w:bCs w:val="0"/>
                <w:szCs w:val="20"/>
                <w:lang w:eastAsia="x-none"/>
              </w:rPr>
              <w:t>2019</w:t>
            </w:r>
          </w:p>
        </w:tc>
        <w:tc>
          <w:tcPr>
            <w:tcW w:w="680" w:type="pct"/>
            <w:hideMark/>
          </w:tcPr>
          <w:p w:rsidR="0027605B" w:rsidRPr="00A71B61" w:rsidRDefault="0027605B" w:rsidP="0027605B">
            <w:pPr>
              <w:rPr>
                <w:szCs w:val="20"/>
                <w:lang w:eastAsia="x-none"/>
              </w:rPr>
            </w:pPr>
            <w:r w:rsidRPr="00A71B61">
              <w:rPr>
                <w:b w:val="0"/>
                <w:bCs w:val="0"/>
                <w:szCs w:val="20"/>
                <w:lang w:eastAsia="x-none"/>
              </w:rPr>
              <w:t>2020</w:t>
            </w:r>
          </w:p>
        </w:tc>
        <w:tc>
          <w:tcPr>
            <w:tcW w:w="1000" w:type="pct"/>
            <w:hideMark/>
          </w:tcPr>
          <w:p w:rsidR="0027605B" w:rsidRPr="00A71B61" w:rsidRDefault="0027605B" w:rsidP="0027605B">
            <w:pPr>
              <w:rPr>
                <w:szCs w:val="20"/>
                <w:lang w:eastAsia="x-none"/>
              </w:rPr>
            </w:pPr>
            <w:r w:rsidRPr="00A71B61">
              <w:rPr>
                <w:b w:val="0"/>
                <w:bCs w:val="0"/>
                <w:szCs w:val="20"/>
                <w:lang w:eastAsia="x-none"/>
              </w:rPr>
              <w:t>Dif (%)</w:t>
            </w:r>
          </w:p>
          <w:p w:rsidR="0027605B" w:rsidRPr="00A71B61" w:rsidRDefault="0027605B" w:rsidP="0027605B">
            <w:pPr>
              <w:rPr>
                <w:szCs w:val="20"/>
                <w:lang w:eastAsia="x-none"/>
              </w:rPr>
            </w:pPr>
            <w:r w:rsidRPr="00A71B61">
              <w:rPr>
                <w:b w:val="0"/>
                <w:bCs w:val="0"/>
                <w:szCs w:val="20"/>
                <w:lang w:eastAsia="x-none"/>
              </w:rPr>
              <w:t>2020-2019</w:t>
            </w:r>
          </w:p>
        </w:tc>
        <w:tc>
          <w:tcPr>
            <w:tcW w:w="998" w:type="pct"/>
            <w:hideMark/>
          </w:tcPr>
          <w:p w:rsidR="0027605B" w:rsidRPr="00A71B61" w:rsidRDefault="0027605B" w:rsidP="0027605B">
            <w:pPr>
              <w:rPr>
                <w:szCs w:val="20"/>
                <w:lang w:eastAsia="x-none"/>
              </w:rPr>
            </w:pPr>
            <w:r w:rsidRPr="00A71B61">
              <w:rPr>
                <w:b w:val="0"/>
                <w:bCs w:val="0"/>
                <w:szCs w:val="20"/>
                <w:lang w:eastAsia="x-none"/>
              </w:rPr>
              <w:t>Dif (n)</w:t>
            </w:r>
          </w:p>
          <w:p w:rsidR="0027605B" w:rsidRPr="00A71B61" w:rsidRDefault="0027605B" w:rsidP="0027605B">
            <w:pPr>
              <w:rPr>
                <w:szCs w:val="20"/>
                <w:lang w:eastAsia="x-none"/>
              </w:rPr>
            </w:pPr>
            <w:r w:rsidRPr="00A71B61">
              <w:rPr>
                <w:b w:val="0"/>
                <w:bCs w:val="0"/>
                <w:szCs w:val="20"/>
                <w:lang w:eastAsia="x-none"/>
              </w:rPr>
              <w:t>2020-2019</w:t>
            </w:r>
          </w:p>
        </w:tc>
      </w:tr>
      <w:tr w:rsidR="0027605B" w:rsidRPr="00A71B61" w:rsidTr="00263D80">
        <w:trPr>
          <w:trHeight w:val="734"/>
        </w:trPr>
        <w:tc>
          <w:tcPr>
            <w:tcW w:w="1426" w:type="pct"/>
            <w:hideMark/>
          </w:tcPr>
          <w:p w:rsidR="0027605B" w:rsidRPr="00A71B61" w:rsidRDefault="0027605B" w:rsidP="0027605B">
            <w:pPr>
              <w:rPr>
                <w:b/>
                <w:szCs w:val="20"/>
                <w:lang w:eastAsia="x-none"/>
              </w:rPr>
            </w:pPr>
            <w:r w:rsidRPr="00A71B61">
              <w:rPr>
                <w:b/>
                <w:szCs w:val="20"/>
                <w:lang w:eastAsia="x-none"/>
              </w:rPr>
              <w:t>Hospitales públicos</w:t>
            </w:r>
          </w:p>
        </w:tc>
        <w:tc>
          <w:tcPr>
            <w:tcW w:w="896" w:type="pct"/>
            <w:hideMark/>
          </w:tcPr>
          <w:p w:rsidR="0027605B" w:rsidRPr="00A71B61" w:rsidRDefault="0027605B" w:rsidP="0027605B">
            <w:pPr>
              <w:jc w:val="center"/>
              <w:rPr>
                <w:szCs w:val="20"/>
                <w:lang w:eastAsia="x-none"/>
              </w:rPr>
            </w:pPr>
            <w:r w:rsidRPr="00A71B61">
              <w:rPr>
                <w:szCs w:val="20"/>
                <w:lang w:eastAsia="x-none"/>
              </w:rPr>
              <w:t>36.426</w:t>
            </w:r>
          </w:p>
        </w:tc>
        <w:tc>
          <w:tcPr>
            <w:tcW w:w="680" w:type="pct"/>
            <w:hideMark/>
          </w:tcPr>
          <w:p w:rsidR="0027605B" w:rsidRPr="00A71B61" w:rsidRDefault="0027605B" w:rsidP="0027605B">
            <w:pPr>
              <w:jc w:val="center"/>
              <w:rPr>
                <w:szCs w:val="20"/>
                <w:lang w:eastAsia="x-none"/>
              </w:rPr>
            </w:pPr>
            <w:r w:rsidRPr="00A71B61">
              <w:rPr>
                <w:szCs w:val="20"/>
                <w:lang w:eastAsia="x-none"/>
              </w:rPr>
              <w:t>34.096</w:t>
            </w:r>
          </w:p>
        </w:tc>
        <w:tc>
          <w:tcPr>
            <w:tcW w:w="1000" w:type="pct"/>
            <w:hideMark/>
          </w:tcPr>
          <w:p w:rsidR="0027605B" w:rsidRPr="00A71B61" w:rsidRDefault="0027605B" w:rsidP="0027605B">
            <w:pPr>
              <w:jc w:val="center"/>
              <w:rPr>
                <w:szCs w:val="20"/>
                <w:lang w:eastAsia="x-none"/>
              </w:rPr>
            </w:pPr>
            <w:r w:rsidRPr="00A71B61">
              <w:rPr>
                <w:szCs w:val="20"/>
                <w:lang w:eastAsia="x-none"/>
              </w:rPr>
              <w:t>-6,4</w:t>
            </w:r>
          </w:p>
        </w:tc>
        <w:tc>
          <w:tcPr>
            <w:tcW w:w="998" w:type="pct"/>
            <w:hideMark/>
          </w:tcPr>
          <w:p w:rsidR="0027605B" w:rsidRPr="00A71B61" w:rsidRDefault="0027605B" w:rsidP="0027605B">
            <w:pPr>
              <w:jc w:val="center"/>
              <w:rPr>
                <w:szCs w:val="20"/>
                <w:lang w:eastAsia="x-none"/>
              </w:rPr>
            </w:pPr>
            <w:r w:rsidRPr="00A71B61">
              <w:rPr>
                <w:szCs w:val="20"/>
                <w:lang w:eastAsia="x-none"/>
              </w:rPr>
              <w:t>-2.330</w:t>
            </w:r>
          </w:p>
        </w:tc>
      </w:tr>
      <w:tr w:rsidR="0027605B" w:rsidRPr="00A71B61" w:rsidTr="00263D80">
        <w:trPr>
          <w:trHeight w:val="682"/>
        </w:trPr>
        <w:tc>
          <w:tcPr>
            <w:tcW w:w="1426" w:type="pct"/>
            <w:hideMark/>
          </w:tcPr>
          <w:p w:rsidR="0027605B" w:rsidRPr="00A71B61" w:rsidRDefault="0027605B" w:rsidP="0027605B">
            <w:pPr>
              <w:rPr>
                <w:b/>
                <w:szCs w:val="20"/>
                <w:lang w:eastAsia="x-none"/>
              </w:rPr>
            </w:pPr>
            <w:r w:rsidRPr="00A71B61">
              <w:rPr>
                <w:b/>
                <w:szCs w:val="20"/>
                <w:lang w:eastAsia="x-none"/>
              </w:rPr>
              <w:t>Hospitales HM</w:t>
            </w:r>
          </w:p>
        </w:tc>
        <w:tc>
          <w:tcPr>
            <w:tcW w:w="896" w:type="pct"/>
            <w:hideMark/>
          </w:tcPr>
          <w:p w:rsidR="0027605B" w:rsidRPr="00A71B61" w:rsidRDefault="0027605B" w:rsidP="0027605B">
            <w:pPr>
              <w:jc w:val="center"/>
              <w:rPr>
                <w:szCs w:val="20"/>
                <w:lang w:eastAsia="x-none"/>
              </w:rPr>
            </w:pPr>
            <w:r w:rsidRPr="00A71B61">
              <w:rPr>
                <w:szCs w:val="20"/>
                <w:lang w:eastAsia="x-none"/>
              </w:rPr>
              <w:t>2.115</w:t>
            </w:r>
          </w:p>
        </w:tc>
        <w:tc>
          <w:tcPr>
            <w:tcW w:w="680" w:type="pct"/>
            <w:hideMark/>
          </w:tcPr>
          <w:p w:rsidR="0027605B" w:rsidRPr="00A71B61" w:rsidRDefault="0027605B" w:rsidP="0027605B">
            <w:pPr>
              <w:jc w:val="center"/>
              <w:rPr>
                <w:szCs w:val="20"/>
                <w:lang w:eastAsia="x-none"/>
              </w:rPr>
            </w:pPr>
            <w:r w:rsidRPr="00A71B61">
              <w:rPr>
                <w:szCs w:val="20"/>
                <w:lang w:eastAsia="x-none"/>
              </w:rPr>
              <w:t>1.470</w:t>
            </w:r>
          </w:p>
        </w:tc>
        <w:tc>
          <w:tcPr>
            <w:tcW w:w="1000" w:type="pct"/>
            <w:hideMark/>
          </w:tcPr>
          <w:p w:rsidR="0027605B" w:rsidRPr="00A71B61" w:rsidRDefault="0027605B" w:rsidP="0027605B">
            <w:pPr>
              <w:jc w:val="center"/>
              <w:rPr>
                <w:szCs w:val="20"/>
                <w:lang w:eastAsia="x-none"/>
              </w:rPr>
            </w:pPr>
            <w:r w:rsidRPr="00A71B61">
              <w:rPr>
                <w:szCs w:val="20"/>
                <w:lang w:eastAsia="x-none"/>
              </w:rPr>
              <w:t>-30,5</w:t>
            </w:r>
          </w:p>
        </w:tc>
        <w:tc>
          <w:tcPr>
            <w:tcW w:w="998" w:type="pct"/>
            <w:hideMark/>
          </w:tcPr>
          <w:p w:rsidR="0027605B" w:rsidRPr="00A71B61" w:rsidRDefault="0027605B" w:rsidP="0027605B">
            <w:pPr>
              <w:jc w:val="center"/>
              <w:rPr>
                <w:szCs w:val="20"/>
                <w:lang w:eastAsia="x-none"/>
              </w:rPr>
            </w:pPr>
            <w:r w:rsidRPr="00A71B61">
              <w:rPr>
                <w:szCs w:val="20"/>
                <w:lang w:eastAsia="x-none"/>
              </w:rPr>
              <w:t>-645</w:t>
            </w:r>
          </w:p>
        </w:tc>
      </w:tr>
      <w:tr w:rsidR="0027605B" w:rsidRPr="00A71B61" w:rsidTr="00263D80">
        <w:trPr>
          <w:trHeight w:val="798"/>
        </w:trPr>
        <w:tc>
          <w:tcPr>
            <w:tcW w:w="1426" w:type="pct"/>
            <w:hideMark/>
          </w:tcPr>
          <w:p w:rsidR="0027605B" w:rsidRPr="00A71B61" w:rsidRDefault="0027605B" w:rsidP="0027605B">
            <w:pPr>
              <w:rPr>
                <w:b/>
                <w:szCs w:val="20"/>
                <w:lang w:eastAsia="x-none"/>
              </w:rPr>
            </w:pPr>
            <w:r w:rsidRPr="00A71B61">
              <w:rPr>
                <w:b/>
                <w:szCs w:val="20"/>
                <w:lang w:eastAsia="x-none"/>
              </w:rPr>
              <w:t>Resto de hospitales privados</w:t>
            </w:r>
          </w:p>
        </w:tc>
        <w:tc>
          <w:tcPr>
            <w:tcW w:w="896" w:type="pct"/>
            <w:hideMark/>
          </w:tcPr>
          <w:p w:rsidR="0027605B" w:rsidRPr="00A71B61" w:rsidRDefault="0027605B" w:rsidP="0027605B">
            <w:pPr>
              <w:jc w:val="center"/>
              <w:rPr>
                <w:szCs w:val="20"/>
                <w:lang w:eastAsia="x-none"/>
              </w:rPr>
            </w:pPr>
            <w:r w:rsidRPr="00A71B61">
              <w:rPr>
                <w:szCs w:val="20"/>
                <w:lang w:eastAsia="x-none"/>
              </w:rPr>
              <w:t>3.133</w:t>
            </w:r>
          </w:p>
        </w:tc>
        <w:tc>
          <w:tcPr>
            <w:tcW w:w="680" w:type="pct"/>
            <w:hideMark/>
          </w:tcPr>
          <w:p w:rsidR="0027605B" w:rsidRPr="00A71B61" w:rsidRDefault="0027605B" w:rsidP="0027605B">
            <w:pPr>
              <w:jc w:val="center"/>
              <w:rPr>
                <w:szCs w:val="20"/>
                <w:lang w:eastAsia="x-none"/>
              </w:rPr>
            </w:pPr>
            <w:r w:rsidRPr="00A71B61">
              <w:rPr>
                <w:szCs w:val="20"/>
                <w:lang w:eastAsia="x-none"/>
              </w:rPr>
              <w:t>3.115</w:t>
            </w:r>
          </w:p>
        </w:tc>
        <w:tc>
          <w:tcPr>
            <w:tcW w:w="1000" w:type="pct"/>
            <w:hideMark/>
          </w:tcPr>
          <w:p w:rsidR="0027605B" w:rsidRPr="00A71B61" w:rsidRDefault="0027605B" w:rsidP="0027605B">
            <w:pPr>
              <w:jc w:val="center"/>
              <w:rPr>
                <w:szCs w:val="20"/>
                <w:lang w:eastAsia="x-none"/>
              </w:rPr>
            </w:pPr>
            <w:r w:rsidRPr="00A71B61">
              <w:rPr>
                <w:szCs w:val="20"/>
                <w:lang w:eastAsia="x-none"/>
              </w:rPr>
              <w:t>-0,6</w:t>
            </w:r>
          </w:p>
        </w:tc>
        <w:tc>
          <w:tcPr>
            <w:tcW w:w="998" w:type="pct"/>
            <w:hideMark/>
          </w:tcPr>
          <w:p w:rsidR="0027605B" w:rsidRPr="00A71B61" w:rsidRDefault="0027605B" w:rsidP="0027605B">
            <w:pPr>
              <w:jc w:val="center"/>
              <w:rPr>
                <w:szCs w:val="20"/>
                <w:lang w:eastAsia="x-none"/>
              </w:rPr>
            </w:pPr>
            <w:r w:rsidRPr="00A71B61">
              <w:rPr>
                <w:szCs w:val="20"/>
                <w:lang w:eastAsia="x-none"/>
              </w:rPr>
              <w:t>-18</w:t>
            </w:r>
          </w:p>
        </w:tc>
      </w:tr>
      <w:tr w:rsidR="0027605B" w:rsidRPr="00A71B61" w:rsidTr="00263D80">
        <w:trPr>
          <w:cnfStyle w:val="010000000000" w:firstRow="0" w:lastRow="1" w:firstColumn="0" w:lastColumn="0" w:oddVBand="0" w:evenVBand="0" w:oddHBand="0" w:evenHBand="0" w:firstRowFirstColumn="0" w:firstRowLastColumn="0" w:lastRowFirstColumn="0" w:lastRowLastColumn="0"/>
          <w:trHeight w:val="610"/>
        </w:trPr>
        <w:tc>
          <w:tcPr>
            <w:tcW w:w="1426" w:type="pct"/>
            <w:hideMark/>
          </w:tcPr>
          <w:p w:rsidR="0027605B" w:rsidRPr="00A71B61" w:rsidRDefault="0027605B" w:rsidP="0027605B">
            <w:pPr>
              <w:rPr>
                <w:szCs w:val="20"/>
                <w:lang w:eastAsia="x-none"/>
              </w:rPr>
            </w:pPr>
            <w:r w:rsidRPr="00A71B61">
              <w:rPr>
                <w:b w:val="0"/>
                <w:bCs w:val="0"/>
                <w:szCs w:val="20"/>
                <w:lang w:eastAsia="x-none"/>
              </w:rPr>
              <w:t>Total</w:t>
            </w:r>
          </w:p>
        </w:tc>
        <w:tc>
          <w:tcPr>
            <w:tcW w:w="896" w:type="pct"/>
            <w:hideMark/>
          </w:tcPr>
          <w:p w:rsidR="0027605B" w:rsidRPr="00A71B61" w:rsidRDefault="0027605B" w:rsidP="0027605B">
            <w:pPr>
              <w:jc w:val="center"/>
              <w:rPr>
                <w:szCs w:val="20"/>
                <w:lang w:eastAsia="x-none"/>
              </w:rPr>
            </w:pPr>
            <w:r w:rsidRPr="00A71B61">
              <w:rPr>
                <w:b w:val="0"/>
                <w:bCs w:val="0"/>
                <w:szCs w:val="20"/>
                <w:lang w:eastAsia="x-none"/>
              </w:rPr>
              <w:t>41.664</w:t>
            </w:r>
          </w:p>
        </w:tc>
        <w:tc>
          <w:tcPr>
            <w:tcW w:w="680" w:type="pct"/>
            <w:hideMark/>
          </w:tcPr>
          <w:p w:rsidR="0027605B" w:rsidRPr="00A71B61" w:rsidRDefault="0027605B" w:rsidP="0027605B">
            <w:pPr>
              <w:jc w:val="center"/>
              <w:rPr>
                <w:szCs w:val="20"/>
                <w:lang w:eastAsia="x-none"/>
              </w:rPr>
            </w:pPr>
            <w:r w:rsidRPr="00A71B61">
              <w:rPr>
                <w:b w:val="0"/>
                <w:bCs w:val="0"/>
                <w:szCs w:val="20"/>
                <w:lang w:eastAsia="x-none"/>
              </w:rPr>
              <w:t>38.681</w:t>
            </w:r>
          </w:p>
        </w:tc>
        <w:tc>
          <w:tcPr>
            <w:tcW w:w="1000" w:type="pct"/>
            <w:hideMark/>
          </w:tcPr>
          <w:p w:rsidR="0027605B" w:rsidRPr="00A71B61" w:rsidRDefault="0027605B" w:rsidP="0027605B">
            <w:pPr>
              <w:jc w:val="center"/>
              <w:rPr>
                <w:szCs w:val="20"/>
                <w:lang w:eastAsia="x-none"/>
              </w:rPr>
            </w:pPr>
            <w:r w:rsidRPr="00A71B61">
              <w:rPr>
                <w:b w:val="0"/>
                <w:bCs w:val="0"/>
                <w:szCs w:val="20"/>
                <w:lang w:eastAsia="x-none"/>
              </w:rPr>
              <w:t>-7,2</w:t>
            </w:r>
          </w:p>
        </w:tc>
        <w:tc>
          <w:tcPr>
            <w:tcW w:w="998" w:type="pct"/>
            <w:hideMark/>
          </w:tcPr>
          <w:p w:rsidR="0027605B" w:rsidRPr="00A71B61" w:rsidRDefault="0027605B" w:rsidP="0027605B">
            <w:pPr>
              <w:jc w:val="center"/>
              <w:rPr>
                <w:szCs w:val="20"/>
                <w:lang w:eastAsia="x-none"/>
              </w:rPr>
            </w:pPr>
            <w:r w:rsidRPr="00A71B61">
              <w:rPr>
                <w:b w:val="0"/>
                <w:bCs w:val="0"/>
                <w:szCs w:val="20"/>
                <w:lang w:eastAsia="x-none"/>
              </w:rPr>
              <w:t>-2.983</w:t>
            </w:r>
          </w:p>
        </w:tc>
      </w:tr>
    </w:tbl>
    <w:p w:rsidR="00F14849" w:rsidRPr="00A71B61" w:rsidRDefault="00F14849" w:rsidP="004D69BD">
      <w:pPr>
        <w:rPr>
          <w:szCs w:val="20"/>
          <w:lang w:val="x-none" w:eastAsia="x-none"/>
        </w:rPr>
      </w:pPr>
    </w:p>
    <w:tbl>
      <w:tblPr>
        <w:tblStyle w:val="Tabladecuadrcula5oscura-nfasis1"/>
        <w:tblW w:w="5000" w:type="pct"/>
        <w:tblLook w:val="0660" w:firstRow="1" w:lastRow="1" w:firstColumn="0" w:lastColumn="0" w:noHBand="1" w:noVBand="1"/>
      </w:tblPr>
      <w:tblGrid>
        <w:gridCol w:w="2350"/>
        <w:gridCol w:w="1332"/>
        <w:gridCol w:w="1078"/>
        <w:gridCol w:w="1585"/>
        <w:gridCol w:w="1582"/>
      </w:tblGrid>
      <w:tr w:rsidR="0027605B" w:rsidRPr="00A71B61" w:rsidTr="00263D80">
        <w:trPr>
          <w:cnfStyle w:val="100000000000" w:firstRow="1" w:lastRow="0" w:firstColumn="0" w:lastColumn="0" w:oddVBand="0" w:evenVBand="0" w:oddHBand="0" w:evenHBand="0" w:firstRowFirstColumn="0" w:firstRowLastColumn="0" w:lastRowFirstColumn="0" w:lastRowLastColumn="0"/>
          <w:trHeight w:val="932"/>
        </w:trPr>
        <w:tc>
          <w:tcPr>
            <w:tcW w:w="1482" w:type="pct"/>
            <w:hideMark/>
          </w:tcPr>
          <w:p w:rsidR="0027605B" w:rsidRPr="00A71B61" w:rsidRDefault="0027605B" w:rsidP="0027605B">
            <w:pPr>
              <w:rPr>
                <w:szCs w:val="20"/>
                <w:lang w:eastAsia="x-none"/>
              </w:rPr>
            </w:pPr>
            <w:r w:rsidRPr="00A71B61">
              <w:rPr>
                <w:b w:val="0"/>
                <w:bCs w:val="0"/>
                <w:szCs w:val="20"/>
                <w:lang w:eastAsia="x-none"/>
              </w:rPr>
              <w:t>Distribución de plasma</w:t>
            </w:r>
          </w:p>
        </w:tc>
        <w:tc>
          <w:tcPr>
            <w:tcW w:w="840" w:type="pct"/>
            <w:hideMark/>
          </w:tcPr>
          <w:p w:rsidR="0027605B" w:rsidRPr="00A71B61" w:rsidRDefault="0027605B" w:rsidP="0027605B">
            <w:pPr>
              <w:rPr>
                <w:szCs w:val="20"/>
                <w:lang w:eastAsia="x-none"/>
              </w:rPr>
            </w:pPr>
            <w:r w:rsidRPr="00A71B61">
              <w:rPr>
                <w:b w:val="0"/>
                <w:bCs w:val="0"/>
                <w:szCs w:val="20"/>
                <w:lang w:eastAsia="x-none"/>
              </w:rPr>
              <w:t>2019</w:t>
            </w:r>
          </w:p>
        </w:tc>
        <w:tc>
          <w:tcPr>
            <w:tcW w:w="680" w:type="pct"/>
            <w:hideMark/>
          </w:tcPr>
          <w:p w:rsidR="0027605B" w:rsidRPr="00A71B61" w:rsidRDefault="0027605B" w:rsidP="0027605B">
            <w:pPr>
              <w:rPr>
                <w:szCs w:val="20"/>
                <w:lang w:eastAsia="x-none"/>
              </w:rPr>
            </w:pPr>
            <w:r w:rsidRPr="00A71B61">
              <w:rPr>
                <w:b w:val="0"/>
                <w:bCs w:val="0"/>
                <w:szCs w:val="20"/>
                <w:lang w:eastAsia="x-none"/>
              </w:rPr>
              <w:t>2020</w:t>
            </w:r>
          </w:p>
        </w:tc>
        <w:tc>
          <w:tcPr>
            <w:tcW w:w="1000" w:type="pct"/>
            <w:hideMark/>
          </w:tcPr>
          <w:p w:rsidR="0027605B" w:rsidRPr="00A71B61" w:rsidRDefault="0027605B" w:rsidP="0027605B">
            <w:pPr>
              <w:rPr>
                <w:szCs w:val="20"/>
                <w:lang w:eastAsia="x-none"/>
              </w:rPr>
            </w:pPr>
            <w:r w:rsidRPr="00A71B61">
              <w:rPr>
                <w:b w:val="0"/>
                <w:bCs w:val="0"/>
                <w:szCs w:val="20"/>
                <w:lang w:eastAsia="x-none"/>
              </w:rPr>
              <w:t>Dif (%)</w:t>
            </w:r>
          </w:p>
          <w:p w:rsidR="0027605B" w:rsidRPr="00A71B61" w:rsidRDefault="0027605B" w:rsidP="0027605B">
            <w:pPr>
              <w:rPr>
                <w:szCs w:val="20"/>
                <w:lang w:eastAsia="x-none"/>
              </w:rPr>
            </w:pPr>
            <w:r w:rsidRPr="00A71B61">
              <w:rPr>
                <w:b w:val="0"/>
                <w:bCs w:val="0"/>
                <w:szCs w:val="20"/>
                <w:lang w:eastAsia="x-none"/>
              </w:rPr>
              <w:t>2020-2019</w:t>
            </w:r>
          </w:p>
        </w:tc>
        <w:tc>
          <w:tcPr>
            <w:tcW w:w="999" w:type="pct"/>
            <w:hideMark/>
          </w:tcPr>
          <w:p w:rsidR="0027605B" w:rsidRPr="00A71B61" w:rsidRDefault="0027605B" w:rsidP="0027605B">
            <w:pPr>
              <w:rPr>
                <w:szCs w:val="20"/>
                <w:lang w:eastAsia="x-none"/>
              </w:rPr>
            </w:pPr>
            <w:r w:rsidRPr="00A71B61">
              <w:rPr>
                <w:b w:val="0"/>
                <w:bCs w:val="0"/>
                <w:szCs w:val="20"/>
                <w:lang w:eastAsia="x-none"/>
              </w:rPr>
              <w:t>Dif (n)</w:t>
            </w:r>
          </w:p>
          <w:p w:rsidR="0027605B" w:rsidRPr="00A71B61" w:rsidRDefault="0027605B" w:rsidP="0027605B">
            <w:pPr>
              <w:rPr>
                <w:szCs w:val="20"/>
                <w:lang w:eastAsia="x-none"/>
              </w:rPr>
            </w:pPr>
            <w:r w:rsidRPr="00A71B61">
              <w:rPr>
                <w:b w:val="0"/>
                <w:bCs w:val="0"/>
                <w:szCs w:val="20"/>
                <w:lang w:eastAsia="x-none"/>
              </w:rPr>
              <w:t>2020-2019</w:t>
            </w:r>
          </w:p>
        </w:tc>
      </w:tr>
      <w:tr w:rsidR="0027605B" w:rsidRPr="00A71B61" w:rsidTr="00263D80">
        <w:trPr>
          <w:trHeight w:val="809"/>
        </w:trPr>
        <w:tc>
          <w:tcPr>
            <w:tcW w:w="1482" w:type="pct"/>
            <w:hideMark/>
          </w:tcPr>
          <w:p w:rsidR="0027605B" w:rsidRPr="00A71B61" w:rsidRDefault="0027605B" w:rsidP="0027605B">
            <w:pPr>
              <w:rPr>
                <w:b/>
                <w:szCs w:val="20"/>
                <w:lang w:eastAsia="x-none"/>
              </w:rPr>
            </w:pPr>
            <w:r w:rsidRPr="00A71B61">
              <w:rPr>
                <w:b/>
                <w:szCs w:val="20"/>
                <w:lang w:eastAsia="x-none"/>
              </w:rPr>
              <w:t>Hospitales públicos</w:t>
            </w:r>
          </w:p>
        </w:tc>
        <w:tc>
          <w:tcPr>
            <w:tcW w:w="840" w:type="pct"/>
            <w:hideMark/>
          </w:tcPr>
          <w:p w:rsidR="0027605B" w:rsidRPr="00A71B61" w:rsidRDefault="0027605B" w:rsidP="0027605B">
            <w:pPr>
              <w:jc w:val="center"/>
              <w:rPr>
                <w:szCs w:val="20"/>
                <w:lang w:eastAsia="x-none"/>
              </w:rPr>
            </w:pPr>
            <w:r w:rsidRPr="00A71B61">
              <w:rPr>
                <w:szCs w:val="20"/>
                <w:lang w:eastAsia="x-none"/>
              </w:rPr>
              <w:t>24.635</w:t>
            </w:r>
          </w:p>
        </w:tc>
        <w:tc>
          <w:tcPr>
            <w:tcW w:w="680" w:type="pct"/>
            <w:hideMark/>
          </w:tcPr>
          <w:p w:rsidR="0027605B" w:rsidRPr="00A71B61" w:rsidRDefault="0027605B" w:rsidP="0027605B">
            <w:pPr>
              <w:jc w:val="center"/>
              <w:rPr>
                <w:szCs w:val="20"/>
                <w:lang w:eastAsia="x-none"/>
              </w:rPr>
            </w:pPr>
            <w:r w:rsidRPr="00A71B61">
              <w:rPr>
                <w:szCs w:val="20"/>
                <w:lang w:eastAsia="x-none"/>
              </w:rPr>
              <w:t>23.312</w:t>
            </w:r>
          </w:p>
        </w:tc>
        <w:tc>
          <w:tcPr>
            <w:tcW w:w="1000" w:type="pct"/>
            <w:hideMark/>
          </w:tcPr>
          <w:p w:rsidR="0027605B" w:rsidRPr="00A71B61" w:rsidRDefault="0027605B" w:rsidP="0027605B">
            <w:pPr>
              <w:jc w:val="center"/>
              <w:rPr>
                <w:szCs w:val="20"/>
                <w:lang w:eastAsia="x-none"/>
              </w:rPr>
            </w:pPr>
            <w:r w:rsidRPr="00A71B61">
              <w:rPr>
                <w:szCs w:val="20"/>
                <w:lang w:eastAsia="x-none"/>
              </w:rPr>
              <w:t>-5,4</w:t>
            </w:r>
          </w:p>
        </w:tc>
        <w:tc>
          <w:tcPr>
            <w:tcW w:w="999" w:type="pct"/>
            <w:hideMark/>
          </w:tcPr>
          <w:p w:rsidR="0027605B" w:rsidRPr="00A71B61" w:rsidRDefault="0027605B" w:rsidP="0027605B">
            <w:pPr>
              <w:jc w:val="center"/>
              <w:rPr>
                <w:szCs w:val="20"/>
                <w:lang w:eastAsia="x-none"/>
              </w:rPr>
            </w:pPr>
            <w:r w:rsidRPr="00A71B61">
              <w:rPr>
                <w:szCs w:val="20"/>
                <w:lang w:eastAsia="x-none"/>
              </w:rPr>
              <w:t>-1.323</w:t>
            </w:r>
          </w:p>
        </w:tc>
      </w:tr>
      <w:tr w:rsidR="0027605B" w:rsidRPr="00A71B61" w:rsidTr="00263D80">
        <w:trPr>
          <w:trHeight w:val="678"/>
        </w:trPr>
        <w:tc>
          <w:tcPr>
            <w:tcW w:w="1482" w:type="pct"/>
            <w:hideMark/>
          </w:tcPr>
          <w:p w:rsidR="0027605B" w:rsidRPr="00A71B61" w:rsidRDefault="0027605B" w:rsidP="0027605B">
            <w:pPr>
              <w:rPr>
                <w:b/>
                <w:szCs w:val="20"/>
                <w:lang w:eastAsia="x-none"/>
              </w:rPr>
            </w:pPr>
            <w:r w:rsidRPr="00A71B61">
              <w:rPr>
                <w:b/>
                <w:szCs w:val="20"/>
                <w:lang w:eastAsia="x-none"/>
              </w:rPr>
              <w:t>Hospitales HM</w:t>
            </w:r>
          </w:p>
        </w:tc>
        <w:tc>
          <w:tcPr>
            <w:tcW w:w="840" w:type="pct"/>
            <w:hideMark/>
          </w:tcPr>
          <w:p w:rsidR="0027605B" w:rsidRPr="00A71B61" w:rsidRDefault="0027605B" w:rsidP="0027605B">
            <w:pPr>
              <w:jc w:val="center"/>
              <w:rPr>
                <w:szCs w:val="20"/>
                <w:lang w:eastAsia="x-none"/>
              </w:rPr>
            </w:pPr>
            <w:r w:rsidRPr="00A71B61">
              <w:rPr>
                <w:szCs w:val="20"/>
                <w:lang w:eastAsia="x-none"/>
              </w:rPr>
              <w:t>3.064</w:t>
            </w:r>
          </w:p>
        </w:tc>
        <w:tc>
          <w:tcPr>
            <w:tcW w:w="680" w:type="pct"/>
            <w:hideMark/>
          </w:tcPr>
          <w:p w:rsidR="0027605B" w:rsidRPr="00A71B61" w:rsidRDefault="0027605B" w:rsidP="0027605B">
            <w:pPr>
              <w:jc w:val="center"/>
              <w:rPr>
                <w:szCs w:val="20"/>
                <w:lang w:eastAsia="x-none"/>
              </w:rPr>
            </w:pPr>
            <w:r w:rsidRPr="00A71B61">
              <w:rPr>
                <w:szCs w:val="20"/>
                <w:lang w:eastAsia="x-none"/>
              </w:rPr>
              <w:t>1.889</w:t>
            </w:r>
          </w:p>
        </w:tc>
        <w:tc>
          <w:tcPr>
            <w:tcW w:w="1000" w:type="pct"/>
            <w:hideMark/>
          </w:tcPr>
          <w:p w:rsidR="0027605B" w:rsidRPr="00A71B61" w:rsidRDefault="0027605B" w:rsidP="0027605B">
            <w:pPr>
              <w:jc w:val="center"/>
              <w:rPr>
                <w:szCs w:val="20"/>
                <w:lang w:eastAsia="x-none"/>
              </w:rPr>
            </w:pPr>
            <w:r w:rsidRPr="00A71B61">
              <w:rPr>
                <w:szCs w:val="20"/>
                <w:lang w:eastAsia="x-none"/>
              </w:rPr>
              <w:t>-38,3</w:t>
            </w:r>
          </w:p>
        </w:tc>
        <w:tc>
          <w:tcPr>
            <w:tcW w:w="999" w:type="pct"/>
            <w:hideMark/>
          </w:tcPr>
          <w:p w:rsidR="0027605B" w:rsidRPr="00A71B61" w:rsidRDefault="0027605B" w:rsidP="0027605B">
            <w:pPr>
              <w:jc w:val="center"/>
              <w:rPr>
                <w:szCs w:val="20"/>
                <w:lang w:eastAsia="x-none"/>
              </w:rPr>
            </w:pPr>
            <w:r w:rsidRPr="00A71B61">
              <w:rPr>
                <w:szCs w:val="20"/>
                <w:lang w:eastAsia="x-none"/>
              </w:rPr>
              <w:t>-1.175</w:t>
            </w:r>
          </w:p>
        </w:tc>
      </w:tr>
      <w:tr w:rsidR="0027605B" w:rsidRPr="00A71B61" w:rsidTr="00263D80">
        <w:trPr>
          <w:trHeight w:val="974"/>
        </w:trPr>
        <w:tc>
          <w:tcPr>
            <w:tcW w:w="1482" w:type="pct"/>
            <w:hideMark/>
          </w:tcPr>
          <w:p w:rsidR="0027605B" w:rsidRPr="00A71B61" w:rsidRDefault="0027605B" w:rsidP="0027605B">
            <w:pPr>
              <w:rPr>
                <w:b/>
                <w:szCs w:val="20"/>
                <w:lang w:eastAsia="x-none"/>
              </w:rPr>
            </w:pPr>
            <w:r w:rsidRPr="00A71B61">
              <w:rPr>
                <w:b/>
                <w:szCs w:val="20"/>
                <w:lang w:eastAsia="x-none"/>
              </w:rPr>
              <w:t>Resto de hospitales privados</w:t>
            </w:r>
          </w:p>
        </w:tc>
        <w:tc>
          <w:tcPr>
            <w:tcW w:w="840" w:type="pct"/>
            <w:hideMark/>
          </w:tcPr>
          <w:p w:rsidR="0027605B" w:rsidRPr="00A71B61" w:rsidRDefault="0027605B" w:rsidP="0027605B">
            <w:pPr>
              <w:jc w:val="center"/>
              <w:rPr>
                <w:szCs w:val="20"/>
                <w:lang w:eastAsia="x-none"/>
              </w:rPr>
            </w:pPr>
            <w:r w:rsidRPr="00A71B61">
              <w:rPr>
                <w:szCs w:val="20"/>
                <w:lang w:eastAsia="x-none"/>
              </w:rPr>
              <w:t>2.405</w:t>
            </w:r>
          </w:p>
        </w:tc>
        <w:tc>
          <w:tcPr>
            <w:tcW w:w="680" w:type="pct"/>
            <w:hideMark/>
          </w:tcPr>
          <w:p w:rsidR="0027605B" w:rsidRPr="00A71B61" w:rsidRDefault="0027605B" w:rsidP="0027605B">
            <w:pPr>
              <w:jc w:val="center"/>
              <w:rPr>
                <w:szCs w:val="20"/>
                <w:lang w:eastAsia="x-none"/>
              </w:rPr>
            </w:pPr>
            <w:r w:rsidRPr="00A71B61">
              <w:rPr>
                <w:szCs w:val="20"/>
                <w:lang w:eastAsia="x-none"/>
              </w:rPr>
              <w:t>2.705</w:t>
            </w:r>
          </w:p>
        </w:tc>
        <w:tc>
          <w:tcPr>
            <w:tcW w:w="1000" w:type="pct"/>
            <w:hideMark/>
          </w:tcPr>
          <w:p w:rsidR="0027605B" w:rsidRPr="00A71B61" w:rsidRDefault="0027605B" w:rsidP="0027605B">
            <w:pPr>
              <w:jc w:val="center"/>
              <w:rPr>
                <w:szCs w:val="20"/>
                <w:lang w:eastAsia="x-none"/>
              </w:rPr>
            </w:pPr>
            <w:r w:rsidRPr="00A71B61">
              <w:rPr>
                <w:szCs w:val="20"/>
                <w:lang w:eastAsia="x-none"/>
              </w:rPr>
              <w:t>12,5</w:t>
            </w:r>
          </w:p>
        </w:tc>
        <w:tc>
          <w:tcPr>
            <w:tcW w:w="999" w:type="pct"/>
            <w:hideMark/>
          </w:tcPr>
          <w:p w:rsidR="0027605B" w:rsidRPr="00A71B61" w:rsidRDefault="0027605B" w:rsidP="0027605B">
            <w:pPr>
              <w:jc w:val="center"/>
              <w:rPr>
                <w:szCs w:val="20"/>
                <w:lang w:eastAsia="x-none"/>
              </w:rPr>
            </w:pPr>
            <w:r w:rsidRPr="00A71B61">
              <w:rPr>
                <w:szCs w:val="20"/>
                <w:lang w:eastAsia="x-none"/>
              </w:rPr>
              <w:t>300</w:t>
            </w:r>
          </w:p>
        </w:tc>
      </w:tr>
      <w:tr w:rsidR="0027605B" w:rsidRPr="00A71B61" w:rsidTr="00263D80">
        <w:trPr>
          <w:cnfStyle w:val="010000000000" w:firstRow="0" w:lastRow="1" w:firstColumn="0" w:lastColumn="0" w:oddVBand="0" w:evenVBand="0" w:oddHBand="0" w:evenHBand="0" w:firstRowFirstColumn="0" w:firstRowLastColumn="0" w:lastRowFirstColumn="0" w:lastRowLastColumn="0"/>
          <w:trHeight w:val="892"/>
        </w:trPr>
        <w:tc>
          <w:tcPr>
            <w:tcW w:w="1482" w:type="pct"/>
            <w:hideMark/>
          </w:tcPr>
          <w:p w:rsidR="0027605B" w:rsidRPr="00A71B61" w:rsidRDefault="0027605B" w:rsidP="0027605B">
            <w:pPr>
              <w:rPr>
                <w:szCs w:val="20"/>
                <w:lang w:eastAsia="x-none"/>
              </w:rPr>
            </w:pPr>
            <w:r w:rsidRPr="00A71B61">
              <w:rPr>
                <w:b w:val="0"/>
                <w:bCs w:val="0"/>
                <w:szCs w:val="20"/>
                <w:lang w:eastAsia="x-none"/>
              </w:rPr>
              <w:t>Total</w:t>
            </w:r>
          </w:p>
        </w:tc>
        <w:tc>
          <w:tcPr>
            <w:tcW w:w="840" w:type="pct"/>
            <w:hideMark/>
          </w:tcPr>
          <w:p w:rsidR="0027605B" w:rsidRPr="00A71B61" w:rsidRDefault="0027605B" w:rsidP="0027605B">
            <w:pPr>
              <w:jc w:val="center"/>
              <w:rPr>
                <w:szCs w:val="20"/>
                <w:lang w:eastAsia="x-none"/>
              </w:rPr>
            </w:pPr>
            <w:r w:rsidRPr="00A71B61">
              <w:rPr>
                <w:b w:val="0"/>
                <w:bCs w:val="0"/>
                <w:szCs w:val="20"/>
                <w:lang w:eastAsia="x-none"/>
              </w:rPr>
              <w:t>30.104</w:t>
            </w:r>
          </w:p>
        </w:tc>
        <w:tc>
          <w:tcPr>
            <w:tcW w:w="680" w:type="pct"/>
            <w:hideMark/>
          </w:tcPr>
          <w:p w:rsidR="0027605B" w:rsidRPr="00A71B61" w:rsidRDefault="0027605B" w:rsidP="0027605B">
            <w:pPr>
              <w:jc w:val="center"/>
              <w:rPr>
                <w:szCs w:val="20"/>
                <w:lang w:eastAsia="x-none"/>
              </w:rPr>
            </w:pPr>
            <w:r w:rsidRPr="00A71B61">
              <w:rPr>
                <w:b w:val="0"/>
                <w:bCs w:val="0"/>
                <w:szCs w:val="20"/>
                <w:lang w:eastAsia="x-none"/>
              </w:rPr>
              <w:t>27.906</w:t>
            </w:r>
          </w:p>
        </w:tc>
        <w:tc>
          <w:tcPr>
            <w:tcW w:w="1000" w:type="pct"/>
            <w:hideMark/>
          </w:tcPr>
          <w:p w:rsidR="0027605B" w:rsidRPr="00A71B61" w:rsidRDefault="0027605B" w:rsidP="0027605B">
            <w:pPr>
              <w:jc w:val="center"/>
              <w:rPr>
                <w:szCs w:val="20"/>
                <w:lang w:eastAsia="x-none"/>
              </w:rPr>
            </w:pPr>
            <w:r w:rsidRPr="00A71B61">
              <w:rPr>
                <w:b w:val="0"/>
                <w:bCs w:val="0"/>
                <w:szCs w:val="20"/>
                <w:lang w:eastAsia="x-none"/>
              </w:rPr>
              <w:t>-7,3</w:t>
            </w:r>
          </w:p>
        </w:tc>
        <w:tc>
          <w:tcPr>
            <w:tcW w:w="999" w:type="pct"/>
            <w:hideMark/>
          </w:tcPr>
          <w:p w:rsidR="0027605B" w:rsidRPr="00A71B61" w:rsidRDefault="0027605B" w:rsidP="0027605B">
            <w:pPr>
              <w:jc w:val="center"/>
              <w:rPr>
                <w:szCs w:val="20"/>
                <w:lang w:eastAsia="x-none"/>
              </w:rPr>
            </w:pPr>
            <w:r w:rsidRPr="00A71B61">
              <w:rPr>
                <w:b w:val="0"/>
                <w:bCs w:val="0"/>
                <w:szCs w:val="20"/>
                <w:lang w:eastAsia="x-none"/>
              </w:rPr>
              <w:t>-2.198</w:t>
            </w:r>
          </w:p>
        </w:tc>
      </w:tr>
    </w:tbl>
    <w:p w:rsidR="0066036C" w:rsidRPr="00A71B61" w:rsidRDefault="0066036C" w:rsidP="004D69BD">
      <w:pPr>
        <w:rPr>
          <w:szCs w:val="20"/>
          <w:lang w:val="x-none" w:eastAsia="x-none"/>
        </w:rPr>
      </w:pPr>
    </w:p>
    <w:p w:rsidR="0066036C" w:rsidRPr="00A71B61" w:rsidRDefault="0066036C">
      <w:pPr>
        <w:rPr>
          <w:szCs w:val="20"/>
          <w:lang w:val="x-none" w:eastAsia="x-none"/>
        </w:rPr>
      </w:pPr>
      <w:r w:rsidRPr="00A71B61">
        <w:rPr>
          <w:szCs w:val="20"/>
          <w:lang w:val="x-none" w:eastAsia="x-none"/>
        </w:rPr>
        <w:br w:type="page"/>
      </w:r>
    </w:p>
    <w:p w:rsidR="0066036C" w:rsidRPr="00B51AC6" w:rsidRDefault="0066036C" w:rsidP="00B51AC6">
      <w:pPr>
        <w:pStyle w:val="Ttulo1"/>
      </w:pPr>
      <w:bookmarkStart w:id="66" w:name="_Toc56606606"/>
      <w:bookmarkStart w:id="67" w:name="_Toc90584893"/>
      <w:r w:rsidRPr="00B51AC6">
        <w:lastRenderedPageBreak/>
        <w:t>Inmunohematología-Técnicas Especiales</w:t>
      </w:r>
      <w:bookmarkEnd w:id="66"/>
      <w:bookmarkEnd w:id="67"/>
    </w:p>
    <w:p w:rsidR="00697084" w:rsidRPr="00B51AC6" w:rsidRDefault="00697084" w:rsidP="00B51AC6">
      <w:pPr>
        <w:pStyle w:val="Ttulo2"/>
      </w:pPr>
      <w:bookmarkStart w:id="68" w:name="_Toc56606607"/>
      <w:bookmarkStart w:id="69" w:name="_Toc90584894"/>
      <w:r w:rsidRPr="00B51AC6">
        <w:t>Estudio inmunohematológico de donantes y donaciones</w:t>
      </w:r>
      <w:bookmarkEnd w:id="68"/>
      <w:bookmarkEnd w:id="69"/>
    </w:p>
    <w:p w:rsidR="00697084" w:rsidRPr="00A71B61" w:rsidRDefault="00697084" w:rsidP="006C2819">
      <w:r w:rsidRPr="00A71B61">
        <w:t>Los estudios inmunohematológicos de rutina realizados en los donantes de sangre de la CAM se reflejan en la tabla siguiente</w:t>
      </w:r>
    </w:p>
    <w:tbl>
      <w:tblPr>
        <w:tblStyle w:val="Tabladecuadrcula5oscura-nfasis1"/>
        <w:tblW w:w="4380" w:type="dxa"/>
        <w:jc w:val="center"/>
        <w:tblLook w:val="0620" w:firstRow="1" w:lastRow="0" w:firstColumn="0" w:lastColumn="0" w:noHBand="1" w:noVBand="1"/>
      </w:tblPr>
      <w:tblGrid>
        <w:gridCol w:w="2440"/>
        <w:gridCol w:w="1940"/>
      </w:tblGrid>
      <w:tr w:rsidR="00697084" w:rsidRPr="00A71B61" w:rsidTr="00263D80">
        <w:trPr>
          <w:cnfStyle w:val="100000000000" w:firstRow="1" w:lastRow="0" w:firstColumn="0" w:lastColumn="0" w:oddVBand="0" w:evenVBand="0" w:oddHBand="0" w:evenHBand="0" w:firstRowFirstColumn="0" w:firstRowLastColumn="0" w:lastRowFirstColumn="0" w:lastRowLastColumn="0"/>
          <w:trHeight w:val="576"/>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PARAMETRO</w:t>
            </w:r>
          </w:p>
        </w:tc>
        <w:tc>
          <w:tcPr>
            <w:tcW w:w="19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Nº MUESTRAS</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GRUPO</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234.233</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EAI</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233.728</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IAI</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301</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Du</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44.880</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RH/K</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15.049</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F. EXT</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4.602</w:t>
            </w:r>
          </w:p>
        </w:tc>
      </w:tr>
      <w:tr w:rsidR="00697084" w:rsidRPr="00A71B61" w:rsidTr="00263D80">
        <w:trPr>
          <w:trHeight w:val="288"/>
          <w:jc w:val="center"/>
        </w:trPr>
        <w:tc>
          <w:tcPr>
            <w:tcW w:w="2440" w:type="dxa"/>
            <w:noWrap/>
            <w:hideMark/>
          </w:tcPr>
          <w:p w:rsidR="00697084" w:rsidRPr="00A71B61" w:rsidRDefault="00697084" w:rsidP="00697084">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R2 R2</w:t>
            </w:r>
          </w:p>
        </w:tc>
        <w:tc>
          <w:tcPr>
            <w:tcW w:w="1940" w:type="dxa"/>
            <w:noWrap/>
            <w:hideMark/>
          </w:tcPr>
          <w:p w:rsidR="00697084" w:rsidRPr="00A71B61" w:rsidRDefault="00697084" w:rsidP="00697084">
            <w:pPr>
              <w:jc w:val="right"/>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1.038</w:t>
            </w:r>
          </w:p>
        </w:tc>
      </w:tr>
    </w:tbl>
    <w:p w:rsidR="00697084" w:rsidRPr="00A71B61" w:rsidRDefault="00697084" w:rsidP="00697084">
      <w:pPr>
        <w:rPr>
          <w:szCs w:val="20"/>
        </w:rPr>
      </w:pPr>
    </w:p>
    <w:p w:rsidR="00697084" w:rsidRPr="00A71B61" w:rsidRDefault="00697084" w:rsidP="006C2819">
      <w:r w:rsidRPr="00A71B61">
        <w:t>Durante el año 20</w:t>
      </w:r>
      <w:r w:rsidR="00D225EF" w:rsidRPr="00A71B61">
        <w:t>20</w:t>
      </w:r>
      <w:r w:rsidRPr="00A71B61">
        <w:t xml:space="preserve"> los hallazgos más significativos realizados en los estudios inmunohematológicos a los donantes se exponen a continuación </w:t>
      </w:r>
    </w:p>
    <w:tbl>
      <w:tblPr>
        <w:tblStyle w:val="Tabladecuadrcula5oscura-nfasis1"/>
        <w:tblW w:w="7508" w:type="dxa"/>
        <w:tblLook w:val="0620" w:firstRow="1" w:lastRow="0" w:firstColumn="0" w:lastColumn="0" w:noHBand="1" w:noVBand="1"/>
      </w:tblPr>
      <w:tblGrid>
        <w:gridCol w:w="3114"/>
        <w:gridCol w:w="2410"/>
        <w:gridCol w:w="1984"/>
      </w:tblGrid>
      <w:tr w:rsidR="00697084" w:rsidRPr="00A71B61" w:rsidTr="00263D80">
        <w:trPr>
          <w:cnfStyle w:val="100000000000" w:firstRow="1" w:lastRow="0" w:firstColumn="0" w:lastColumn="0" w:oddVBand="0" w:evenVBand="0" w:oddHBand="0" w:evenHBand="0" w:firstRowFirstColumn="0" w:firstRowLastColumn="0" w:lastRowFirstColumn="0" w:lastRowLastColumn="0"/>
          <w:trHeight w:val="705"/>
        </w:trPr>
        <w:tc>
          <w:tcPr>
            <w:tcW w:w="3114"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RHD variantes</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Fenotipos raros</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RHD-CE infrecuentes</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19 D débiles tipo 1</w:t>
            </w:r>
          </w:p>
        </w:tc>
        <w:tc>
          <w:tcPr>
            <w:tcW w:w="2410" w:type="dxa"/>
            <w:noWrap/>
            <w:hideMark/>
          </w:tcPr>
          <w:p w:rsidR="00697084" w:rsidRPr="00A71B61" w:rsidRDefault="00D225EF"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C</w:t>
            </w:r>
            <w:r w:rsidR="00697084" w:rsidRPr="00A71B61">
              <w:rPr>
                <w:rFonts w:asciiTheme="majorHAnsi" w:eastAsia="Times New Roman" w:hAnsiTheme="majorHAnsi" w:cs="Times New Roman"/>
                <w:color w:val="000000"/>
                <w:szCs w:val="20"/>
                <w:lang w:eastAsia="es-ES"/>
              </w:rPr>
              <w:t>ellano negativos: 34</w:t>
            </w:r>
          </w:p>
        </w:tc>
        <w:tc>
          <w:tcPr>
            <w:tcW w:w="1984"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r' r': 1</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17 D débiles tipo 2</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PP1Pk negativos: 4</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12 D débiles tipo 11</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Yta negativo: 4</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7 D débiles  tipo 59</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Lub negativo:7</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5 D débiles tipo 3</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Coa negativo:7</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1 D débil tipo 4,0</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FY null: 2</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1 D parcial DAR</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Vel negativo: 2</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r w:rsidR="00697084" w:rsidRPr="00A71B61" w:rsidTr="00263D80">
        <w:trPr>
          <w:trHeight w:val="352"/>
        </w:trPr>
        <w:tc>
          <w:tcPr>
            <w:tcW w:w="3114" w:type="dxa"/>
            <w:noWrap/>
            <w:hideMark/>
          </w:tcPr>
          <w:p w:rsidR="00697084" w:rsidRPr="00A71B61" w:rsidRDefault="00697084" w:rsidP="00697084">
            <w:pPr>
              <w:rPr>
                <w:rFonts w:asciiTheme="majorHAnsi" w:eastAsia="Times New Roman" w:hAnsiTheme="majorHAnsi" w:cs="Times New Roman"/>
                <w:b/>
                <w:color w:val="000000"/>
                <w:szCs w:val="20"/>
                <w:lang w:eastAsia="es-ES"/>
              </w:rPr>
            </w:pPr>
            <w:r w:rsidRPr="00A71B61">
              <w:rPr>
                <w:rFonts w:asciiTheme="majorHAnsi" w:eastAsia="Times New Roman" w:hAnsiTheme="majorHAnsi" w:cs="Times New Roman"/>
                <w:b/>
                <w:color w:val="000000"/>
                <w:szCs w:val="20"/>
                <w:lang w:eastAsia="es-ES"/>
              </w:rPr>
              <w:t>1 D parcial VI tipo 1</w:t>
            </w:r>
          </w:p>
        </w:tc>
        <w:tc>
          <w:tcPr>
            <w:tcW w:w="2410" w:type="dxa"/>
            <w:noWrap/>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U-:2</w:t>
            </w:r>
          </w:p>
        </w:tc>
        <w:tc>
          <w:tcPr>
            <w:tcW w:w="1984" w:type="dxa"/>
            <w:hideMark/>
          </w:tcPr>
          <w:p w:rsidR="00697084" w:rsidRPr="00A71B61" w:rsidRDefault="00697084" w:rsidP="00697084">
            <w:pPr>
              <w:rPr>
                <w:rFonts w:asciiTheme="majorHAnsi" w:eastAsia="Times New Roman" w:hAnsiTheme="majorHAnsi" w:cs="Times New Roman"/>
                <w:color w:val="000000"/>
                <w:szCs w:val="20"/>
                <w:lang w:eastAsia="es-ES"/>
              </w:rPr>
            </w:pPr>
            <w:r w:rsidRPr="00A71B61">
              <w:rPr>
                <w:rFonts w:asciiTheme="majorHAnsi" w:eastAsia="Times New Roman" w:hAnsiTheme="majorHAnsi" w:cs="Times New Roman"/>
                <w:color w:val="000000"/>
                <w:szCs w:val="20"/>
                <w:lang w:eastAsia="es-ES"/>
              </w:rPr>
              <w:t> </w:t>
            </w:r>
          </w:p>
        </w:tc>
      </w:tr>
    </w:tbl>
    <w:p w:rsidR="00697084" w:rsidRPr="00A71B61" w:rsidRDefault="00697084" w:rsidP="00697084">
      <w:pPr>
        <w:rPr>
          <w:szCs w:val="20"/>
        </w:rPr>
      </w:pPr>
    </w:p>
    <w:p w:rsidR="00697084" w:rsidRPr="00B51AC6" w:rsidRDefault="00697084" w:rsidP="00B51AC6">
      <w:pPr>
        <w:pStyle w:val="Ttulo2"/>
      </w:pPr>
      <w:bookmarkStart w:id="70" w:name="_Toc56606608"/>
      <w:bookmarkStart w:id="71" w:name="_Toc90584895"/>
      <w:r w:rsidRPr="00B51AC6">
        <w:t>Estudios inmunohematológicos en pacientes</w:t>
      </w:r>
      <w:bookmarkEnd w:id="70"/>
      <w:bookmarkEnd w:id="71"/>
    </w:p>
    <w:p w:rsidR="00697084" w:rsidRPr="00A71B61" w:rsidRDefault="00D225EF" w:rsidP="00697084">
      <w:pPr>
        <w:rPr>
          <w:rFonts w:ascii="Lucida Sans Unicode" w:hAnsi="Lucida Sans Unicode" w:cs="Lucida Sans Unicode"/>
          <w:szCs w:val="20"/>
        </w:rPr>
      </w:pPr>
      <w:r w:rsidRPr="00A71B61">
        <w:t>En la siguiente tabla se resumen los estudios realizados a los pacientes en 2020</w:t>
      </w:r>
    </w:p>
    <w:tbl>
      <w:tblPr>
        <w:tblStyle w:val="Tabladecuadrcula5oscura-nfasis1"/>
        <w:tblW w:w="7555" w:type="dxa"/>
        <w:tblLayout w:type="fixed"/>
        <w:tblLook w:val="0620" w:firstRow="1" w:lastRow="0" w:firstColumn="0" w:lastColumn="0" w:noHBand="1" w:noVBand="1"/>
      </w:tblPr>
      <w:tblGrid>
        <w:gridCol w:w="2638"/>
        <w:gridCol w:w="973"/>
        <w:gridCol w:w="1112"/>
        <w:gridCol w:w="1115"/>
        <w:gridCol w:w="1717"/>
      </w:tblGrid>
      <w:tr w:rsidR="00D225EF" w:rsidRPr="00A71B61" w:rsidTr="00263D80">
        <w:trPr>
          <w:cnfStyle w:val="100000000000" w:firstRow="1" w:lastRow="0" w:firstColumn="0" w:lastColumn="0" w:oddVBand="0" w:evenVBand="0" w:oddHBand="0" w:evenHBand="0" w:firstRowFirstColumn="0" w:firstRowLastColumn="0" w:lastRowFirstColumn="0" w:lastRowLastColumn="0"/>
          <w:trHeight w:val="360"/>
        </w:trPr>
        <w:tc>
          <w:tcPr>
            <w:tcW w:w="2638" w:type="dxa"/>
          </w:tcPr>
          <w:p w:rsidR="00D225EF" w:rsidRPr="00A71B61" w:rsidRDefault="00D225EF" w:rsidP="00697084">
            <w:pPr>
              <w:spacing w:after="120"/>
              <w:jc w:val="center"/>
              <w:rPr>
                <w:rFonts w:eastAsia="Times New Roman"/>
                <w:szCs w:val="20"/>
              </w:rPr>
            </w:pPr>
            <w:r w:rsidRPr="00A71B61">
              <w:rPr>
                <w:rFonts w:eastAsia="Times New Roman"/>
                <w:szCs w:val="20"/>
              </w:rPr>
              <w:t>ESTUDIOS</w:t>
            </w:r>
          </w:p>
        </w:tc>
        <w:tc>
          <w:tcPr>
            <w:tcW w:w="973" w:type="dxa"/>
          </w:tcPr>
          <w:p w:rsidR="00D225EF" w:rsidRPr="00A71B61" w:rsidRDefault="00D225EF" w:rsidP="00697084">
            <w:pPr>
              <w:spacing w:after="120"/>
              <w:jc w:val="center"/>
              <w:rPr>
                <w:rFonts w:eastAsia="Times New Roman"/>
                <w:szCs w:val="20"/>
              </w:rPr>
            </w:pPr>
            <w:r w:rsidRPr="00A71B61">
              <w:rPr>
                <w:rFonts w:eastAsia="Times New Roman"/>
                <w:szCs w:val="20"/>
              </w:rPr>
              <w:t>2018</w:t>
            </w:r>
          </w:p>
        </w:tc>
        <w:tc>
          <w:tcPr>
            <w:tcW w:w="1112" w:type="dxa"/>
          </w:tcPr>
          <w:p w:rsidR="00D225EF" w:rsidRPr="00A71B61" w:rsidRDefault="00D225EF" w:rsidP="00697084">
            <w:pPr>
              <w:spacing w:after="120"/>
              <w:jc w:val="center"/>
              <w:rPr>
                <w:rFonts w:eastAsia="Times New Roman"/>
                <w:szCs w:val="20"/>
              </w:rPr>
            </w:pPr>
            <w:r w:rsidRPr="00A71B61">
              <w:rPr>
                <w:rFonts w:eastAsia="Times New Roman"/>
                <w:szCs w:val="20"/>
              </w:rPr>
              <w:t>2019</w:t>
            </w:r>
          </w:p>
        </w:tc>
        <w:tc>
          <w:tcPr>
            <w:tcW w:w="1115" w:type="dxa"/>
          </w:tcPr>
          <w:p w:rsidR="00D225EF" w:rsidRPr="00A71B61" w:rsidRDefault="00D225EF" w:rsidP="00697084">
            <w:pPr>
              <w:spacing w:after="120"/>
              <w:jc w:val="center"/>
              <w:rPr>
                <w:rFonts w:eastAsia="Times New Roman"/>
                <w:szCs w:val="20"/>
              </w:rPr>
            </w:pPr>
            <w:r w:rsidRPr="00A71B61">
              <w:rPr>
                <w:rFonts w:eastAsia="Times New Roman"/>
                <w:szCs w:val="20"/>
              </w:rPr>
              <w:t>2020</w:t>
            </w:r>
          </w:p>
        </w:tc>
        <w:tc>
          <w:tcPr>
            <w:tcW w:w="1717" w:type="dxa"/>
          </w:tcPr>
          <w:p w:rsidR="00D225EF" w:rsidRPr="00A71B61" w:rsidRDefault="00D225EF" w:rsidP="00D225EF">
            <w:pPr>
              <w:spacing w:after="120"/>
              <w:jc w:val="center"/>
              <w:rPr>
                <w:rFonts w:eastAsia="Times New Roman"/>
                <w:szCs w:val="20"/>
              </w:rPr>
            </w:pPr>
            <w:r w:rsidRPr="00A71B61">
              <w:rPr>
                <w:rFonts w:eastAsia="Times New Roman"/>
                <w:szCs w:val="20"/>
              </w:rPr>
              <w:t>% Variación 2020-2019</w:t>
            </w:r>
          </w:p>
        </w:tc>
      </w:tr>
      <w:tr w:rsidR="00D225EF" w:rsidRPr="00A71B61" w:rsidTr="00263D80">
        <w:trPr>
          <w:trHeight w:val="360"/>
        </w:trPr>
        <w:tc>
          <w:tcPr>
            <w:tcW w:w="2638" w:type="dxa"/>
          </w:tcPr>
          <w:p w:rsidR="00D225EF" w:rsidRPr="00A71B61" w:rsidRDefault="00D225EF" w:rsidP="00D225EF">
            <w:pPr>
              <w:spacing w:after="120"/>
              <w:jc w:val="center"/>
              <w:rPr>
                <w:rFonts w:eastAsia="Times New Roman" w:cs="Arial"/>
                <w:szCs w:val="20"/>
              </w:rPr>
            </w:pPr>
            <w:r w:rsidRPr="00A71B61">
              <w:rPr>
                <w:rFonts w:eastAsia="Times New Roman" w:cs="Arial"/>
                <w:szCs w:val="20"/>
              </w:rPr>
              <w:t>Eritrocitarios</w:t>
            </w:r>
          </w:p>
        </w:tc>
        <w:tc>
          <w:tcPr>
            <w:tcW w:w="973" w:type="dxa"/>
          </w:tcPr>
          <w:p w:rsidR="00D225EF" w:rsidRPr="00A71B61" w:rsidRDefault="00D225EF" w:rsidP="00D225EF">
            <w:pPr>
              <w:jc w:val="center"/>
              <w:rPr>
                <w:rFonts w:eastAsia="Times New Roman" w:cs="Arial"/>
                <w:szCs w:val="20"/>
              </w:rPr>
            </w:pPr>
            <w:r w:rsidRPr="00A71B61">
              <w:rPr>
                <w:rFonts w:eastAsia="Times New Roman" w:cs="Arial"/>
                <w:szCs w:val="20"/>
              </w:rPr>
              <w:t>905</w:t>
            </w:r>
          </w:p>
        </w:tc>
        <w:tc>
          <w:tcPr>
            <w:tcW w:w="1112" w:type="dxa"/>
          </w:tcPr>
          <w:p w:rsidR="00D225EF" w:rsidRPr="00A71B61" w:rsidRDefault="00D225EF" w:rsidP="00D225EF">
            <w:pPr>
              <w:jc w:val="center"/>
              <w:rPr>
                <w:rFonts w:eastAsia="Times New Roman" w:cs="Arial"/>
                <w:szCs w:val="20"/>
              </w:rPr>
            </w:pPr>
            <w:r w:rsidRPr="00A71B61">
              <w:rPr>
                <w:rFonts w:eastAsia="Times New Roman" w:cs="Arial"/>
                <w:szCs w:val="20"/>
              </w:rPr>
              <w:t>890</w:t>
            </w:r>
          </w:p>
        </w:tc>
        <w:tc>
          <w:tcPr>
            <w:tcW w:w="1115" w:type="dxa"/>
          </w:tcPr>
          <w:p w:rsidR="00D225EF" w:rsidRPr="00A71B61" w:rsidRDefault="00D225EF" w:rsidP="00D225EF">
            <w:pPr>
              <w:jc w:val="center"/>
              <w:rPr>
                <w:rFonts w:ascii="Calibri" w:hAnsi="Calibri"/>
                <w:color w:val="000000"/>
                <w:szCs w:val="20"/>
              </w:rPr>
            </w:pPr>
            <w:r w:rsidRPr="00A71B61">
              <w:rPr>
                <w:rFonts w:ascii="Calibri" w:hAnsi="Calibri"/>
                <w:color w:val="000000"/>
                <w:szCs w:val="20"/>
              </w:rPr>
              <w:t>961</w:t>
            </w:r>
          </w:p>
        </w:tc>
        <w:tc>
          <w:tcPr>
            <w:tcW w:w="1717" w:type="dxa"/>
          </w:tcPr>
          <w:p w:rsidR="00D225EF" w:rsidRPr="00A71B61" w:rsidRDefault="00D225EF" w:rsidP="00D225EF">
            <w:pPr>
              <w:jc w:val="center"/>
              <w:rPr>
                <w:rFonts w:ascii="Calibri" w:hAnsi="Calibri"/>
                <w:color w:val="000000"/>
                <w:szCs w:val="20"/>
              </w:rPr>
            </w:pPr>
            <w:r w:rsidRPr="00A71B61">
              <w:rPr>
                <w:rFonts w:ascii="Calibri" w:hAnsi="Calibri"/>
                <w:color w:val="000000"/>
                <w:szCs w:val="20"/>
              </w:rPr>
              <w:t>7,39</w:t>
            </w:r>
          </w:p>
        </w:tc>
      </w:tr>
      <w:tr w:rsidR="00D225EF" w:rsidRPr="00A71B61" w:rsidTr="00263D80">
        <w:trPr>
          <w:trHeight w:val="360"/>
        </w:trPr>
        <w:tc>
          <w:tcPr>
            <w:tcW w:w="2638" w:type="dxa"/>
          </w:tcPr>
          <w:p w:rsidR="00D225EF" w:rsidRPr="00A71B61" w:rsidRDefault="00D225EF" w:rsidP="00D225EF">
            <w:pPr>
              <w:spacing w:after="120"/>
              <w:ind w:firstLineChars="100" w:firstLine="200"/>
              <w:jc w:val="center"/>
              <w:rPr>
                <w:rFonts w:eastAsia="Times New Roman" w:cs="Arial"/>
                <w:szCs w:val="20"/>
              </w:rPr>
            </w:pPr>
            <w:r w:rsidRPr="00A71B61">
              <w:rPr>
                <w:rFonts w:eastAsia="Times New Roman" w:cs="Arial"/>
                <w:szCs w:val="20"/>
              </w:rPr>
              <w:t>Plaquetarios (*)</w:t>
            </w:r>
          </w:p>
        </w:tc>
        <w:tc>
          <w:tcPr>
            <w:tcW w:w="973" w:type="dxa"/>
          </w:tcPr>
          <w:p w:rsidR="00D225EF" w:rsidRPr="00A71B61" w:rsidRDefault="00D225EF" w:rsidP="00D225EF">
            <w:pPr>
              <w:jc w:val="center"/>
              <w:rPr>
                <w:rFonts w:eastAsia="Times New Roman" w:cs="Arial"/>
                <w:szCs w:val="20"/>
              </w:rPr>
            </w:pPr>
            <w:r w:rsidRPr="00A71B61">
              <w:rPr>
                <w:rFonts w:eastAsia="Times New Roman" w:cs="Arial"/>
                <w:szCs w:val="20"/>
              </w:rPr>
              <w:t>362</w:t>
            </w:r>
          </w:p>
        </w:tc>
        <w:tc>
          <w:tcPr>
            <w:tcW w:w="1112" w:type="dxa"/>
          </w:tcPr>
          <w:p w:rsidR="00D225EF" w:rsidRPr="00A71B61" w:rsidRDefault="00D225EF" w:rsidP="00D225EF">
            <w:pPr>
              <w:jc w:val="center"/>
              <w:rPr>
                <w:rFonts w:eastAsia="Times New Roman" w:cs="Arial"/>
                <w:szCs w:val="20"/>
              </w:rPr>
            </w:pPr>
            <w:r w:rsidRPr="00A71B61">
              <w:rPr>
                <w:rFonts w:eastAsia="Times New Roman" w:cs="Arial"/>
                <w:szCs w:val="20"/>
              </w:rPr>
              <w:t>449</w:t>
            </w:r>
          </w:p>
        </w:tc>
        <w:tc>
          <w:tcPr>
            <w:tcW w:w="1115" w:type="dxa"/>
          </w:tcPr>
          <w:p w:rsidR="00D225EF" w:rsidRPr="00A71B61" w:rsidRDefault="00D225EF" w:rsidP="00D225EF">
            <w:pPr>
              <w:jc w:val="center"/>
              <w:rPr>
                <w:rFonts w:ascii="Calibri" w:hAnsi="Calibri"/>
                <w:color w:val="000000"/>
                <w:szCs w:val="20"/>
              </w:rPr>
            </w:pPr>
            <w:r w:rsidRPr="00A71B61">
              <w:rPr>
                <w:rFonts w:ascii="Calibri" w:hAnsi="Calibri"/>
                <w:color w:val="000000"/>
                <w:szCs w:val="20"/>
              </w:rPr>
              <w:t>569</w:t>
            </w:r>
          </w:p>
        </w:tc>
        <w:tc>
          <w:tcPr>
            <w:tcW w:w="1717" w:type="dxa"/>
          </w:tcPr>
          <w:p w:rsidR="00D225EF" w:rsidRPr="00A71B61" w:rsidRDefault="00D225EF" w:rsidP="00D225EF">
            <w:pPr>
              <w:jc w:val="center"/>
              <w:rPr>
                <w:rFonts w:ascii="Calibri" w:hAnsi="Calibri"/>
                <w:color w:val="000000"/>
                <w:szCs w:val="20"/>
              </w:rPr>
            </w:pPr>
            <w:r w:rsidRPr="00A71B61">
              <w:rPr>
                <w:rFonts w:ascii="Calibri" w:hAnsi="Calibri"/>
                <w:color w:val="000000"/>
                <w:szCs w:val="20"/>
              </w:rPr>
              <w:t>21,09</w:t>
            </w:r>
          </w:p>
        </w:tc>
      </w:tr>
      <w:tr w:rsidR="00D225EF" w:rsidRPr="00A71B61" w:rsidTr="00263D80">
        <w:trPr>
          <w:trHeight w:val="360"/>
        </w:trPr>
        <w:tc>
          <w:tcPr>
            <w:tcW w:w="2638" w:type="dxa"/>
          </w:tcPr>
          <w:p w:rsidR="00D225EF" w:rsidRPr="00A71B61" w:rsidRDefault="00D225EF" w:rsidP="00697084">
            <w:pPr>
              <w:spacing w:after="120"/>
              <w:ind w:firstLineChars="100" w:firstLine="200"/>
              <w:rPr>
                <w:rFonts w:eastAsia="Times New Roman" w:cs="Arial"/>
                <w:szCs w:val="20"/>
              </w:rPr>
            </w:pPr>
            <w:r w:rsidRPr="00A71B61">
              <w:rPr>
                <w:rFonts w:eastAsia="Times New Roman" w:cs="Arial"/>
                <w:szCs w:val="20"/>
              </w:rPr>
              <w:t>Leucocitarios</w:t>
            </w:r>
          </w:p>
        </w:tc>
        <w:tc>
          <w:tcPr>
            <w:tcW w:w="973" w:type="dxa"/>
          </w:tcPr>
          <w:p w:rsidR="00D225EF" w:rsidRPr="00A71B61" w:rsidRDefault="00D225EF" w:rsidP="00697084">
            <w:pPr>
              <w:ind w:firstLineChars="100" w:firstLine="200"/>
              <w:rPr>
                <w:rFonts w:eastAsia="Times New Roman" w:cs="Arial"/>
                <w:szCs w:val="20"/>
              </w:rPr>
            </w:pPr>
            <w:r w:rsidRPr="00A71B61">
              <w:rPr>
                <w:rFonts w:eastAsia="Times New Roman" w:cs="Arial"/>
                <w:szCs w:val="20"/>
              </w:rPr>
              <w:t>336</w:t>
            </w:r>
          </w:p>
        </w:tc>
        <w:tc>
          <w:tcPr>
            <w:tcW w:w="1112" w:type="dxa"/>
          </w:tcPr>
          <w:p w:rsidR="00D225EF" w:rsidRPr="00A71B61" w:rsidRDefault="00D225EF" w:rsidP="00697084">
            <w:pPr>
              <w:jc w:val="center"/>
              <w:rPr>
                <w:rFonts w:eastAsia="Times New Roman" w:cs="Arial"/>
                <w:szCs w:val="20"/>
              </w:rPr>
            </w:pPr>
            <w:r w:rsidRPr="00A71B61">
              <w:rPr>
                <w:rFonts w:eastAsia="Times New Roman" w:cs="Arial"/>
                <w:szCs w:val="20"/>
              </w:rPr>
              <w:t>365</w:t>
            </w:r>
          </w:p>
        </w:tc>
        <w:tc>
          <w:tcPr>
            <w:tcW w:w="1115" w:type="dxa"/>
          </w:tcPr>
          <w:p w:rsidR="00D225EF" w:rsidRPr="00A71B61" w:rsidRDefault="00D225EF" w:rsidP="00697084">
            <w:pPr>
              <w:ind w:firstLineChars="100" w:firstLine="200"/>
              <w:rPr>
                <w:rFonts w:eastAsia="Times New Roman" w:cs="Arial"/>
                <w:szCs w:val="20"/>
              </w:rPr>
            </w:pPr>
            <w:r w:rsidRPr="00A71B61">
              <w:rPr>
                <w:rFonts w:eastAsia="Times New Roman" w:cs="Arial"/>
                <w:szCs w:val="20"/>
              </w:rPr>
              <w:t>394</w:t>
            </w:r>
          </w:p>
        </w:tc>
        <w:tc>
          <w:tcPr>
            <w:tcW w:w="1717" w:type="dxa"/>
          </w:tcPr>
          <w:p w:rsidR="00D225EF" w:rsidRPr="00A71B61" w:rsidRDefault="00D225EF" w:rsidP="00697084">
            <w:pPr>
              <w:ind w:firstLineChars="100" w:firstLine="200"/>
              <w:rPr>
                <w:rFonts w:eastAsia="Times New Roman" w:cs="Arial"/>
                <w:szCs w:val="20"/>
              </w:rPr>
            </w:pPr>
            <w:r w:rsidRPr="00A71B61">
              <w:rPr>
                <w:rFonts w:eastAsia="Times New Roman" w:cs="Arial"/>
                <w:szCs w:val="20"/>
              </w:rPr>
              <w:t>7,36</w:t>
            </w:r>
          </w:p>
        </w:tc>
      </w:tr>
    </w:tbl>
    <w:p w:rsidR="00697084" w:rsidRPr="00A71B61" w:rsidRDefault="00697084" w:rsidP="003C6805">
      <w:pPr>
        <w:pStyle w:val="Piedetabla"/>
      </w:pPr>
      <w:r w:rsidRPr="00A71B61">
        <w:t>*Los estudios de trombopenia feto-neonatal aloinmune se registran como 2 muestras (padre y madre) pero contabilizan como un solo estudio.</w:t>
      </w:r>
    </w:p>
    <w:p w:rsidR="00697084" w:rsidRPr="00A71B61" w:rsidRDefault="00374BA3" w:rsidP="003C6805">
      <w:r w:rsidRPr="00A71B61">
        <w:t>A continuación se resumen los resultados de sospecha de Neutropenia Inmune con anticuerpos anti-neutrófilo por CTF</w:t>
      </w:r>
    </w:p>
    <w:tbl>
      <w:tblPr>
        <w:tblStyle w:val="Tabladecuadrcula5oscura-nfasis1"/>
        <w:tblW w:w="0" w:type="auto"/>
        <w:tblLook w:val="0620" w:firstRow="1" w:lastRow="0" w:firstColumn="0" w:lastColumn="0" w:noHBand="1" w:noVBand="1"/>
      </w:tblPr>
      <w:tblGrid>
        <w:gridCol w:w="1710"/>
        <w:gridCol w:w="2021"/>
        <w:gridCol w:w="2015"/>
        <w:gridCol w:w="2181"/>
      </w:tblGrid>
      <w:tr w:rsidR="003B467E" w:rsidRPr="00A71B61" w:rsidTr="00263D80">
        <w:trPr>
          <w:cnfStyle w:val="100000000000" w:firstRow="1" w:lastRow="0" w:firstColumn="0" w:lastColumn="0" w:oddVBand="0" w:evenVBand="0" w:oddHBand="0" w:evenHBand="0" w:firstRowFirstColumn="0" w:firstRowLastColumn="0" w:lastRowFirstColumn="0" w:lastRowLastColumn="0"/>
          <w:trHeight w:val="369"/>
        </w:trPr>
        <w:tc>
          <w:tcPr>
            <w:tcW w:w="1756" w:type="dxa"/>
          </w:tcPr>
          <w:p w:rsidR="003B467E" w:rsidRPr="00A71B61" w:rsidRDefault="003B467E"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lastRenderedPageBreak/>
              <w:t>TOTAL</w:t>
            </w:r>
          </w:p>
        </w:tc>
        <w:tc>
          <w:tcPr>
            <w:tcW w:w="2053" w:type="dxa"/>
          </w:tcPr>
          <w:p w:rsidR="003B467E" w:rsidRPr="00A71B61" w:rsidRDefault="003B467E"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t>NEGATIVOS</w:t>
            </w:r>
          </w:p>
        </w:tc>
        <w:tc>
          <w:tcPr>
            <w:tcW w:w="2053" w:type="dxa"/>
          </w:tcPr>
          <w:p w:rsidR="003B467E" w:rsidRPr="00A71B61" w:rsidRDefault="003B467E"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t>POSITIVOS</w:t>
            </w:r>
          </w:p>
        </w:tc>
        <w:tc>
          <w:tcPr>
            <w:tcW w:w="2065" w:type="dxa"/>
          </w:tcPr>
          <w:p w:rsidR="003B467E" w:rsidRPr="00A71B61" w:rsidRDefault="003B467E"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t>INDETERMINADOS</w:t>
            </w:r>
          </w:p>
        </w:tc>
      </w:tr>
      <w:tr w:rsidR="003B467E" w:rsidRPr="00A71B61" w:rsidTr="00263D80">
        <w:trPr>
          <w:trHeight w:val="369"/>
        </w:trPr>
        <w:tc>
          <w:tcPr>
            <w:tcW w:w="1756"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241</w:t>
            </w:r>
          </w:p>
        </w:tc>
        <w:tc>
          <w:tcPr>
            <w:tcW w:w="2053"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197</w:t>
            </w:r>
          </w:p>
        </w:tc>
        <w:tc>
          <w:tcPr>
            <w:tcW w:w="2053"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36</w:t>
            </w:r>
          </w:p>
        </w:tc>
        <w:tc>
          <w:tcPr>
            <w:tcW w:w="2065"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8</w:t>
            </w:r>
          </w:p>
        </w:tc>
      </w:tr>
      <w:tr w:rsidR="003B467E" w:rsidRPr="00A71B61" w:rsidTr="00263D80">
        <w:trPr>
          <w:trHeight w:val="369"/>
        </w:trPr>
        <w:tc>
          <w:tcPr>
            <w:tcW w:w="1756"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100%</w:t>
            </w:r>
          </w:p>
        </w:tc>
        <w:tc>
          <w:tcPr>
            <w:tcW w:w="2053"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81,74</w:t>
            </w:r>
          </w:p>
        </w:tc>
        <w:tc>
          <w:tcPr>
            <w:tcW w:w="2053"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14,94</w:t>
            </w:r>
          </w:p>
        </w:tc>
        <w:tc>
          <w:tcPr>
            <w:tcW w:w="2065" w:type="dxa"/>
          </w:tcPr>
          <w:p w:rsidR="003B467E" w:rsidRPr="00A71B61" w:rsidRDefault="003B467E" w:rsidP="00374BA3">
            <w:pPr>
              <w:jc w:val="center"/>
              <w:rPr>
                <w:rFonts w:asciiTheme="majorHAnsi" w:hAnsiTheme="majorHAnsi"/>
                <w:color w:val="000000"/>
                <w:szCs w:val="20"/>
              </w:rPr>
            </w:pPr>
            <w:r w:rsidRPr="00A71B61">
              <w:rPr>
                <w:rFonts w:asciiTheme="majorHAnsi" w:hAnsiTheme="majorHAnsi"/>
                <w:color w:val="000000"/>
                <w:szCs w:val="20"/>
              </w:rPr>
              <w:t>3,32</w:t>
            </w:r>
          </w:p>
        </w:tc>
      </w:tr>
    </w:tbl>
    <w:p w:rsidR="00697084" w:rsidRPr="00A71B61" w:rsidRDefault="00697084" w:rsidP="00697084">
      <w:pPr>
        <w:rPr>
          <w:szCs w:val="20"/>
        </w:rPr>
      </w:pPr>
      <w:r w:rsidRPr="00A71B61">
        <w:rPr>
          <w:szCs w:val="20"/>
        </w:rPr>
        <w:t xml:space="preserve"> </w:t>
      </w:r>
    </w:p>
    <w:p w:rsidR="00697084" w:rsidRPr="00A71B61" w:rsidRDefault="00374BA3" w:rsidP="003C6805">
      <w:bookmarkStart w:id="72" w:name="_Toc56606611"/>
      <w:r w:rsidRPr="00A71B61">
        <w:t>Los e</w:t>
      </w:r>
      <w:r w:rsidR="00697084" w:rsidRPr="00A71B61">
        <w:t>studios de sospecha de Trombopenia Inmune - Anticuerpos antiplaquetarios</w:t>
      </w:r>
      <w:r w:rsidRPr="00A71B61">
        <w:t xml:space="preserve"> fueron los siguientes</w:t>
      </w:r>
      <w:r w:rsidR="00697084" w:rsidRPr="00A71B61">
        <w:t>:</w:t>
      </w:r>
      <w:bookmarkEnd w:id="72"/>
    </w:p>
    <w:tbl>
      <w:tblPr>
        <w:tblStyle w:val="Tabladecuadrcula5oscura-nfasis1"/>
        <w:tblW w:w="0" w:type="auto"/>
        <w:tblLook w:val="0620" w:firstRow="1" w:lastRow="0" w:firstColumn="0" w:lastColumn="0" w:noHBand="1" w:noVBand="1"/>
      </w:tblPr>
      <w:tblGrid>
        <w:gridCol w:w="2591"/>
        <w:gridCol w:w="2668"/>
        <w:gridCol w:w="2668"/>
      </w:tblGrid>
      <w:tr w:rsidR="00697084" w:rsidRPr="00A71B61" w:rsidTr="00263D80">
        <w:trPr>
          <w:cnfStyle w:val="100000000000" w:firstRow="1" w:lastRow="0" w:firstColumn="0" w:lastColumn="0" w:oddVBand="0" w:evenVBand="0" w:oddHBand="0" w:evenHBand="0" w:firstRowFirstColumn="0" w:firstRowLastColumn="0" w:lastRowFirstColumn="0" w:lastRowLastColumn="0"/>
          <w:trHeight w:val="369"/>
        </w:trPr>
        <w:tc>
          <w:tcPr>
            <w:tcW w:w="2591" w:type="dxa"/>
          </w:tcPr>
          <w:p w:rsidR="00697084" w:rsidRPr="00A71B61" w:rsidRDefault="00697084"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t>TOTAL</w:t>
            </w:r>
          </w:p>
        </w:tc>
        <w:tc>
          <w:tcPr>
            <w:tcW w:w="2668" w:type="dxa"/>
          </w:tcPr>
          <w:p w:rsidR="00697084" w:rsidRPr="00A71B61" w:rsidRDefault="00697084"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t>NEGATIVOS</w:t>
            </w:r>
          </w:p>
        </w:tc>
        <w:tc>
          <w:tcPr>
            <w:tcW w:w="2668" w:type="dxa"/>
          </w:tcPr>
          <w:p w:rsidR="00697084" w:rsidRPr="00A71B61" w:rsidRDefault="00697084" w:rsidP="00374BA3">
            <w:pPr>
              <w:spacing w:after="120"/>
              <w:jc w:val="center"/>
              <w:rPr>
                <w:rFonts w:asciiTheme="majorHAnsi" w:eastAsia="Times New Roman" w:hAnsiTheme="majorHAnsi"/>
                <w:szCs w:val="20"/>
              </w:rPr>
            </w:pPr>
            <w:r w:rsidRPr="00A71B61">
              <w:rPr>
                <w:rFonts w:asciiTheme="majorHAnsi" w:eastAsia="Times New Roman" w:hAnsiTheme="majorHAnsi"/>
                <w:szCs w:val="20"/>
              </w:rPr>
              <w:t>POSITIVOS</w:t>
            </w:r>
          </w:p>
        </w:tc>
      </w:tr>
      <w:tr w:rsidR="00374BA3" w:rsidRPr="00A71B61" w:rsidTr="00263D80">
        <w:trPr>
          <w:trHeight w:val="369"/>
        </w:trPr>
        <w:tc>
          <w:tcPr>
            <w:tcW w:w="2591" w:type="dxa"/>
          </w:tcPr>
          <w:p w:rsidR="00374BA3" w:rsidRPr="00A71B61" w:rsidRDefault="00374BA3" w:rsidP="00374BA3">
            <w:pPr>
              <w:jc w:val="center"/>
              <w:rPr>
                <w:rFonts w:asciiTheme="majorHAnsi" w:hAnsiTheme="majorHAnsi"/>
                <w:b/>
                <w:color w:val="000000"/>
                <w:szCs w:val="20"/>
              </w:rPr>
            </w:pPr>
            <w:r w:rsidRPr="00A71B61">
              <w:rPr>
                <w:rFonts w:asciiTheme="majorHAnsi" w:hAnsiTheme="majorHAnsi"/>
                <w:b/>
                <w:color w:val="000000"/>
                <w:szCs w:val="20"/>
              </w:rPr>
              <w:t>137</w:t>
            </w:r>
          </w:p>
        </w:tc>
        <w:tc>
          <w:tcPr>
            <w:tcW w:w="2668"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122</w:t>
            </w:r>
          </w:p>
        </w:tc>
        <w:tc>
          <w:tcPr>
            <w:tcW w:w="2668"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15</w:t>
            </w:r>
          </w:p>
        </w:tc>
      </w:tr>
      <w:tr w:rsidR="00374BA3" w:rsidRPr="00A71B61" w:rsidTr="00263D80">
        <w:trPr>
          <w:trHeight w:val="369"/>
        </w:trPr>
        <w:tc>
          <w:tcPr>
            <w:tcW w:w="2591" w:type="dxa"/>
          </w:tcPr>
          <w:p w:rsidR="00374BA3" w:rsidRPr="00A71B61" w:rsidRDefault="00374BA3" w:rsidP="00374BA3">
            <w:pPr>
              <w:jc w:val="center"/>
              <w:rPr>
                <w:rFonts w:asciiTheme="majorHAnsi" w:hAnsiTheme="majorHAnsi"/>
                <w:b/>
                <w:color w:val="000000"/>
                <w:szCs w:val="20"/>
              </w:rPr>
            </w:pPr>
            <w:r w:rsidRPr="00A71B61">
              <w:rPr>
                <w:rFonts w:asciiTheme="majorHAnsi" w:hAnsiTheme="majorHAnsi"/>
                <w:b/>
                <w:color w:val="000000"/>
                <w:szCs w:val="20"/>
              </w:rPr>
              <w:t>100%</w:t>
            </w:r>
          </w:p>
        </w:tc>
        <w:tc>
          <w:tcPr>
            <w:tcW w:w="2668"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89,05</w:t>
            </w:r>
          </w:p>
        </w:tc>
        <w:tc>
          <w:tcPr>
            <w:tcW w:w="2668"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10,95</w:t>
            </w:r>
          </w:p>
        </w:tc>
      </w:tr>
    </w:tbl>
    <w:p w:rsidR="00697084" w:rsidRPr="00A71B61" w:rsidRDefault="00697084" w:rsidP="00697084">
      <w:pPr>
        <w:rPr>
          <w:szCs w:val="20"/>
        </w:rPr>
      </w:pPr>
    </w:p>
    <w:p w:rsidR="00697084" w:rsidRPr="00A71B61" w:rsidRDefault="00374BA3" w:rsidP="003C6805">
      <w:bookmarkStart w:id="73" w:name="_Toc56606612"/>
      <w:r w:rsidRPr="00A71B61">
        <w:t>En cuanto a los es</w:t>
      </w:r>
      <w:r w:rsidR="00697084" w:rsidRPr="00A71B61">
        <w:t>tudios de sospecha de Trombopenia Fetal/Neonatal Aloinmune</w:t>
      </w:r>
      <w:bookmarkEnd w:id="73"/>
      <w:r w:rsidRPr="00A71B61">
        <w:t xml:space="preserve"> se han realizado los siguientes estudios</w:t>
      </w:r>
    </w:p>
    <w:tbl>
      <w:tblPr>
        <w:tblStyle w:val="Tabladecuadrcula5oscura-nfasis1"/>
        <w:tblW w:w="0" w:type="auto"/>
        <w:tblLook w:val="0620" w:firstRow="1" w:lastRow="0" w:firstColumn="0" w:lastColumn="0" w:noHBand="1" w:noVBand="1"/>
      </w:tblPr>
      <w:tblGrid>
        <w:gridCol w:w="1841"/>
        <w:gridCol w:w="2099"/>
        <w:gridCol w:w="2074"/>
        <w:gridCol w:w="1913"/>
      </w:tblGrid>
      <w:tr w:rsidR="00697084" w:rsidRPr="00A71B61" w:rsidTr="00263D80">
        <w:trPr>
          <w:cnfStyle w:val="100000000000" w:firstRow="1" w:lastRow="0" w:firstColumn="0" w:lastColumn="0" w:oddVBand="0" w:evenVBand="0" w:oddHBand="0" w:evenHBand="0" w:firstRowFirstColumn="0" w:firstRowLastColumn="0" w:lastRowFirstColumn="0" w:lastRowLastColumn="0"/>
          <w:trHeight w:val="369"/>
        </w:trPr>
        <w:tc>
          <w:tcPr>
            <w:tcW w:w="1841" w:type="dxa"/>
          </w:tcPr>
          <w:p w:rsidR="00697084" w:rsidRPr="00A71B61" w:rsidRDefault="00697084" w:rsidP="00374BA3">
            <w:pPr>
              <w:spacing w:after="120"/>
              <w:jc w:val="center"/>
              <w:rPr>
                <w:rFonts w:eastAsia="Times New Roman"/>
                <w:szCs w:val="20"/>
              </w:rPr>
            </w:pPr>
            <w:r w:rsidRPr="00A71B61">
              <w:rPr>
                <w:rFonts w:eastAsia="Times New Roman"/>
                <w:szCs w:val="20"/>
              </w:rPr>
              <w:t>TOTAL</w:t>
            </w:r>
          </w:p>
        </w:tc>
        <w:tc>
          <w:tcPr>
            <w:tcW w:w="2099" w:type="dxa"/>
          </w:tcPr>
          <w:p w:rsidR="00697084" w:rsidRPr="00A71B61" w:rsidRDefault="00697084" w:rsidP="00374BA3">
            <w:pPr>
              <w:spacing w:after="120"/>
              <w:jc w:val="center"/>
              <w:rPr>
                <w:rFonts w:eastAsia="Times New Roman"/>
                <w:szCs w:val="20"/>
              </w:rPr>
            </w:pPr>
            <w:r w:rsidRPr="00A71B61">
              <w:rPr>
                <w:rFonts w:eastAsia="Times New Roman"/>
                <w:szCs w:val="20"/>
              </w:rPr>
              <w:t>NEGATIVOS</w:t>
            </w:r>
          </w:p>
        </w:tc>
        <w:tc>
          <w:tcPr>
            <w:tcW w:w="2074" w:type="dxa"/>
          </w:tcPr>
          <w:p w:rsidR="00697084" w:rsidRPr="00A71B61" w:rsidRDefault="00697084" w:rsidP="00374BA3">
            <w:pPr>
              <w:spacing w:after="120"/>
              <w:jc w:val="center"/>
              <w:rPr>
                <w:rFonts w:eastAsia="Times New Roman"/>
                <w:szCs w:val="20"/>
              </w:rPr>
            </w:pPr>
            <w:r w:rsidRPr="00A71B61">
              <w:rPr>
                <w:rFonts w:eastAsia="Times New Roman"/>
                <w:szCs w:val="20"/>
              </w:rPr>
              <w:t>POSITIVOS</w:t>
            </w:r>
          </w:p>
        </w:tc>
        <w:tc>
          <w:tcPr>
            <w:tcW w:w="1913" w:type="dxa"/>
          </w:tcPr>
          <w:p w:rsidR="00697084" w:rsidRPr="00A71B61" w:rsidRDefault="00697084" w:rsidP="00374BA3">
            <w:pPr>
              <w:spacing w:after="120"/>
              <w:jc w:val="center"/>
              <w:rPr>
                <w:rFonts w:eastAsia="Times New Roman"/>
                <w:szCs w:val="20"/>
              </w:rPr>
            </w:pPr>
            <w:r w:rsidRPr="00A71B61">
              <w:rPr>
                <w:rFonts w:eastAsia="Times New Roman"/>
                <w:szCs w:val="20"/>
              </w:rPr>
              <w:t>TITULACIONES</w:t>
            </w:r>
          </w:p>
        </w:tc>
      </w:tr>
      <w:tr w:rsidR="00374BA3" w:rsidRPr="00A71B61" w:rsidTr="00263D80">
        <w:trPr>
          <w:trHeight w:val="369"/>
        </w:trPr>
        <w:tc>
          <w:tcPr>
            <w:tcW w:w="1841" w:type="dxa"/>
          </w:tcPr>
          <w:p w:rsidR="00374BA3" w:rsidRPr="00A71B61" w:rsidRDefault="00374BA3" w:rsidP="00374BA3">
            <w:pPr>
              <w:jc w:val="center"/>
              <w:rPr>
                <w:rFonts w:ascii="Calibri" w:hAnsi="Calibri"/>
                <w:b/>
                <w:color w:val="000000"/>
                <w:szCs w:val="20"/>
              </w:rPr>
            </w:pPr>
            <w:r w:rsidRPr="00A71B61">
              <w:rPr>
                <w:rFonts w:ascii="Calibri" w:hAnsi="Calibri"/>
                <w:b/>
                <w:color w:val="000000"/>
                <w:szCs w:val="20"/>
              </w:rPr>
              <w:t>58</w:t>
            </w:r>
          </w:p>
        </w:tc>
        <w:tc>
          <w:tcPr>
            <w:tcW w:w="2099" w:type="dxa"/>
          </w:tcPr>
          <w:p w:rsidR="00374BA3" w:rsidRPr="00A71B61" w:rsidRDefault="00374BA3" w:rsidP="00374BA3">
            <w:pPr>
              <w:jc w:val="center"/>
              <w:rPr>
                <w:rFonts w:ascii="Calibri" w:hAnsi="Calibri"/>
                <w:color w:val="000000"/>
                <w:szCs w:val="20"/>
              </w:rPr>
            </w:pPr>
            <w:r w:rsidRPr="00A71B61">
              <w:rPr>
                <w:rFonts w:ascii="Calibri" w:hAnsi="Calibri"/>
                <w:color w:val="000000"/>
                <w:szCs w:val="20"/>
              </w:rPr>
              <w:t>49</w:t>
            </w:r>
          </w:p>
        </w:tc>
        <w:tc>
          <w:tcPr>
            <w:tcW w:w="2074" w:type="dxa"/>
          </w:tcPr>
          <w:p w:rsidR="00374BA3" w:rsidRPr="00A71B61" w:rsidRDefault="00374BA3" w:rsidP="00374BA3">
            <w:pPr>
              <w:jc w:val="center"/>
              <w:rPr>
                <w:rFonts w:ascii="Calibri" w:hAnsi="Calibri"/>
                <w:color w:val="000000"/>
                <w:szCs w:val="20"/>
              </w:rPr>
            </w:pPr>
            <w:r w:rsidRPr="00A71B61">
              <w:rPr>
                <w:rFonts w:ascii="Calibri" w:hAnsi="Calibri"/>
                <w:color w:val="000000"/>
                <w:szCs w:val="20"/>
              </w:rPr>
              <w:t>9</w:t>
            </w:r>
          </w:p>
        </w:tc>
        <w:tc>
          <w:tcPr>
            <w:tcW w:w="1913" w:type="dxa"/>
          </w:tcPr>
          <w:p w:rsidR="00374BA3" w:rsidRPr="00A71B61" w:rsidRDefault="00374BA3" w:rsidP="00374BA3">
            <w:pPr>
              <w:jc w:val="center"/>
              <w:rPr>
                <w:rFonts w:ascii="Calibri" w:hAnsi="Calibri"/>
                <w:color w:val="000000"/>
                <w:szCs w:val="20"/>
              </w:rPr>
            </w:pPr>
            <w:r w:rsidRPr="00A71B61">
              <w:rPr>
                <w:rFonts w:ascii="Calibri" w:hAnsi="Calibri"/>
                <w:color w:val="000000"/>
                <w:szCs w:val="20"/>
              </w:rPr>
              <w:t>58</w:t>
            </w:r>
          </w:p>
        </w:tc>
      </w:tr>
      <w:tr w:rsidR="00374BA3" w:rsidRPr="00A71B61" w:rsidTr="00263D80">
        <w:trPr>
          <w:trHeight w:val="369"/>
        </w:trPr>
        <w:tc>
          <w:tcPr>
            <w:tcW w:w="1841" w:type="dxa"/>
          </w:tcPr>
          <w:p w:rsidR="00374BA3" w:rsidRPr="00A71B61" w:rsidRDefault="00374BA3" w:rsidP="00374BA3">
            <w:pPr>
              <w:jc w:val="center"/>
              <w:rPr>
                <w:rFonts w:ascii="Calibri" w:hAnsi="Calibri"/>
                <w:b/>
                <w:color w:val="000000"/>
                <w:szCs w:val="20"/>
              </w:rPr>
            </w:pPr>
            <w:r w:rsidRPr="00A71B61">
              <w:rPr>
                <w:rFonts w:ascii="Calibri" w:hAnsi="Calibri"/>
                <w:b/>
                <w:color w:val="000000"/>
                <w:szCs w:val="20"/>
              </w:rPr>
              <w:t>100%</w:t>
            </w:r>
          </w:p>
        </w:tc>
        <w:tc>
          <w:tcPr>
            <w:tcW w:w="2099" w:type="dxa"/>
          </w:tcPr>
          <w:p w:rsidR="00374BA3" w:rsidRPr="00A71B61" w:rsidRDefault="00374BA3" w:rsidP="00374BA3">
            <w:pPr>
              <w:jc w:val="center"/>
              <w:rPr>
                <w:rFonts w:ascii="Calibri" w:hAnsi="Calibri"/>
                <w:color w:val="000000"/>
                <w:szCs w:val="20"/>
              </w:rPr>
            </w:pPr>
            <w:r w:rsidRPr="00A71B61">
              <w:rPr>
                <w:rFonts w:ascii="Calibri" w:hAnsi="Calibri"/>
                <w:color w:val="000000"/>
                <w:szCs w:val="20"/>
              </w:rPr>
              <w:t>84,48</w:t>
            </w:r>
          </w:p>
        </w:tc>
        <w:tc>
          <w:tcPr>
            <w:tcW w:w="2074" w:type="dxa"/>
          </w:tcPr>
          <w:p w:rsidR="00374BA3" w:rsidRPr="00A71B61" w:rsidRDefault="00374BA3" w:rsidP="00374BA3">
            <w:pPr>
              <w:jc w:val="center"/>
              <w:rPr>
                <w:rFonts w:ascii="Calibri" w:hAnsi="Calibri"/>
                <w:color w:val="000000"/>
                <w:szCs w:val="20"/>
              </w:rPr>
            </w:pPr>
            <w:r w:rsidRPr="00A71B61">
              <w:rPr>
                <w:rFonts w:ascii="Calibri" w:hAnsi="Calibri"/>
                <w:color w:val="000000"/>
                <w:szCs w:val="20"/>
              </w:rPr>
              <w:t>15,52</w:t>
            </w:r>
          </w:p>
        </w:tc>
        <w:tc>
          <w:tcPr>
            <w:tcW w:w="1913" w:type="dxa"/>
          </w:tcPr>
          <w:p w:rsidR="00374BA3" w:rsidRPr="00A71B61" w:rsidRDefault="00374BA3" w:rsidP="00374BA3">
            <w:pPr>
              <w:jc w:val="center"/>
              <w:rPr>
                <w:rFonts w:ascii="Calibri" w:hAnsi="Calibri"/>
                <w:color w:val="000000"/>
                <w:szCs w:val="20"/>
              </w:rPr>
            </w:pPr>
            <w:r w:rsidRPr="00A71B61">
              <w:rPr>
                <w:rFonts w:ascii="Calibri" w:hAnsi="Calibri"/>
                <w:color w:val="000000"/>
                <w:szCs w:val="20"/>
              </w:rPr>
              <w:t>100%</w:t>
            </w:r>
          </w:p>
        </w:tc>
      </w:tr>
    </w:tbl>
    <w:p w:rsidR="00697084" w:rsidRPr="00A71B61" w:rsidRDefault="00697084" w:rsidP="00697084">
      <w:pPr>
        <w:rPr>
          <w:szCs w:val="20"/>
        </w:rPr>
      </w:pPr>
    </w:p>
    <w:p w:rsidR="00697084" w:rsidRPr="00A71B61" w:rsidRDefault="00374BA3" w:rsidP="003C6805">
      <w:bookmarkStart w:id="74" w:name="_Toc56606613"/>
      <w:r w:rsidRPr="00A71B61">
        <w:t xml:space="preserve">A continuación s eresumen los estudios con sospecha de </w:t>
      </w:r>
      <w:r w:rsidR="00697084" w:rsidRPr="00A71B61">
        <w:t>Refractariedad Plaquetaria:</w:t>
      </w:r>
      <w:bookmarkEnd w:id="74"/>
    </w:p>
    <w:tbl>
      <w:tblPr>
        <w:tblStyle w:val="Tabladecuadrcula5oscura-nfasis1"/>
        <w:tblW w:w="0" w:type="auto"/>
        <w:tblLook w:val="0620" w:firstRow="1" w:lastRow="0" w:firstColumn="0" w:lastColumn="0" w:noHBand="1" w:noVBand="1"/>
      </w:tblPr>
      <w:tblGrid>
        <w:gridCol w:w="2593"/>
        <w:gridCol w:w="2676"/>
        <w:gridCol w:w="2658"/>
      </w:tblGrid>
      <w:tr w:rsidR="00697084" w:rsidRPr="00A71B61" w:rsidTr="00263D80">
        <w:trPr>
          <w:cnfStyle w:val="100000000000" w:firstRow="1" w:lastRow="0" w:firstColumn="0" w:lastColumn="0" w:oddVBand="0" w:evenVBand="0" w:oddHBand="0" w:evenHBand="0" w:firstRowFirstColumn="0" w:firstRowLastColumn="0" w:lastRowFirstColumn="0" w:lastRowLastColumn="0"/>
          <w:trHeight w:val="369"/>
        </w:trPr>
        <w:tc>
          <w:tcPr>
            <w:tcW w:w="2593" w:type="dxa"/>
          </w:tcPr>
          <w:p w:rsidR="00697084" w:rsidRPr="00A71B61" w:rsidRDefault="00697084" w:rsidP="00374BA3">
            <w:pPr>
              <w:spacing w:after="120"/>
              <w:jc w:val="center"/>
              <w:rPr>
                <w:rFonts w:asciiTheme="majorHAnsi" w:eastAsia="Times New Roman" w:hAnsiTheme="majorHAnsi"/>
                <w:bCs w:val="0"/>
                <w:szCs w:val="20"/>
              </w:rPr>
            </w:pPr>
            <w:r w:rsidRPr="00A71B61">
              <w:rPr>
                <w:rFonts w:asciiTheme="majorHAnsi" w:eastAsia="Times New Roman" w:hAnsiTheme="majorHAnsi"/>
                <w:bCs w:val="0"/>
                <w:szCs w:val="20"/>
              </w:rPr>
              <w:t>TOTAL</w:t>
            </w:r>
          </w:p>
        </w:tc>
        <w:tc>
          <w:tcPr>
            <w:tcW w:w="2676" w:type="dxa"/>
          </w:tcPr>
          <w:p w:rsidR="00697084" w:rsidRPr="00A71B61" w:rsidRDefault="00697084" w:rsidP="00374BA3">
            <w:pPr>
              <w:spacing w:after="120"/>
              <w:jc w:val="center"/>
              <w:rPr>
                <w:rFonts w:asciiTheme="majorHAnsi" w:eastAsia="Times New Roman" w:hAnsiTheme="majorHAnsi"/>
                <w:bCs w:val="0"/>
                <w:szCs w:val="20"/>
              </w:rPr>
            </w:pPr>
            <w:r w:rsidRPr="00A71B61">
              <w:rPr>
                <w:rFonts w:asciiTheme="majorHAnsi" w:eastAsia="Times New Roman" w:hAnsiTheme="majorHAnsi"/>
                <w:bCs w:val="0"/>
                <w:szCs w:val="20"/>
              </w:rPr>
              <w:t>NEGATIVOS</w:t>
            </w:r>
          </w:p>
        </w:tc>
        <w:tc>
          <w:tcPr>
            <w:tcW w:w="2658" w:type="dxa"/>
          </w:tcPr>
          <w:p w:rsidR="00697084" w:rsidRPr="00A71B61" w:rsidRDefault="00697084" w:rsidP="00374BA3">
            <w:pPr>
              <w:spacing w:after="120"/>
              <w:jc w:val="center"/>
              <w:rPr>
                <w:rFonts w:asciiTheme="majorHAnsi" w:eastAsia="Times New Roman" w:hAnsiTheme="majorHAnsi"/>
                <w:bCs w:val="0"/>
                <w:szCs w:val="20"/>
              </w:rPr>
            </w:pPr>
            <w:r w:rsidRPr="00A71B61">
              <w:rPr>
                <w:rFonts w:asciiTheme="majorHAnsi" w:eastAsia="Times New Roman" w:hAnsiTheme="majorHAnsi"/>
                <w:bCs w:val="0"/>
                <w:szCs w:val="20"/>
              </w:rPr>
              <w:t>POSITIVOS</w:t>
            </w:r>
          </w:p>
        </w:tc>
      </w:tr>
      <w:tr w:rsidR="00374BA3" w:rsidRPr="00A71B61" w:rsidTr="00263D80">
        <w:trPr>
          <w:trHeight w:val="369"/>
        </w:trPr>
        <w:tc>
          <w:tcPr>
            <w:tcW w:w="2593" w:type="dxa"/>
          </w:tcPr>
          <w:p w:rsidR="00374BA3" w:rsidRPr="00A71B61" w:rsidRDefault="00374BA3" w:rsidP="00374BA3">
            <w:pPr>
              <w:jc w:val="center"/>
              <w:rPr>
                <w:rFonts w:asciiTheme="majorHAnsi" w:hAnsiTheme="majorHAnsi"/>
                <w:b/>
                <w:color w:val="000000"/>
                <w:szCs w:val="20"/>
              </w:rPr>
            </w:pPr>
            <w:r w:rsidRPr="00A71B61">
              <w:rPr>
                <w:rFonts w:asciiTheme="majorHAnsi" w:hAnsiTheme="majorHAnsi"/>
                <w:b/>
                <w:color w:val="000000"/>
                <w:szCs w:val="20"/>
              </w:rPr>
              <w:t>113</w:t>
            </w:r>
          </w:p>
        </w:tc>
        <w:tc>
          <w:tcPr>
            <w:tcW w:w="2676"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95</w:t>
            </w:r>
          </w:p>
        </w:tc>
        <w:tc>
          <w:tcPr>
            <w:tcW w:w="2658"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18</w:t>
            </w:r>
          </w:p>
        </w:tc>
      </w:tr>
      <w:tr w:rsidR="00374BA3" w:rsidRPr="00A71B61" w:rsidTr="00263D80">
        <w:trPr>
          <w:trHeight w:val="369"/>
        </w:trPr>
        <w:tc>
          <w:tcPr>
            <w:tcW w:w="2593" w:type="dxa"/>
          </w:tcPr>
          <w:p w:rsidR="00374BA3" w:rsidRPr="00A71B61" w:rsidRDefault="00374BA3" w:rsidP="00374BA3">
            <w:pPr>
              <w:jc w:val="center"/>
              <w:rPr>
                <w:rFonts w:asciiTheme="majorHAnsi" w:hAnsiTheme="majorHAnsi"/>
                <w:b/>
                <w:color w:val="000000"/>
                <w:szCs w:val="20"/>
              </w:rPr>
            </w:pPr>
            <w:r w:rsidRPr="00A71B61">
              <w:rPr>
                <w:rFonts w:asciiTheme="majorHAnsi" w:hAnsiTheme="majorHAnsi"/>
                <w:b/>
                <w:color w:val="000000"/>
                <w:szCs w:val="20"/>
              </w:rPr>
              <w:t>100%</w:t>
            </w:r>
          </w:p>
        </w:tc>
        <w:tc>
          <w:tcPr>
            <w:tcW w:w="2676"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84,07</w:t>
            </w:r>
          </w:p>
        </w:tc>
        <w:tc>
          <w:tcPr>
            <w:tcW w:w="2658" w:type="dxa"/>
          </w:tcPr>
          <w:p w:rsidR="00374BA3" w:rsidRPr="00A71B61" w:rsidRDefault="00374BA3" w:rsidP="00374BA3">
            <w:pPr>
              <w:jc w:val="center"/>
              <w:rPr>
                <w:rFonts w:asciiTheme="majorHAnsi" w:hAnsiTheme="majorHAnsi"/>
                <w:color w:val="000000"/>
                <w:szCs w:val="20"/>
              </w:rPr>
            </w:pPr>
            <w:r w:rsidRPr="00A71B61">
              <w:rPr>
                <w:rFonts w:asciiTheme="majorHAnsi" w:hAnsiTheme="majorHAnsi"/>
                <w:color w:val="000000"/>
                <w:szCs w:val="20"/>
              </w:rPr>
              <w:t>15,93</w:t>
            </w:r>
          </w:p>
        </w:tc>
      </w:tr>
    </w:tbl>
    <w:p w:rsidR="00697084" w:rsidRPr="00A71B61" w:rsidRDefault="00697084" w:rsidP="00697084">
      <w:pPr>
        <w:rPr>
          <w:szCs w:val="20"/>
        </w:rPr>
      </w:pPr>
    </w:p>
    <w:p w:rsidR="00697084" w:rsidRPr="00A71B61" w:rsidRDefault="00697084" w:rsidP="003C6805">
      <w:bookmarkStart w:id="75" w:name="_Toc56606614"/>
      <w:r w:rsidRPr="00A71B61">
        <w:t>Estudios de anticuerpos antiFP4-heparina por sospecha de TIH:</w:t>
      </w:r>
      <w:bookmarkEnd w:id="75"/>
    </w:p>
    <w:tbl>
      <w:tblPr>
        <w:tblStyle w:val="Tabladecuadrcula5oscura-nfasis1"/>
        <w:tblW w:w="0" w:type="auto"/>
        <w:tblLook w:val="0620" w:firstRow="1" w:lastRow="0" w:firstColumn="0" w:lastColumn="0" w:noHBand="1" w:noVBand="1"/>
      </w:tblPr>
      <w:tblGrid>
        <w:gridCol w:w="1731"/>
        <w:gridCol w:w="2021"/>
        <w:gridCol w:w="1994"/>
        <w:gridCol w:w="2181"/>
      </w:tblGrid>
      <w:tr w:rsidR="00697084" w:rsidRPr="00A71B61" w:rsidTr="00263D80">
        <w:trPr>
          <w:cnfStyle w:val="100000000000" w:firstRow="1" w:lastRow="0" w:firstColumn="0" w:lastColumn="0" w:oddVBand="0" w:evenVBand="0" w:oddHBand="0" w:evenHBand="0" w:firstRowFirstColumn="0" w:firstRowLastColumn="0" w:lastRowFirstColumn="0" w:lastRowLastColumn="0"/>
          <w:trHeight w:val="369"/>
        </w:trPr>
        <w:tc>
          <w:tcPr>
            <w:tcW w:w="1779" w:type="dxa"/>
          </w:tcPr>
          <w:p w:rsidR="00697084" w:rsidRPr="00A71B61" w:rsidRDefault="00697084" w:rsidP="003A6973">
            <w:pPr>
              <w:spacing w:after="120"/>
              <w:jc w:val="center"/>
              <w:rPr>
                <w:rFonts w:asciiTheme="majorHAnsi" w:eastAsia="Times New Roman" w:hAnsiTheme="majorHAnsi"/>
                <w:szCs w:val="20"/>
              </w:rPr>
            </w:pPr>
            <w:r w:rsidRPr="00A71B61">
              <w:rPr>
                <w:rFonts w:asciiTheme="majorHAnsi" w:eastAsia="Times New Roman" w:hAnsiTheme="majorHAnsi"/>
                <w:szCs w:val="20"/>
              </w:rPr>
              <w:t>TOTAL</w:t>
            </w:r>
          </w:p>
        </w:tc>
        <w:tc>
          <w:tcPr>
            <w:tcW w:w="2053" w:type="dxa"/>
          </w:tcPr>
          <w:p w:rsidR="00697084" w:rsidRPr="00A71B61" w:rsidRDefault="00697084" w:rsidP="003A6973">
            <w:pPr>
              <w:spacing w:after="120"/>
              <w:jc w:val="center"/>
              <w:rPr>
                <w:rFonts w:asciiTheme="majorHAnsi" w:eastAsia="Times New Roman" w:hAnsiTheme="majorHAnsi"/>
                <w:szCs w:val="20"/>
              </w:rPr>
            </w:pPr>
            <w:r w:rsidRPr="00A71B61">
              <w:rPr>
                <w:rFonts w:asciiTheme="majorHAnsi" w:eastAsia="Times New Roman" w:hAnsiTheme="majorHAnsi"/>
                <w:szCs w:val="20"/>
              </w:rPr>
              <w:t>NEGATIVOS</w:t>
            </w:r>
          </w:p>
        </w:tc>
        <w:tc>
          <w:tcPr>
            <w:tcW w:w="2030" w:type="dxa"/>
          </w:tcPr>
          <w:p w:rsidR="00697084" w:rsidRPr="00A71B61" w:rsidRDefault="00697084" w:rsidP="003A6973">
            <w:pPr>
              <w:spacing w:after="120"/>
              <w:jc w:val="center"/>
              <w:rPr>
                <w:rFonts w:asciiTheme="majorHAnsi" w:eastAsia="Times New Roman" w:hAnsiTheme="majorHAnsi"/>
                <w:szCs w:val="20"/>
              </w:rPr>
            </w:pPr>
            <w:r w:rsidRPr="00A71B61">
              <w:rPr>
                <w:rFonts w:asciiTheme="majorHAnsi" w:eastAsia="Times New Roman" w:hAnsiTheme="majorHAnsi"/>
                <w:szCs w:val="20"/>
              </w:rPr>
              <w:t>POSITIVOS</w:t>
            </w:r>
          </w:p>
        </w:tc>
        <w:tc>
          <w:tcPr>
            <w:tcW w:w="2065" w:type="dxa"/>
          </w:tcPr>
          <w:p w:rsidR="00697084" w:rsidRPr="00A71B61" w:rsidRDefault="00697084" w:rsidP="003A6973">
            <w:pPr>
              <w:spacing w:after="120"/>
              <w:jc w:val="center"/>
              <w:rPr>
                <w:rFonts w:asciiTheme="majorHAnsi" w:eastAsia="Times New Roman" w:hAnsiTheme="majorHAnsi"/>
                <w:szCs w:val="20"/>
              </w:rPr>
            </w:pPr>
            <w:r w:rsidRPr="00A71B61">
              <w:rPr>
                <w:rFonts w:asciiTheme="majorHAnsi" w:eastAsia="Times New Roman" w:hAnsiTheme="majorHAnsi"/>
                <w:szCs w:val="20"/>
              </w:rPr>
              <w:t>INDETERMINADOS</w:t>
            </w:r>
          </w:p>
        </w:tc>
      </w:tr>
      <w:tr w:rsidR="00374BA3" w:rsidRPr="00A71B61" w:rsidTr="00263D80">
        <w:trPr>
          <w:trHeight w:val="369"/>
        </w:trPr>
        <w:tc>
          <w:tcPr>
            <w:tcW w:w="1779" w:type="dxa"/>
          </w:tcPr>
          <w:p w:rsidR="00374BA3" w:rsidRPr="00A71B61" w:rsidRDefault="00374BA3" w:rsidP="003A6973">
            <w:pPr>
              <w:jc w:val="center"/>
              <w:rPr>
                <w:rFonts w:asciiTheme="majorHAnsi" w:hAnsiTheme="majorHAnsi"/>
                <w:b/>
                <w:color w:val="000000"/>
                <w:szCs w:val="20"/>
              </w:rPr>
            </w:pPr>
            <w:r w:rsidRPr="00A71B61">
              <w:rPr>
                <w:rFonts w:asciiTheme="majorHAnsi" w:hAnsiTheme="majorHAnsi"/>
                <w:b/>
                <w:color w:val="000000"/>
                <w:szCs w:val="20"/>
              </w:rPr>
              <w:t>341</w:t>
            </w:r>
          </w:p>
        </w:tc>
        <w:tc>
          <w:tcPr>
            <w:tcW w:w="2053" w:type="dxa"/>
          </w:tcPr>
          <w:p w:rsidR="00374BA3" w:rsidRPr="00A71B61" w:rsidRDefault="00374BA3" w:rsidP="003A6973">
            <w:pPr>
              <w:jc w:val="center"/>
              <w:rPr>
                <w:rFonts w:asciiTheme="majorHAnsi" w:hAnsiTheme="majorHAnsi"/>
                <w:color w:val="000000"/>
                <w:szCs w:val="20"/>
              </w:rPr>
            </w:pPr>
            <w:r w:rsidRPr="00A71B61">
              <w:rPr>
                <w:rFonts w:asciiTheme="majorHAnsi" w:hAnsiTheme="majorHAnsi"/>
                <w:color w:val="000000"/>
                <w:szCs w:val="20"/>
              </w:rPr>
              <w:t>236</w:t>
            </w:r>
          </w:p>
        </w:tc>
        <w:tc>
          <w:tcPr>
            <w:tcW w:w="2030" w:type="dxa"/>
          </w:tcPr>
          <w:p w:rsidR="00374BA3" w:rsidRPr="00A71B61" w:rsidRDefault="00374BA3" w:rsidP="003A6973">
            <w:pPr>
              <w:jc w:val="center"/>
              <w:rPr>
                <w:rFonts w:asciiTheme="majorHAnsi" w:hAnsiTheme="majorHAnsi"/>
                <w:color w:val="000000"/>
                <w:szCs w:val="20"/>
              </w:rPr>
            </w:pPr>
            <w:r w:rsidRPr="00A71B61">
              <w:rPr>
                <w:rFonts w:asciiTheme="majorHAnsi" w:hAnsiTheme="majorHAnsi"/>
                <w:color w:val="000000"/>
                <w:szCs w:val="20"/>
              </w:rPr>
              <w:t>51</w:t>
            </w:r>
          </w:p>
        </w:tc>
        <w:tc>
          <w:tcPr>
            <w:tcW w:w="2065" w:type="dxa"/>
          </w:tcPr>
          <w:p w:rsidR="00374BA3" w:rsidRPr="00A71B61" w:rsidRDefault="00374BA3" w:rsidP="003A6973">
            <w:pPr>
              <w:jc w:val="center"/>
              <w:rPr>
                <w:rFonts w:asciiTheme="majorHAnsi" w:hAnsiTheme="majorHAnsi"/>
                <w:color w:val="000000"/>
                <w:szCs w:val="20"/>
              </w:rPr>
            </w:pPr>
            <w:r w:rsidRPr="00A71B61">
              <w:rPr>
                <w:rFonts w:asciiTheme="majorHAnsi" w:hAnsiTheme="majorHAnsi"/>
                <w:color w:val="000000"/>
                <w:szCs w:val="20"/>
              </w:rPr>
              <w:t>54</w:t>
            </w:r>
          </w:p>
        </w:tc>
      </w:tr>
      <w:tr w:rsidR="00374BA3" w:rsidRPr="00A71B61" w:rsidTr="00263D80">
        <w:trPr>
          <w:trHeight w:val="369"/>
        </w:trPr>
        <w:tc>
          <w:tcPr>
            <w:tcW w:w="1779" w:type="dxa"/>
          </w:tcPr>
          <w:p w:rsidR="00374BA3" w:rsidRPr="00A71B61" w:rsidRDefault="00374BA3" w:rsidP="003A6973">
            <w:pPr>
              <w:jc w:val="center"/>
              <w:rPr>
                <w:rFonts w:asciiTheme="majorHAnsi" w:hAnsiTheme="majorHAnsi"/>
                <w:b/>
                <w:color w:val="000000"/>
                <w:szCs w:val="20"/>
              </w:rPr>
            </w:pPr>
            <w:r w:rsidRPr="00A71B61">
              <w:rPr>
                <w:rFonts w:asciiTheme="majorHAnsi" w:hAnsiTheme="majorHAnsi"/>
                <w:b/>
                <w:color w:val="000000"/>
                <w:szCs w:val="20"/>
              </w:rPr>
              <w:t>100%</w:t>
            </w:r>
          </w:p>
        </w:tc>
        <w:tc>
          <w:tcPr>
            <w:tcW w:w="2053" w:type="dxa"/>
          </w:tcPr>
          <w:p w:rsidR="00374BA3" w:rsidRPr="00A71B61" w:rsidRDefault="00374BA3" w:rsidP="003A6973">
            <w:pPr>
              <w:jc w:val="center"/>
              <w:rPr>
                <w:rFonts w:asciiTheme="majorHAnsi" w:hAnsiTheme="majorHAnsi"/>
                <w:color w:val="000000"/>
                <w:szCs w:val="20"/>
              </w:rPr>
            </w:pPr>
            <w:r w:rsidRPr="00A71B61">
              <w:rPr>
                <w:rFonts w:asciiTheme="majorHAnsi" w:hAnsiTheme="majorHAnsi"/>
                <w:color w:val="000000"/>
                <w:szCs w:val="20"/>
              </w:rPr>
              <w:t>69,21</w:t>
            </w:r>
          </w:p>
        </w:tc>
        <w:tc>
          <w:tcPr>
            <w:tcW w:w="2030" w:type="dxa"/>
          </w:tcPr>
          <w:p w:rsidR="00374BA3" w:rsidRPr="00A71B61" w:rsidRDefault="00374BA3" w:rsidP="003A6973">
            <w:pPr>
              <w:jc w:val="center"/>
              <w:rPr>
                <w:rFonts w:asciiTheme="majorHAnsi" w:hAnsiTheme="majorHAnsi"/>
                <w:color w:val="000000"/>
                <w:szCs w:val="20"/>
              </w:rPr>
            </w:pPr>
            <w:r w:rsidRPr="00A71B61">
              <w:rPr>
                <w:rFonts w:asciiTheme="majorHAnsi" w:hAnsiTheme="majorHAnsi"/>
                <w:color w:val="000000"/>
                <w:szCs w:val="20"/>
              </w:rPr>
              <w:t>14,96</w:t>
            </w:r>
          </w:p>
        </w:tc>
        <w:tc>
          <w:tcPr>
            <w:tcW w:w="2065" w:type="dxa"/>
          </w:tcPr>
          <w:p w:rsidR="00374BA3" w:rsidRPr="00A71B61" w:rsidRDefault="00374BA3" w:rsidP="003A6973">
            <w:pPr>
              <w:jc w:val="center"/>
              <w:rPr>
                <w:rFonts w:asciiTheme="majorHAnsi" w:hAnsiTheme="majorHAnsi"/>
                <w:color w:val="000000"/>
                <w:szCs w:val="20"/>
              </w:rPr>
            </w:pPr>
            <w:r w:rsidRPr="00A71B61">
              <w:rPr>
                <w:rFonts w:asciiTheme="majorHAnsi" w:hAnsiTheme="majorHAnsi"/>
                <w:color w:val="000000"/>
                <w:szCs w:val="20"/>
              </w:rPr>
              <w:t>22,88</w:t>
            </w:r>
          </w:p>
        </w:tc>
      </w:tr>
    </w:tbl>
    <w:p w:rsidR="003A6973" w:rsidRPr="00A71B61" w:rsidRDefault="003A6973" w:rsidP="003A6973">
      <w:pPr>
        <w:rPr>
          <w:szCs w:val="20"/>
        </w:rPr>
      </w:pPr>
      <w:bookmarkStart w:id="76" w:name="_Toc56606615"/>
    </w:p>
    <w:p w:rsidR="00697084" w:rsidRPr="00A71B61" w:rsidRDefault="00697084" w:rsidP="003C6805">
      <w:r w:rsidRPr="00A71B61">
        <w:t>E</w:t>
      </w:r>
      <w:r w:rsidR="003A6973" w:rsidRPr="00A71B61">
        <w:t>n cuanto a los e</w:t>
      </w:r>
      <w:r w:rsidRPr="00A71B61">
        <w:t xml:space="preserve">studios eritrocitarios </w:t>
      </w:r>
      <w:r w:rsidR="003A6973" w:rsidRPr="00A71B61">
        <w:t>realizados a pacientes en 2020 se han realizado un total de 961 estudios</w:t>
      </w:r>
      <w:bookmarkEnd w:id="76"/>
      <w:r w:rsidR="003A6973" w:rsidRPr="00A71B61">
        <w:t xml:space="preserve"> con la siguiente distribución:</w:t>
      </w:r>
    </w:p>
    <w:tbl>
      <w:tblPr>
        <w:tblStyle w:val="Tabladecuadrcula1clara-nfasis1"/>
        <w:tblW w:w="8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8"/>
      </w:tblGrid>
      <w:tr w:rsidR="003A6973" w:rsidRPr="00A71B61" w:rsidTr="003C6805">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048" w:type="dxa"/>
            <w:tcBorders>
              <w:bottom w:val="none" w:sz="0" w:space="0" w:color="auto"/>
            </w:tcBorders>
            <w:noWrap/>
            <w:hideMark/>
          </w:tcPr>
          <w:p w:rsidR="003A6973" w:rsidRPr="00A71B61" w:rsidRDefault="003A6973" w:rsidP="003C6805">
            <w:pPr>
              <w:rPr>
                <w:rFonts w:ascii="Calibri" w:eastAsia="Times New Roman" w:hAnsi="Calibri" w:cs="Times New Roman"/>
                <w:color w:val="000000"/>
                <w:lang w:eastAsia="es-ES"/>
              </w:rPr>
            </w:pPr>
            <w:r w:rsidRPr="00A71B61">
              <w:rPr>
                <w:rFonts w:ascii="Calibri" w:eastAsia="Times New Roman" w:hAnsi="Calibri" w:cs="Times New Roman"/>
                <w:color w:val="000000"/>
                <w:lang w:eastAsia="es-ES"/>
              </w:rPr>
              <w:t xml:space="preserve">226 </w:t>
            </w:r>
            <w:r w:rsidR="003B35FF" w:rsidRPr="00A71B61">
              <w:rPr>
                <w:rFonts w:ascii="Calibri" w:eastAsia="Times New Roman" w:hAnsi="Calibri" w:cs="Times New Roman"/>
                <w:color w:val="000000"/>
                <w:lang w:eastAsia="es-ES"/>
              </w:rPr>
              <w:t>e</w:t>
            </w:r>
            <w:r w:rsidRPr="00A71B61">
              <w:rPr>
                <w:rFonts w:ascii="Calibri" w:eastAsia="Times New Roman" w:hAnsi="Calibri" w:cs="Times New Roman"/>
                <w:color w:val="000000"/>
                <w:lang w:eastAsia="es-ES"/>
              </w:rPr>
              <w:t>studios de AI: 43 negativos y 183 con AI positivos  (ver tabla IAI)</w:t>
            </w:r>
          </w:p>
        </w:tc>
      </w:tr>
      <w:tr w:rsidR="003A6973" w:rsidRPr="00A71B61" w:rsidTr="003C6805">
        <w:trPr>
          <w:trHeight w:val="455"/>
        </w:trPr>
        <w:tc>
          <w:tcPr>
            <w:cnfStyle w:val="001000000000" w:firstRow="0" w:lastRow="0" w:firstColumn="1" w:lastColumn="0" w:oddVBand="0" w:evenVBand="0" w:oddHBand="0" w:evenHBand="0" w:firstRowFirstColumn="0" w:firstRowLastColumn="0" w:lastRowFirstColumn="0" w:lastRowLastColumn="0"/>
            <w:tcW w:w="8048" w:type="dxa"/>
            <w:noWrap/>
            <w:hideMark/>
          </w:tcPr>
          <w:p w:rsidR="003A6973" w:rsidRPr="00A71B61" w:rsidRDefault="003A6973" w:rsidP="003C6805">
            <w:pPr>
              <w:rPr>
                <w:rFonts w:ascii="Calibri" w:eastAsia="Times New Roman" w:hAnsi="Calibri" w:cs="Times New Roman"/>
                <w:color w:val="000000"/>
                <w:lang w:eastAsia="es-ES"/>
              </w:rPr>
            </w:pPr>
            <w:r w:rsidRPr="00A71B61">
              <w:rPr>
                <w:rFonts w:ascii="Calibri" w:eastAsia="Times New Roman" w:hAnsi="Calibri" w:cs="Times New Roman"/>
                <w:color w:val="000000"/>
                <w:lang w:eastAsia="es-ES"/>
              </w:rPr>
              <w:t>407 estudio de genotipo eritrocitario en pacientes</w:t>
            </w:r>
          </w:p>
        </w:tc>
      </w:tr>
      <w:tr w:rsidR="003A6973" w:rsidRPr="00A71B61" w:rsidTr="003C6805">
        <w:trPr>
          <w:trHeight w:val="455"/>
        </w:trPr>
        <w:tc>
          <w:tcPr>
            <w:cnfStyle w:val="001000000000" w:firstRow="0" w:lastRow="0" w:firstColumn="1" w:lastColumn="0" w:oddVBand="0" w:evenVBand="0" w:oddHBand="0" w:evenHBand="0" w:firstRowFirstColumn="0" w:firstRowLastColumn="0" w:lastRowFirstColumn="0" w:lastRowLastColumn="0"/>
            <w:tcW w:w="8048" w:type="dxa"/>
            <w:noWrap/>
            <w:hideMark/>
          </w:tcPr>
          <w:p w:rsidR="003A6973" w:rsidRPr="00A71B61" w:rsidRDefault="003B35FF" w:rsidP="003B35FF">
            <w:pPr>
              <w:rPr>
                <w:rFonts w:ascii="Calibri" w:eastAsia="Times New Roman" w:hAnsi="Calibri" w:cs="Times New Roman"/>
                <w:b w:val="0"/>
                <w:color w:val="000000"/>
                <w:szCs w:val="20"/>
                <w:lang w:eastAsia="es-ES"/>
              </w:rPr>
            </w:pPr>
            <w:r w:rsidRPr="00A71B61">
              <w:rPr>
                <w:rFonts w:ascii="Calibri" w:eastAsia="Times New Roman" w:hAnsi="Calibri" w:cs="Times New Roman"/>
                <w:color w:val="000000"/>
                <w:szCs w:val="20"/>
                <w:lang w:eastAsia="es-ES"/>
              </w:rPr>
              <w:t>163</w:t>
            </w:r>
            <w:r w:rsidR="003A6973" w:rsidRPr="00A71B61">
              <w:rPr>
                <w:rFonts w:ascii="Calibri" w:eastAsia="Times New Roman" w:hAnsi="Calibri" w:cs="Times New Roman"/>
                <w:color w:val="000000"/>
                <w:szCs w:val="20"/>
                <w:lang w:eastAsia="es-ES"/>
              </w:rPr>
              <w:t xml:space="preserve"> estudios del gen RHD</w:t>
            </w:r>
            <w:r w:rsidR="003A6973" w:rsidRPr="00A71B61">
              <w:rPr>
                <w:rFonts w:ascii="Calibri" w:eastAsia="Times New Roman" w:hAnsi="Calibri" w:cs="Times New Roman"/>
                <w:b w:val="0"/>
                <w:color w:val="000000"/>
                <w:szCs w:val="20"/>
                <w:lang w:eastAsia="es-ES"/>
              </w:rPr>
              <w:t xml:space="preserve"> (ver tabla</w:t>
            </w:r>
            <w:r w:rsidRPr="00A71B61">
              <w:rPr>
                <w:rFonts w:ascii="Calibri" w:eastAsia="Times New Roman" w:hAnsi="Calibri" w:cs="Times New Roman"/>
                <w:b w:val="0"/>
                <w:color w:val="000000"/>
                <w:szCs w:val="20"/>
                <w:lang w:eastAsia="es-ES"/>
              </w:rPr>
              <w:t>)</w:t>
            </w:r>
          </w:p>
        </w:tc>
      </w:tr>
      <w:tr w:rsidR="003A6973" w:rsidRPr="00A71B61" w:rsidTr="003C6805">
        <w:trPr>
          <w:trHeight w:val="455"/>
        </w:trPr>
        <w:tc>
          <w:tcPr>
            <w:cnfStyle w:val="001000000000" w:firstRow="0" w:lastRow="0" w:firstColumn="1" w:lastColumn="0" w:oddVBand="0" w:evenVBand="0" w:oddHBand="0" w:evenHBand="0" w:firstRowFirstColumn="0" w:firstRowLastColumn="0" w:lastRowFirstColumn="0" w:lastRowLastColumn="0"/>
            <w:tcW w:w="8048" w:type="dxa"/>
            <w:noWrap/>
            <w:hideMark/>
          </w:tcPr>
          <w:p w:rsidR="003A6973" w:rsidRPr="00A71B61" w:rsidRDefault="003A6973" w:rsidP="003A6973">
            <w:pPr>
              <w:rPr>
                <w:rFonts w:ascii="Calibri" w:eastAsia="Times New Roman" w:hAnsi="Calibri" w:cs="Times New Roman"/>
                <w:b w:val="0"/>
                <w:color w:val="000000"/>
                <w:szCs w:val="20"/>
                <w:lang w:eastAsia="es-ES"/>
              </w:rPr>
            </w:pPr>
            <w:r w:rsidRPr="00A71B61">
              <w:rPr>
                <w:rFonts w:ascii="Calibri" w:eastAsia="Times New Roman" w:hAnsi="Calibri" w:cs="Times New Roman"/>
                <w:color w:val="000000"/>
                <w:szCs w:val="20"/>
                <w:lang w:eastAsia="es-ES"/>
              </w:rPr>
              <w:t>20 estudios de genotipo RhD fetal</w:t>
            </w:r>
            <w:r w:rsidRPr="00A71B61">
              <w:rPr>
                <w:rFonts w:ascii="Calibri" w:eastAsia="Times New Roman" w:hAnsi="Calibri" w:cs="Times New Roman"/>
                <w:b w:val="0"/>
                <w:color w:val="000000"/>
                <w:szCs w:val="20"/>
                <w:lang w:eastAsia="es-ES"/>
              </w:rPr>
              <w:t xml:space="preserve"> a partir de plasma materno (1 en segunda muestra)</w:t>
            </w:r>
          </w:p>
        </w:tc>
      </w:tr>
      <w:tr w:rsidR="003A6973" w:rsidRPr="00A71B61" w:rsidTr="003C6805">
        <w:trPr>
          <w:trHeight w:val="455"/>
        </w:trPr>
        <w:tc>
          <w:tcPr>
            <w:cnfStyle w:val="001000000000" w:firstRow="0" w:lastRow="0" w:firstColumn="1" w:lastColumn="0" w:oddVBand="0" w:evenVBand="0" w:oddHBand="0" w:evenHBand="0" w:firstRowFirstColumn="0" w:firstRowLastColumn="0" w:lastRowFirstColumn="0" w:lastRowLastColumn="0"/>
            <w:tcW w:w="8048"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lastRenderedPageBreak/>
              <w:t>6 estudios de cigosidad RhD  paterna</w:t>
            </w:r>
          </w:p>
        </w:tc>
      </w:tr>
    </w:tbl>
    <w:p w:rsidR="003A6973" w:rsidRPr="00A71B61" w:rsidRDefault="003A6973" w:rsidP="003A6973">
      <w:pPr>
        <w:rPr>
          <w:szCs w:val="20"/>
        </w:rPr>
      </w:pPr>
    </w:p>
    <w:p w:rsidR="003A6973" w:rsidRPr="00A71B61" w:rsidRDefault="003A6973" w:rsidP="003C6805">
      <w:r w:rsidRPr="00A71B61">
        <w:t>La siguiente tabla resume los resultados de los estudios de IAI realizados en pacientes</w:t>
      </w:r>
    </w:p>
    <w:tbl>
      <w:tblPr>
        <w:tblStyle w:val="Tabladecuadrcula5oscura-nfasis1"/>
        <w:tblW w:w="8080" w:type="dxa"/>
        <w:tblLook w:val="0620" w:firstRow="1" w:lastRow="0" w:firstColumn="0" w:lastColumn="0" w:noHBand="1" w:noVBand="1"/>
      </w:tblPr>
      <w:tblGrid>
        <w:gridCol w:w="1868"/>
        <w:gridCol w:w="1440"/>
        <w:gridCol w:w="1547"/>
        <w:gridCol w:w="3225"/>
      </w:tblGrid>
      <w:tr w:rsidR="00263D80" w:rsidRPr="00A71B61" w:rsidTr="00263D80">
        <w:trPr>
          <w:cnfStyle w:val="100000000000" w:firstRow="1" w:lastRow="0" w:firstColumn="0" w:lastColumn="0" w:oddVBand="0" w:evenVBand="0" w:oddHBand="0" w:evenHBand="0" w:firstRowFirstColumn="0" w:firstRowLastColumn="0" w:lastRowFirstColumn="0" w:lastRowLastColumn="0"/>
          <w:trHeight w:val="520"/>
        </w:trPr>
        <w:tc>
          <w:tcPr>
            <w:tcW w:w="1868" w:type="dxa"/>
            <w:noWrap/>
            <w:hideMark/>
          </w:tcPr>
          <w:p w:rsidR="003A6973" w:rsidRPr="00A71B61" w:rsidRDefault="003A6973" w:rsidP="003A6973">
            <w:pPr>
              <w:rPr>
                <w:rFonts w:ascii="Calibri" w:eastAsia="Times New Roman" w:hAnsi="Calibri" w:cs="Times New Roman"/>
                <w:szCs w:val="20"/>
                <w:lang w:eastAsia="es-ES"/>
              </w:rPr>
            </w:pPr>
            <w:r w:rsidRPr="00A71B61">
              <w:rPr>
                <w:rFonts w:ascii="Calibri" w:eastAsia="Times New Roman" w:hAnsi="Calibri" w:cs="Times New Roman"/>
                <w:szCs w:val="20"/>
                <w:lang w:eastAsia="es-ES"/>
              </w:rPr>
              <w:t>ALTA INCIDENCIA</w:t>
            </w:r>
          </w:p>
        </w:tc>
        <w:tc>
          <w:tcPr>
            <w:tcW w:w="1440" w:type="dxa"/>
            <w:noWrap/>
            <w:hideMark/>
          </w:tcPr>
          <w:p w:rsidR="003A6973" w:rsidRPr="00A71B61" w:rsidRDefault="003A6973" w:rsidP="00B51AC6">
            <w:pPr>
              <w:jc w:val="center"/>
              <w:rPr>
                <w:rFonts w:ascii="Calibri" w:eastAsia="Times New Roman" w:hAnsi="Calibri" w:cs="Times New Roman"/>
                <w:szCs w:val="20"/>
                <w:lang w:eastAsia="es-ES"/>
              </w:rPr>
            </w:pPr>
            <w:r w:rsidRPr="00A71B61">
              <w:rPr>
                <w:rFonts w:ascii="Calibri" w:eastAsia="Times New Roman" w:hAnsi="Calibri" w:cs="Times New Roman"/>
                <w:szCs w:val="20"/>
                <w:lang w:eastAsia="es-ES"/>
              </w:rPr>
              <w:t>BAJA INCIDENCIA</w:t>
            </w:r>
          </w:p>
        </w:tc>
        <w:tc>
          <w:tcPr>
            <w:tcW w:w="1547" w:type="dxa"/>
            <w:noWrap/>
            <w:hideMark/>
          </w:tcPr>
          <w:p w:rsidR="003A6973" w:rsidRPr="00A71B61" w:rsidRDefault="003A6973" w:rsidP="003A6973">
            <w:pPr>
              <w:rPr>
                <w:rFonts w:ascii="Calibri" w:eastAsia="Times New Roman" w:hAnsi="Calibri" w:cs="Times New Roman"/>
                <w:szCs w:val="20"/>
                <w:lang w:eastAsia="es-ES"/>
              </w:rPr>
            </w:pPr>
            <w:r w:rsidRPr="00A71B61">
              <w:rPr>
                <w:rFonts w:ascii="Calibri" w:eastAsia="Times New Roman" w:hAnsi="Calibri" w:cs="Times New Roman"/>
                <w:szCs w:val="20"/>
                <w:lang w:eastAsia="es-ES"/>
              </w:rPr>
              <w:t>HTLA</w:t>
            </w:r>
          </w:p>
        </w:tc>
        <w:tc>
          <w:tcPr>
            <w:tcW w:w="3225" w:type="dxa"/>
            <w:noWrap/>
            <w:hideMark/>
          </w:tcPr>
          <w:p w:rsidR="003A6973" w:rsidRPr="00A71B61" w:rsidRDefault="003A6973" w:rsidP="003A6973">
            <w:pPr>
              <w:rPr>
                <w:rFonts w:ascii="Calibri" w:eastAsia="Times New Roman" w:hAnsi="Calibri" w:cs="Times New Roman"/>
                <w:szCs w:val="20"/>
                <w:lang w:eastAsia="es-ES"/>
              </w:rPr>
            </w:pPr>
            <w:r w:rsidRPr="00A71B61">
              <w:rPr>
                <w:rFonts w:ascii="Calibri" w:eastAsia="Times New Roman" w:hAnsi="Calibri" w:cs="Times New Roman"/>
                <w:szCs w:val="20"/>
                <w:lang w:eastAsia="es-ES"/>
              </w:rPr>
              <w:t>OTROS</w:t>
            </w:r>
          </w:p>
        </w:tc>
      </w:tr>
      <w:tr w:rsidR="003A6973" w:rsidRPr="00A71B61" w:rsidTr="00263D80">
        <w:trPr>
          <w:trHeight w:val="520"/>
        </w:trPr>
        <w:tc>
          <w:tcPr>
            <w:tcW w:w="1868"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 Yta</w:t>
            </w:r>
          </w:p>
        </w:tc>
        <w:tc>
          <w:tcPr>
            <w:tcW w:w="1440"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 Lua</w:t>
            </w:r>
          </w:p>
        </w:tc>
        <w:tc>
          <w:tcPr>
            <w:tcW w:w="1547"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 no identificado</w:t>
            </w:r>
          </w:p>
        </w:tc>
        <w:tc>
          <w:tcPr>
            <w:tcW w:w="3225"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40 Autoanticuerpos</w:t>
            </w:r>
          </w:p>
        </w:tc>
      </w:tr>
      <w:tr w:rsidR="003A6973" w:rsidRPr="00A71B61" w:rsidTr="00263D80">
        <w:trPr>
          <w:trHeight w:val="520"/>
        </w:trPr>
        <w:tc>
          <w:tcPr>
            <w:tcW w:w="1868"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1 sin identificar</w:t>
            </w:r>
          </w:p>
        </w:tc>
        <w:tc>
          <w:tcPr>
            <w:tcW w:w="1440" w:type="dxa"/>
            <w:noWrap/>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 Bga</w:t>
            </w:r>
          </w:p>
        </w:tc>
        <w:tc>
          <w:tcPr>
            <w:tcW w:w="1547"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 Chido</w:t>
            </w:r>
          </w:p>
        </w:tc>
        <w:tc>
          <w:tcPr>
            <w:tcW w:w="3225"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25 Crioglobulinas</w:t>
            </w:r>
          </w:p>
        </w:tc>
      </w:tr>
      <w:tr w:rsidR="003A6973" w:rsidRPr="00A71B61" w:rsidTr="00263D80">
        <w:trPr>
          <w:trHeight w:val="520"/>
        </w:trPr>
        <w:tc>
          <w:tcPr>
            <w:tcW w:w="1868"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1440" w:type="dxa"/>
            <w:noWrap/>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2 Dia</w:t>
            </w:r>
          </w:p>
        </w:tc>
        <w:tc>
          <w:tcPr>
            <w:tcW w:w="1547"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3225"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15 con 2 aloanticuerpos</w:t>
            </w:r>
          </w:p>
        </w:tc>
      </w:tr>
      <w:tr w:rsidR="003A6973" w:rsidRPr="00A71B61" w:rsidTr="00263D80">
        <w:trPr>
          <w:trHeight w:val="520"/>
        </w:trPr>
        <w:tc>
          <w:tcPr>
            <w:tcW w:w="1868"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1440" w:type="dxa"/>
            <w:noWrap/>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3 Kpa</w:t>
            </w:r>
          </w:p>
        </w:tc>
        <w:tc>
          <w:tcPr>
            <w:tcW w:w="1547"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3225"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8 con 3 aloanticuerpos</w:t>
            </w:r>
          </w:p>
        </w:tc>
      </w:tr>
      <w:tr w:rsidR="003A6973" w:rsidRPr="00A71B61" w:rsidTr="00263D80">
        <w:trPr>
          <w:trHeight w:val="520"/>
        </w:trPr>
        <w:tc>
          <w:tcPr>
            <w:tcW w:w="1868" w:type="dxa"/>
            <w:noWrap/>
            <w:hideMark/>
          </w:tcPr>
          <w:p w:rsidR="003A6973" w:rsidRPr="00A71B61" w:rsidRDefault="003A6973" w:rsidP="003A6973">
            <w:pPr>
              <w:rPr>
                <w:rFonts w:ascii="Calibri" w:eastAsia="Times New Roman" w:hAnsi="Calibri" w:cs="Times New Roman"/>
                <w:color w:val="000000"/>
                <w:szCs w:val="20"/>
                <w:lang w:eastAsia="es-ES"/>
              </w:rPr>
            </w:pPr>
          </w:p>
        </w:tc>
        <w:tc>
          <w:tcPr>
            <w:tcW w:w="1440" w:type="dxa"/>
            <w:noWrap/>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4 Wra</w:t>
            </w:r>
          </w:p>
        </w:tc>
        <w:tc>
          <w:tcPr>
            <w:tcW w:w="1547"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3225"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61 con 1 aloanticuerpos</w:t>
            </w:r>
          </w:p>
        </w:tc>
      </w:tr>
      <w:tr w:rsidR="003A6973" w:rsidRPr="00A71B61" w:rsidTr="00263D80">
        <w:trPr>
          <w:trHeight w:val="520"/>
        </w:trPr>
        <w:tc>
          <w:tcPr>
            <w:tcW w:w="1868"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1440" w:type="dxa"/>
            <w:noWrap/>
          </w:tcPr>
          <w:p w:rsidR="003A6973" w:rsidRPr="00A71B61" w:rsidRDefault="003A6973" w:rsidP="003A6973">
            <w:pPr>
              <w:rPr>
                <w:rFonts w:ascii="Calibri" w:eastAsia="Times New Roman" w:hAnsi="Calibri" w:cs="Times New Roman"/>
                <w:color w:val="000000"/>
                <w:szCs w:val="20"/>
                <w:lang w:eastAsia="es-ES"/>
              </w:rPr>
            </w:pPr>
          </w:p>
        </w:tc>
        <w:tc>
          <w:tcPr>
            <w:tcW w:w="1547"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 </w:t>
            </w:r>
          </w:p>
        </w:tc>
        <w:tc>
          <w:tcPr>
            <w:tcW w:w="3225" w:type="dxa"/>
            <w:noWrap/>
            <w:hideMark/>
          </w:tcPr>
          <w:p w:rsidR="003A6973" w:rsidRPr="00A71B61" w:rsidRDefault="003A6973" w:rsidP="003A6973">
            <w:pPr>
              <w:rPr>
                <w:rFonts w:ascii="Calibri" w:eastAsia="Times New Roman" w:hAnsi="Calibri" w:cs="Times New Roman"/>
                <w:color w:val="000000"/>
                <w:szCs w:val="20"/>
                <w:lang w:eastAsia="es-ES"/>
              </w:rPr>
            </w:pPr>
            <w:r w:rsidRPr="00A71B61">
              <w:rPr>
                <w:rFonts w:ascii="Calibri" w:eastAsia="Times New Roman" w:hAnsi="Calibri" w:cs="Times New Roman"/>
                <w:color w:val="000000"/>
                <w:szCs w:val="20"/>
                <w:lang w:eastAsia="es-ES"/>
              </w:rPr>
              <w:t>16 con 1 aloanticuerpos sin especificidad aparente</w:t>
            </w:r>
          </w:p>
        </w:tc>
      </w:tr>
    </w:tbl>
    <w:p w:rsidR="003A6973" w:rsidRPr="00A71B61" w:rsidRDefault="003A6973" w:rsidP="003A6973">
      <w:pPr>
        <w:rPr>
          <w:szCs w:val="20"/>
        </w:rPr>
      </w:pPr>
    </w:p>
    <w:p w:rsidR="00697084" w:rsidRPr="00A71B61" w:rsidRDefault="003B35FF" w:rsidP="003C6805">
      <w:r w:rsidRPr="00A71B61">
        <w:t>Por último se han realizado un total de 163 estudios del gen RHD a pacietnes obteniéndose los siguientes resultados:</w:t>
      </w:r>
    </w:p>
    <w:tbl>
      <w:tblPr>
        <w:tblStyle w:val="Tabladecuadrcula5oscura-nfasis1"/>
        <w:tblW w:w="4827" w:type="dxa"/>
        <w:jc w:val="center"/>
        <w:tblLook w:val="0620" w:firstRow="1" w:lastRow="0" w:firstColumn="0" w:lastColumn="0" w:noHBand="1" w:noVBand="1"/>
      </w:tblPr>
      <w:tblGrid>
        <w:gridCol w:w="2916"/>
        <w:gridCol w:w="1911"/>
      </w:tblGrid>
      <w:tr w:rsidR="00263D80" w:rsidRPr="00A71B61" w:rsidTr="00263D80">
        <w:trPr>
          <w:cnfStyle w:val="100000000000" w:firstRow="1" w:lastRow="0" w:firstColumn="0" w:lastColumn="0" w:oddVBand="0" w:evenVBand="0" w:oddHBand="0" w:evenHBand="0" w:firstRowFirstColumn="0" w:firstRowLastColumn="0" w:lastRowFirstColumn="0" w:lastRowLastColumn="0"/>
          <w:cantSplit/>
          <w:trHeight w:val="478"/>
          <w:tblHeader/>
          <w:jc w:val="center"/>
        </w:trPr>
        <w:tc>
          <w:tcPr>
            <w:tcW w:w="2916" w:type="dxa"/>
            <w:noWrap/>
            <w:hideMark/>
          </w:tcPr>
          <w:p w:rsidR="003B35FF" w:rsidRPr="00A71B61" w:rsidRDefault="00C04F53">
            <w:pPr>
              <w:rPr>
                <w:rFonts w:ascii="Calibri" w:hAnsi="Calibri"/>
                <w:szCs w:val="20"/>
              </w:rPr>
            </w:pPr>
            <w:r w:rsidRPr="00A71B61">
              <w:rPr>
                <w:rFonts w:ascii="Calibri" w:hAnsi="Calibri"/>
                <w:szCs w:val="20"/>
              </w:rPr>
              <w:t>RHD variante</w:t>
            </w:r>
          </w:p>
        </w:tc>
        <w:tc>
          <w:tcPr>
            <w:tcW w:w="1911" w:type="dxa"/>
            <w:noWrap/>
            <w:hideMark/>
          </w:tcPr>
          <w:p w:rsidR="003B35FF" w:rsidRPr="00A71B61" w:rsidRDefault="003B35FF" w:rsidP="003B35FF">
            <w:pPr>
              <w:jc w:val="center"/>
              <w:rPr>
                <w:rFonts w:ascii="Calibri" w:hAnsi="Calibri"/>
                <w:szCs w:val="20"/>
              </w:rPr>
            </w:pPr>
            <w:r w:rsidRPr="00A71B61">
              <w:rPr>
                <w:rFonts w:ascii="Calibri" w:hAnsi="Calibri"/>
                <w:szCs w:val="20"/>
              </w:rPr>
              <w:t>Número</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1</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56</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2</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55</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3</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11</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4</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6</w:t>
            </w:r>
          </w:p>
        </w:tc>
      </w:tr>
      <w:tr w:rsidR="003B35FF" w:rsidRPr="00A71B61" w:rsidTr="00263D80">
        <w:trPr>
          <w:trHeight w:val="478"/>
          <w:jc w:val="center"/>
        </w:trPr>
        <w:tc>
          <w:tcPr>
            <w:tcW w:w="0" w:type="auto"/>
            <w:noWrap/>
          </w:tcPr>
          <w:p w:rsidR="003B35FF" w:rsidRPr="00A71B61" w:rsidRDefault="00C04F53" w:rsidP="003B35FF">
            <w:pPr>
              <w:rPr>
                <w:rFonts w:ascii="Calibri" w:hAnsi="Calibri"/>
                <w:color w:val="000000"/>
                <w:szCs w:val="20"/>
              </w:rPr>
            </w:pPr>
            <w:r w:rsidRPr="00A71B61">
              <w:rPr>
                <w:rFonts w:ascii="Calibri" w:hAnsi="Calibri"/>
                <w:color w:val="000000"/>
                <w:szCs w:val="20"/>
              </w:rPr>
              <w:t>RHD variante</w:t>
            </w:r>
          </w:p>
        </w:tc>
        <w:tc>
          <w:tcPr>
            <w:tcW w:w="0" w:type="auto"/>
            <w:noWrap/>
          </w:tcPr>
          <w:p w:rsidR="003B35FF" w:rsidRPr="00A71B61" w:rsidRDefault="003B35FF" w:rsidP="003B35FF">
            <w:pPr>
              <w:jc w:val="center"/>
              <w:rPr>
                <w:rFonts w:ascii="Calibri" w:hAnsi="Calibri"/>
                <w:b/>
                <w:color w:val="000000"/>
                <w:szCs w:val="20"/>
              </w:rPr>
            </w:pPr>
            <w:r w:rsidRPr="00A71B61">
              <w:rPr>
                <w:rFonts w:ascii="Calibri" w:hAnsi="Calibri"/>
                <w:b/>
                <w:color w:val="000000"/>
                <w:szCs w:val="20"/>
              </w:rPr>
              <w:t>Número</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4,0/4,3</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1</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11</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4</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Débil tipo 59</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7</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D parciales</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12</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Variante D VI tipoIV. D</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2</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RHD-</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4</w:t>
            </w:r>
          </w:p>
        </w:tc>
      </w:tr>
      <w:tr w:rsidR="003B35FF" w:rsidRPr="00A71B61" w:rsidTr="00263D80">
        <w:trPr>
          <w:trHeight w:val="478"/>
          <w:jc w:val="center"/>
        </w:trPr>
        <w:tc>
          <w:tcPr>
            <w:tcW w:w="0" w:type="auto"/>
            <w:noWrap/>
            <w:hideMark/>
          </w:tcPr>
          <w:p w:rsidR="003B35FF" w:rsidRPr="00A71B61" w:rsidRDefault="003B35FF">
            <w:pPr>
              <w:rPr>
                <w:rFonts w:ascii="Calibri" w:hAnsi="Calibri"/>
                <w:color w:val="000000"/>
                <w:szCs w:val="20"/>
              </w:rPr>
            </w:pPr>
            <w:r w:rsidRPr="00A71B61">
              <w:rPr>
                <w:rFonts w:ascii="Calibri" w:hAnsi="Calibri"/>
                <w:color w:val="000000"/>
                <w:szCs w:val="20"/>
              </w:rPr>
              <w:t>RHD+</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5</w:t>
            </w:r>
          </w:p>
        </w:tc>
      </w:tr>
      <w:tr w:rsidR="003B35FF" w:rsidRPr="00A71B61" w:rsidTr="00263D80">
        <w:trPr>
          <w:trHeight w:val="478"/>
          <w:jc w:val="center"/>
        </w:trPr>
        <w:tc>
          <w:tcPr>
            <w:tcW w:w="0" w:type="auto"/>
            <w:noWrap/>
            <w:hideMark/>
          </w:tcPr>
          <w:p w:rsidR="003B35FF" w:rsidRPr="00A71B61" w:rsidRDefault="003B35FF">
            <w:pPr>
              <w:jc w:val="center"/>
              <w:rPr>
                <w:rFonts w:ascii="Calibri" w:hAnsi="Calibri"/>
                <w:color w:val="000000"/>
                <w:szCs w:val="20"/>
              </w:rPr>
            </w:pPr>
            <w:r w:rsidRPr="00A71B61">
              <w:rPr>
                <w:rFonts w:ascii="Calibri" w:hAnsi="Calibri"/>
                <w:b/>
                <w:bCs/>
                <w:color w:val="000000"/>
                <w:szCs w:val="20"/>
              </w:rPr>
              <w:t>TOTAL</w:t>
            </w:r>
          </w:p>
        </w:tc>
        <w:tc>
          <w:tcPr>
            <w:tcW w:w="0" w:type="auto"/>
            <w:noWrap/>
            <w:hideMark/>
          </w:tcPr>
          <w:p w:rsidR="003B35FF" w:rsidRPr="00A71B61" w:rsidRDefault="003B35FF" w:rsidP="003B35FF">
            <w:pPr>
              <w:jc w:val="center"/>
              <w:rPr>
                <w:rFonts w:ascii="Calibri" w:hAnsi="Calibri"/>
                <w:color w:val="000000"/>
                <w:szCs w:val="20"/>
              </w:rPr>
            </w:pPr>
            <w:r w:rsidRPr="00A71B61">
              <w:rPr>
                <w:rFonts w:ascii="Calibri" w:hAnsi="Calibri"/>
                <w:color w:val="000000"/>
                <w:szCs w:val="20"/>
              </w:rPr>
              <w:t>163</w:t>
            </w:r>
          </w:p>
        </w:tc>
      </w:tr>
    </w:tbl>
    <w:p w:rsidR="00697084" w:rsidRPr="00A71B61" w:rsidRDefault="003B35FF" w:rsidP="00697084">
      <w:pPr>
        <w:rPr>
          <w:szCs w:val="20"/>
        </w:rPr>
      </w:pPr>
      <w:r w:rsidRPr="00A71B61">
        <w:rPr>
          <w:szCs w:val="20"/>
        </w:rPr>
        <w:t xml:space="preserve"> </w:t>
      </w:r>
      <w:r w:rsidR="00697084" w:rsidRPr="00A71B61">
        <w:rPr>
          <w:szCs w:val="20"/>
        </w:rPr>
        <w:br w:type="page"/>
      </w:r>
    </w:p>
    <w:p w:rsidR="00456D38" w:rsidRPr="00B51AC6" w:rsidRDefault="00456D38" w:rsidP="00B51AC6">
      <w:pPr>
        <w:pStyle w:val="Ttulo1"/>
      </w:pPr>
      <w:bookmarkStart w:id="77" w:name="_Toc90584896"/>
      <w:r w:rsidRPr="00B51AC6">
        <w:lastRenderedPageBreak/>
        <w:t>Hemovi</w:t>
      </w:r>
      <w:r w:rsidR="007477EB" w:rsidRPr="00B51AC6">
        <w:t>gilancia</w:t>
      </w:r>
      <w:bookmarkEnd w:id="77"/>
    </w:p>
    <w:p w:rsidR="0026356C" w:rsidRPr="00B51AC6" w:rsidRDefault="0026356C" w:rsidP="00B51AC6">
      <w:pPr>
        <w:pStyle w:val="Ttulo2"/>
      </w:pPr>
      <w:bookmarkStart w:id="78" w:name="_Toc90584897"/>
      <w:r w:rsidRPr="00B51AC6">
        <w:t>Incidentes relacionados con la donación</w:t>
      </w:r>
      <w:bookmarkEnd w:id="78"/>
    </w:p>
    <w:p w:rsidR="006738D9" w:rsidRPr="00A71B61" w:rsidRDefault="006738D9" w:rsidP="006738D9">
      <w:pPr>
        <w:rPr>
          <w:szCs w:val="20"/>
          <w:lang w:val="x-none" w:eastAsia="x-none"/>
        </w:rPr>
      </w:pPr>
    </w:p>
    <w:p w:rsidR="003C6805" w:rsidRPr="003C6805" w:rsidRDefault="003C6805" w:rsidP="00260936">
      <w:pPr>
        <w:pStyle w:val="Ttulo3"/>
      </w:pPr>
      <w:r w:rsidRPr="003C6805">
        <w:t>Incidentes relacionados con la donación en la Comunidad de Madrid y en España:</w:t>
      </w:r>
    </w:p>
    <w:p w:rsidR="003C6805" w:rsidRDefault="003C6805" w:rsidP="003C6805">
      <w:pPr>
        <w:pStyle w:val="Prrafodelista"/>
        <w:ind w:left="0" w:firstLine="720"/>
      </w:pPr>
    </w:p>
    <w:p w:rsidR="003C6805" w:rsidRDefault="003C6805" w:rsidP="003C6805">
      <w:r>
        <w:t xml:space="preserve">Durante el año 2020 se han realizado en la Comunidad de Madrid, incluyendo las Unidades de Transfusión de Hospitales, Unidades  Móviles, locales habilitados y el propio Centro de Transfusión, un total de </w:t>
      </w:r>
      <w:r>
        <w:rPr>
          <w:b/>
        </w:rPr>
        <w:t>233.773</w:t>
      </w:r>
      <w:r w:rsidRPr="00C304F5">
        <w:rPr>
          <w:b/>
        </w:rPr>
        <w:t xml:space="preserve"> donaciones</w:t>
      </w:r>
      <w:r w:rsidRPr="00C304F5">
        <w:t xml:space="preserve"> </w:t>
      </w:r>
      <w:r>
        <w:t xml:space="preserve">(cifra inferior a la alcanzada en 2019, que fue de 237.271), incluyendo </w:t>
      </w:r>
      <w:r>
        <w:rPr>
          <w:b/>
        </w:rPr>
        <w:t>228.592</w:t>
      </w:r>
      <w:r>
        <w:t xml:space="preserve"> </w:t>
      </w:r>
      <w:r w:rsidRPr="0075587B">
        <w:rPr>
          <w:b/>
        </w:rPr>
        <w:t xml:space="preserve"> donaciones de sangre total</w:t>
      </w:r>
      <w:r>
        <w:t xml:space="preserve"> </w:t>
      </w:r>
      <w:r w:rsidRPr="00C304F5">
        <w:t xml:space="preserve">y </w:t>
      </w:r>
      <w:r>
        <w:rPr>
          <w:b/>
        </w:rPr>
        <w:t>5.181</w:t>
      </w:r>
      <w:r w:rsidRPr="00C304F5">
        <w:t xml:space="preserve"> </w:t>
      </w:r>
      <w:r w:rsidRPr="00F7655B">
        <w:rPr>
          <w:b/>
        </w:rPr>
        <w:t>procedimientos de aféresis</w:t>
      </w:r>
      <w:r w:rsidRPr="005E6D88">
        <w:t>,</w:t>
      </w:r>
      <w:r>
        <w:t xml:space="preserve"> y se han notificado al Centro de Transfusión de la Comunidad de Madrid </w:t>
      </w:r>
      <w:r>
        <w:rPr>
          <w:b/>
        </w:rPr>
        <w:t>931</w:t>
      </w:r>
      <w:r w:rsidRPr="003B613E">
        <w:rPr>
          <w:b/>
        </w:rPr>
        <w:t xml:space="preserve"> </w:t>
      </w:r>
      <w:r w:rsidRPr="00F7655B">
        <w:rPr>
          <w:b/>
        </w:rPr>
        <w:t>incidentes relacionados con la donación sanguínea</w:t>
      </w:r>
      <w:r>
        <w:t xml:space="preserve">, una cifra inferior a los 1.188 que se registraron en 2019. Supone una tasa total de </w:t>
      </w:r>
      <w:r>
        <w:rPr>
          <w:b/>
        </w:rPr>
        <w:t>39,82</w:t>
      </w:r>
      <w:r w:rsidRPr="00C304F5">
        <w:rPr>
          <w:b/>
        </w:rPr>
        <w:t xml:space="preserve"> </w:t>
      </w:r>
      <w:r w:rsidRPr="00681066">
        <w:rPr>
          <w:b/>
        </w:rPr>
        <w:t xml:space="preserve">incidentes </w:t>
      </w:r>
      <w:r w:rsidRPr="00B577A1">
        <w:rPr>
          <w:b/>
        </w:rPr>
        <w:t>por cada 1</w:t>
      </w:r>
      <w:r>
        <w:rPr>
          <w:b/>
        </w:rPr>
        <w:t>0</w:t>
      </w:r>
      <w:r w:rsidRPr="00B577A1">
        <w:rPr>
          <w:b/>
        </w:rPr>
        <w:t>.000 donaciones</w:t>
      </w:r>
      <w:r>
        <w:t xml:space="preserve">. </w:t>
      </w:r>
    </w:p>
    <w:p w:rsidR="003C6805" w:rsidRDefault="003C6805" w:rsidP="003C6805"/>
    <w:p w:rsidR="003C6805" w:rsidRDefault="003C6805" w:rsidP="003C6805">
      <w:r>
        <w:t xml:space="preserve">El gráfico 1 hace referencia a la evolución de los incidentes notificados al Centro de Transfusión desde 2011 hasta la actualidad, en valores absolutos, y el gráfico 2 hace referencia a la tasa calculada por cada 10.000 donaciones en los últimos 7 años, comparando la Comunidad Autónoma de Madrid con el conjunto de España. </w:t>
      </w:r>
    </w:p>
    <w:p w:rsidR="003C6805" w:rsidRPr="00F06D31" w:rsidRDefault="003C6805" w:rsidP="003C6805">
      <w:pPr>
        <w:rPr>
          <w:i/>
        </w:rPr>
      </w:pPr>
      <w:r w:rsidRPr="00147758">
        <w:rPr>
          <w:color w:val="000000" w:themeColor="text1"/>
        </w:rPr>
        <w:t xml:space="preserve">Hay </w:t>
      </w:r>
      <w:r>
        <w:t>que destacar en el 2020 la influencia de la pandemia por SARS-coV-2, con la consiguiente disminución de procedimientos quirúrgicos programados y la sobrecarga asistencial hospitalaria, que ha repercutido probablemente en la menor tasa de notificación con respecto a años anteriores.</w:t>
      </w:r>
    </w:p>
    <w:p w:rsidR="003C6805" w:rsidRDefault="003C6805" w:rsidP="003C6805"/>
    <w:p w:rsidR="00260936" w:rsidRDefault="00260936">
      <w:pPr>
        <w:jc w:val="left"/>
      </w:pPr>
      <w:r>
        <w:br w:type="page"/>
      </w:r>
    </w:p>
    <w:p w:rsidR="003C6805" w:rsidRDefault="003C6805" w:rsidP="003C6805">
      <w:r>
        <w:lastRenderedPageBreak/>
        <w:t>Gráfico 1. Evolución de número de incidentes en donación en la Comunidad de Madrid</w:t>
      </w:r>
    </w:p>
    <w:p w:rsidR="003C6805" w:rsidRDefault="003C6805" w:rsidP="003C6805">
      <w:pPr>
        <w:pStyle w:val="Prrafodelista"/>
        <w:ind w:left="0"/>
      </w:pPr>
      <w:r w:rsidRPr="00C52B90">
        <w:rPr>
          <w:noProof/>
          <w:lang w:eastAsia="es-ES"/>
        </w:rPr>
        <w:drawing>
          <wp:inline distT="0" distB="0" distL="0" distR="0" wp14:anchorId="015316EC" wp14:editId="6BA30B3D">
            <wp:extent cx="5142015" cy="3277590"/>
            <wp:effectExtent l="0" t="0" r="1905" b="18415"/>
            <wp:docPr id="312" name="Gráfico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738D9" w:rsidRDefault="006738D9" w:rsidP="003C6805"/>
    <w:p w:rsidR="003C6805" w:rsidRDefault="003C6805" w:rsidP="003C6805">
      <w:r>
        <w:t>Gráfico 2. Evolución de tasa de incidentes en donación por cada 10.000 donaciones en la Comunidad de Madrid.</w:t>
      </w:r>
    </w:p>
    <w:p w:rsidR="003C6805" w:rsidRDefault="003C6805" w:rsidP="003C6805">
      <w:pPr>
        <w:pStyle w:val="Prrafodelista"/>
        <w:ind w:left="0"/>
      </w:pPr>
      <w:r>
        <w:rPr>
          <w:noProof/>
          <w:lang w:eastAsia="es-ES"/>
        </w:rPr>
        <w:drawing>
          <wp:inline distT="0" distB="0" distL="0" distR="0" wp14:anchorId="75622738" wp14:editId="51877F36">
            <wp:extent cx="5141595" cy="3241963"/>
            <wp:effectExtent l="0" t="0" r="1905" b="15875"/>
            <wp:docPr id="313" name="Gráfico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3C6805" w:rsidRDefault="003C6805" w:rsidP="003C6805">
      <w:pPr>
        <w:pStyle w:val="Prrafodelista"/>
        <w:tabs>
          <w:tab w:val="left" w:pos="2151"/>
        </w:tabs>
        <w:ind w:left="0"/>
      </w:pPr>
      <w:r>
        <w:tab/>
      </w:r>
    </w:p>
    <w:p w:rsidR="00260936" w:rsidRDefault="00260936">
      <w:pPr>
        <w:jc w:val="left"/>
        <w:rPr>
          <w:b/>
        </w:rPr>
      </w:pPr>
      <w:r>
        <w:rPr>
          <w:b/>
        </w:rPr>
        <w:br w:type="page"/>
      </w:r>
    </w:p>
    <w:p w:rsidR="003C6805" w:rsidRPr="003C6805" w:rsidRDefault="003C6805" w:rsidP="00260936">
      <w:pPr>
        <w:pStyle w:val="Ttulo3"/>
      </w:pPr>
      <w:r w:rsidRPr="003C6805">
        <w:lastRenderedPageBreak/>
        <w:t>Incidentes según el tipo de donación:</w:t>
      </w:r>
    </w:p>
    <w:p w:rsidR="003C6805" w:rsidRDefault="003C6805" w:rsidP="003C6805"/>
    <w:p w:rsidR="003C6805" w:rsidRDefault="003C6805">
      <w:pPr>
        <w:jc w:val="left"/>
      </w:pPr>
    </w:p>
    <w:p w:rsidR="003C6805" w:rsidRDefault="003C6805" w:rsidP="003C6805">
      <w:pPr>
        <w:rPr>
          <w:b/>
        </w:rPr>
      </w:pPr>
      <w:r>
        <w:t>Gráfico 3.</w:t>
      </w:r>
    </w:p>
    <w:p w:rsidR="003C6805" w:rsidRDefault="003C6805" w:rsidP="003C6805">
      <w:pPr>
        <w:pStyle w:val="Prrafodelista"/>
        <w:ind w:left="0"/>
      </w:pPr>
      <w:r>
        <w:rPr>
          <w:noProof/>
          <w:lang w:eastAsia="es-ES"/>
        </w:rPr>
        <w:drawing>
          <wp:inline distT="0" distB="0" distL="0" distR="0" wp14:anchorId="56281BCC" wp14:editId="5BBF5180">
            <wp:extent cx="4987637" cy="3182587"/>
            <wp:effectExtent l="0" t="0" r="3810" b="18415"/>
            <wp:docPr id="314" name="Gráfico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3C6805" w:rsidRDefault="003C6805" w:rsidP="003C6805">
      <w:pPr>
        <w:pStyle w:val="Prrafodelista"/>
        <w:ind w:left="0"/>
      </w:pPr>
    </w:p>
    <w:p w:rsidR="003C6805" w:rsidRDefault="003C6805" w:rsidP="003C6805">
      <w:r>
        <w:t xml:space="preserve">De las 931 notificaciones, 588 correspondieron a donaciones de sangre total (63,15%), y 343 a procedimientos de aféresis (36,84%), lo que se refleja en el gráfico 3. </w:t>
      </w:r>
      <w:r w:rsidRPr="00F607CE">
        <w:t>Esto implica una tasa de incidente relacio</w:t>
      </w:r>
      <w:r>
        <w:t>nada</w:t>
      </w:r>
      <w:r w:rsidRPr="00F607CE">
        <w:t xml:space="preserve"> co</w:t>
      </w:r>
      <w:r>
        <w:t xml:space="preserve">n la </w:t>
      </w:r>
      <w:r w:rsidRPr="00F607CE">
        <w:t xml:space="preserve">donación de </w:t>
      </w:r>
      <w:r>
        <w:t>6,62</w:t>
      </w:r>
      <w:r w:rsidRPr="00F607CE">
        <w:t xml:space="preserve"> por cada 100 procedimientos de aféresis (el incidente se produce en </w:t>
      </w:r>
      <w:r w:rsidRPr="00F607CE">
        <w:rPr>
          <w:b/>
        </w:rPr>
        <w:t xml:space="preserve">1 de cada </w:t>
      </w:r>
      <w:r>
        <w:rPr>
          <w:b/>
        </w:rPr>
        <w:t>15</w:t>
      </w:r>
      <w:r w:rsidRPr="00F607CE">
        <w:rPr>
          <w:b/>
        </w:rPr>
        <w:t xml:space="preserve"> donantes de aféresis</w:t>
      </w:r>
      <w:r>
        <w:t>) frente a 0,25</w:t>
      </w:r>
      <w:r w:rsidRPr="00F607CE">
        <w:t xml:space="preserve"> por cada 100 donaciones de sangre total (el incidente se produce en </w:t>
      </w:r>
      <w:r w:rsidRPr="00F607CE">
        <w:rPr>
          <w:b/>
        </w:rPr>
        <w:t xml:space="preserve">1 de cada </w:t>
      </w:r>
      <w:r>
        <w:rPr>
          <w:b/>
        </w:rPr>
        <w:t>400</w:t>
      </w:r>
      <w:r w:rsidRPr="00F607CE">
        <w:rPr>
          <w:b/>
        </w:rPr>
        <w:t xml:space="preserve"> donantes de sangre total</w:t>
      </w:r>
      <w:r w:rsidRPr="00F607CE">
        <w:t>).</w:t>
      </w:r>
      <w:r>
        <w:t xml:space="preserve">  En el año 2019 se reportaron mayores cifras de incidentes, en 1 de cada 9 procedimientos de aféresis y en 1 de cada 313 donaciones de sangre total. </w:t>
      </w:r>
    </w:p>
    <w:p w:rsidR="003C6805" w:rsidRDefault="003C6805" w:rsidP="003C6805"/>
    <w:p w:rsidR="003C6805" w:rsidRPr="003C6805" w:rsidRDefault="003C6805" w:rsidP="00260936">
      <w:pPr>
        <w:pStyle w:val="Ttulo3"/>
      </w:pPr>
      <w:r w:rsidRPr="003C6805">
        <w:t xml:space="preserve">Incidentes según el tipo de donante: </w:t>
      </w:r>
    </w:p>
    <w:p w:rsidR="003C6805" w:rsidRDefault="003C6805" w:rsidP="003C6805"/>
    <w:p w:rsidR="003C6805" w:rsidRDefault="003C6805" w:rsidP="003C6805">
      <w:r>
        <w:t xml:space="preserve">En cuanto a los incidentes que se producen en las </w:t>
      </w:r>
      <w:r w:rsidRPr="001D4F17">
        <w:rPr>
          <w:b/>
        </w:rPr>
        <w:t>donaciones de sangre total</w:t>
      </w:r>
      <w:r>
        <w:t xml:space="preserve">, la mayor frecuencia de incidentes se observa en donantes de 1ª vez (255 incidentes, lo que supone el 43.36% de los casos en los que se registró este dato). En el caso de donaciones de aféresis, los incidentes son más frecuentes en donantes habituales (197 incidentes, es decir 57,43% del total). La distribución se muestra en el gráfico 4. </w:t>
      </w:r>
    </w:p>
    <w:p w:rsidR="003C6805" w:rsidRDefault="003C6805" w:rsidP="003C6805"/>
    <w:p w:rsidR="003C6805" w:rsidRDefault="003C6805">
      <w:pPr>
        <w:jc w:val="left"/>
      </w:pPr>
    </w:p>
    <w:p w:rsidR="003C6805" w:rsidRDefault="003C6805" w:rsidP="003C6805">
      <w:pPr>
        <w:rPr>
          <w:noProof/>
          <w:lang w:eastAsia="es-ES"/>
        </w:rPr>
      </w:pPr>
      <w:r>
        <w:lastRenderedPageBreak/>
        <w:t>Gráfico 4. Clasificación de los incidentes por el tipo de donante.</w:t>
      </w:r>
    </w:p>
    <w:p w:rsidR="003C6805" w:rsidRDefault="003C6805" w:rsidP="003C6805">
      <w:pPr>
        <w:pStyle w:val="Prrafodelista"/>
        <w:ind w:left="0"/>
      </w:pPr>
      <w:r>
        <w:rPr>
          <w:noProof/>
          <w:lang w:eastAsia="es-ES"/>
        </w:rPr>
        <w:drawing>
          <wp:inline distT="0" distB="0" distL="0" distR="0" wp14:anchorId="55A68705" wp14:editId="7096BDC1">
            <wp:extent cx="2363189" cy="2066026"/>
            <wp:effectExtent l="0" t="0" r="18415" b="10795"/>
            <wp:docPr id="315" name="Gráfico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260936">
        <w:t xml:space="preserve"> </w:t>
      </w:r>
      <w:r w:rsidRPr="00C05FE8">
        <w:rPr>
          <w:noProof/>
          <w:lang w:eastAsia="es-ES"/>
        </w:rPr>
        <w:drawing>
          <wp:inline distT="0" distB="0" distL="0" distR="0" wp14:anchorId="61FA8761" wp14:editId="63286E3A">
            <wp:extent cx="2458192" cy="2066306"/>
            <wp:effectExtent l="0" t="0" r="18415" b="10160"/>
            <wp:docPr id="316"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3C6805" w:rsidRDefault="003C6805" w:rsidP="003C6805">
      <w:pPr>
        <w:pStyle w:val="Prrafodelista"/>
        <w:ind w:left="0"/>
      </w:pPr>
    </w:p>
    <w:p w:rsidR="003C6805" w:rsidRDefault="003C6805" w:rsidP="003C6805">
      <w:r w:rsidRPr="00374884">
        <w:t xml:space="preserve">En relación con la distribución por sexos, se observa un predominio para las mujeres en </w:t>
      </w:r>
      <w:r>
        <w:t>cuanto a la donación de sangre</w:t>
      </w:r>
      <w:r w:rsidRPr="00374884">
        <w:t xml:space="preserve"> (V/M 0.</w:t>
      </w:r>
      <w:r>
        <w:t>66), mientras que sucede lo contrario en los procedimientos de aféresis (</w:t>
      </w:r>
      <w:r w:rsidRPr="00374884">
        <w:t xml:space="preserve">V/M </w:t>
      </w:r>
      <w:r>
        <w:t>1.18).</w:t>
      </w:r>
    </w:p>
    <w:p w:rsidR="003C6805" w:rsidRDefault="003C6805" w:rsidP="003C6805">
      <w:pPr>
        <w:rPr>
          <w:u w:val="single"/>
        </w:rPr>
      </w:pPr>
    </w:p>
    <w:p w:rsidR="003C6805" w:rsidRPr="00260936" w:rsidRDefault="003C6805" w:rsidP="00260936">
      <w:pPr>
        <w:pStyle w:val="Ttulo3"/>
      </w:pPr>
      <w:r w:rsidRPr="00260936">
        <w:t xml:space="preserve">Incidentes según el lugar de donación: </w:t>
      </w:r>
    </w:p>
    <w:p w:rsidR="003C6805" w:rsidRDefault="003C6805" w:rsidP="003C6805"/>
    <w:p w:rsidR="003C6805" w:rsidRDefault="003C6805" w:rsidP="003C6805">
      <w:r>
        <w:t xml:space="preserve">En cuanto al lugar de donación en el caso de </w:t>
      </w:r>
      <w:r w:rsidRPr="00F72F6A">
        <w:rPr>
          <w:b/>
        </w:rPr>
        <w:t>donaciones de sangre total,</w:t>
      </w:r>
      <w:r>
        <w:t xml:space="preserve"> el mayor número se registra en unidades móviles (50,51%), seguido de Centro de Transfusión y Unidades Hospitalarias en su conjunto (42,34), y por último, locales acondicionados (7,14%). Estos datos se reflejan en el gráfico 5. Todas las donaciones por procedimientos de aféresis se realizan en el Centro de Transfusión o en las Unidades de Donación de Hospitales, y por lo tanto, todos los incidentes se han comunicado desde dichos puntos de donación.</w:t>
      </w:r>
    </w:p>
    <w:p w:rsidR="003C6805" w:rsidRDefault="003C6805" w:rsidP="003C6805"/>
    <w:p w:rsidR="00260936" w:rsidRDefault="00260936">
      <w:pPr>
        <w:jc w:val="left"/>
      </w:pPr>
      <w:r>
        <w:br w:type="page"/>
      </w:r>
    </w:p>
    <w:p w:rsidR="003C6805" w:rsidRDefault="003C6805" w:rsidP="003C6805">
      <w:r>
        <w:lastRenderedPageBreak/>
        <w:t xml:space="preserve">Gráfico 5. Distribución de incidentes por el lugar de donación. </w:t>
      </w:r>
    </w:p>
    <w:p w:rsidR="003C6805" w:rsidRDefault="003C6805" w:rsidP="003C6805">
      <w:pPr>
        <w:pStyle w:val="Prrafodelista"/>
        <w:ind w:left="0"/>
      </w:pPr>
      <w:r>
        <w:rPr>
          <w:noProof/>
          <w:lang w:eastAsia="es-ES"/>
        </w:rPr>
        <w:drawing>
          <wp:inline distT="0" distB="0" distL="0" distR="0" wp14:anchorId="211986AE" wp14:editId="6B50925B">
            <wp:extent cx="5035137" cy="2695699"/>
            <wp:effectExtent l="0" t="0" r="13335" b="9525"/>
            <wp:docPr id="317" name="Gráfico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3C6805" w:rsidRDefault="003C6805" w:rsidP="003C6805"/>
    <w:p w:rsidR="00D40A75" w:rsidRDefault="00D40A75" w:rsidP="003C6805">
      <w:pPr>
        <w:rPr>
          <w:b/>
        </w:rPr>
      </w:pPr>
    </w:p>
    <w:p w:rsidR="003C6805" w:rsidRPr="003C6805" w:rsidRDefault="003C6805" w:rsidP="00260936">
      <w:pPr>
        <w:pStyle w:val="Ttulo3"/>
      </w:pPr>
      <w:r w:rsidRPr="003C6805">
        <w:t xml:space="preserve">Tipos de incidentes: </w:t>
      </w:r>
    </w:p>
    <w:p w:rsidR="003C6805" w:rsidRPr="003C6805" w:rsidRDefault="003C6805" w:rsidP="003C6805"/>
    <w:p w:rsidR="003C6805" w:rsidRPr="003C6805" w:rsidRDefault="003C6805" w:rsidP="003C6805">
      <w:r w:rsidRPr="003C6805">
        <w:t xml:space="preserve">Si tenemos en cuenta el tipo de incidente, en el caso de las </w:t>
      </w:r>
      <w:r w:rsidRPr="003C6805">
        <w:rPr>
          <w:b/>
        </w:rPr>
        <w:t>donaciones de sangre total</w:t>
      </w:r>
      <w:r w:rsidRPr="003C6805">
        <w:t xml:space="preserve">, el incidente más frecuente es la </w:t>
      </w:r>
      <w:r w:rsidRPr="003C6805">
        <w:rPr>
          <w:i/>
        </w:rPr>
        <w:t>reacción vaso-vagal inmediata</w:t>
      </w:r>
      <w:r w:rsidRPr="003C6805">
        <w:t xml:space="preserve"> (540 incidentes, lo que supone 91,83% del total de incidentes relacionados). En el caso de las reacciones vaso-vagales inmediatas se produjo pérdida de conciencia en 161 casos (29,81%), y en un caso se produjo daño. </w:t>
      </w:r>
    </w:p>
    <w:p w:rsidR="003C6805" w:rsidRPr="003C6805" w:rsidRDefault="003C6805" w:rsidP="003C6805">
      <w:r w:rsidRPr="003C6805">
        <w:t>En las reacciones vaso-vagales retardadas (14 incidentes, lo que supone el 2,38 %), se produjo pérdida de conciencia en 6 casos (42,85%).</w:t>
      </w:r>
    </w:p>
    <w:p w:rsidR="003C6805" w:rsidRPr="003C6805" w:rsidRDefault="003C6805" w:rsidP="003C6805">
      <w:r w:rsidRPr="003C6805">
        <w:t xml:space="preserve"> Dentro de las reacciones vasovagales inmediatas se produjeron 70 casos con náuseas/vómitos, 11 casos de movimientos clónicos y 11 casos de tetania.  En cuanto a las retardadas, un incidente se acompañó de tetania. </w:t>
      </w:r>
    </w:p>
    <w:p w:rsidR="003C6805" w:rsidRPr="003C6805" w:rsidRDefault="003C6805" w:rsidP="003C6805">
      <w:r w:rsidRPr="003C6805">
        <w:t xml:space="preserve">Otras reacciones adversas menos frecuentes fueron: problemas de acceso venoso (15 incidentes, 2,55%), hematomas (13 incidentes, 2,21%), punción arterial (3 incidentes, 0,51%), sangrado retardado (2 casos, 0,34%) y un alta voluntaria (0,17%). </w:t>
      </w:r>
    </w:p>
    <w:p w:rsidR="003C6805" w:rsidRPr="003C6805" w:rsidRDefault="003C6805" w:rsidP="003C6805"/>
    <w:p w:rsidR="003C6805" w:rsidRPr="003C6805" w:rsidRDefault="003C6805" w:rsidP="003C6805">
      <w:r w:rsidRPr="003C6805">
        <w:t xml:space="preserve">En el caso de </w:t>
      </w:r>
      <w:r w:rsidRPr="003C6805">
        <w:rPr>
          <w:b/>
        </w:rPr>
        <w:t>donaciones de aféresis</w:t>
      </w:r>
      <w:r w:rsidRPr="003C6805">
        <w:t xml:space="preserve">, el incidente más frecuente fue la </w:t>
      </w:r>
      <w:r w:rsidRPr="003C6805">
        <w:rPr>
          <w:i/>
        </w:rPr>
        <w:t>reacción al citrato</w:t>
      </w:r>
      <w:r w:rsidRPr="003C6805">
        <w:t xml:space="preserve"> (226 casos, lo que supone el 65,88%). Dentro de estas reacciones, en la mayoría de los casos en que fue registrada la sintomatología, presentaron: parestesias periorales (123 casos, 54,42%), generalizadas (71 casos, 31,41%), distales (12 casos, 5,30%), y cuadros de disgeusia (9 casos, 3,98%) </w:t>
      </w:r>
    </w:p>
    <w:p w:rsidR="003C6805" w:rsidRPr="003C6805" w:rsidRDefault="003C6805" w:rsidP="003C6805">
      <w:r w:rsidRPr="003C6805">
        <w:lastRenderedPageBreak/>
        <w:t xml:space="preserve">También se registraron reacciones vasovagales (35 casos, lo que supone el 10,20%) siendo la mayoría inmediatas (34 casos), acompañándose de 4 casos con pérdida de conciencia. </w:t>
      </w:r>
    </w:p>
    <w:p w:rsidR="003C6805" w:rsidRPr="003C6805" w:rsidRDefault="003C6805" w:rsidP="003C6805">
      <w:r w:rsidRPr="003C6805">
        <w:t xml:space="preserve">Otras reacciones relacionadas con la aféresis son: hematomas (43 casos, lo que supone el 12,53%), problemas de acceso venoso (25 casos, lo que supone el 7,28%), mal funcionamiento de la máquina (8 casos, 2,33%), defectos en el equipo (4 casos, 1,16%), palpitaciones (1 caso, 0,29%) y sangrado retardado (1 caso, 0,29%) </w:t>
      </w:r>
    </w:p>
    <w:p w:rsidR="003C6805" w:rsidRPr="003C6805" w:rsidRDefault="003C6805" w:rsidP="003C6805">
      <w:r w:rsidRPr="003C6805">
        <w:t xml:space="preserve">Estos datos quedan reflejados en el gráfico 6. </w:t>
      </w:r>
    </w:p>
    <w:p w:rsidR="003C6805" w:rsidRPr="003C6805" w:rsidRDefault="003C6805" w:rsidP="003C6805"/>
    <w:p w:rsidR="003C6805" w:rsidRPr="003C6805" w:rsidRDefault="003C6805" w:rsidP="003C6805">
      <w:r w:rsidRPr="003C6805">
        <w:t>Gráfico 6. Tipos de incidente.</w:t>
      </w:r>
    </w:p>
    <w:p w:rsidR="003C6805" w:rsidRPr="003C6805" w:rsidRDefault="003C6805" w:rsidP="003C6805">
      <w:r w:rsidRPr="003C6805">
        <w:drawing>
          <wp:inline distT="0" distB="0" distL="0" distR="0" wp14:anchorId="2E29F314" wp14:editId="1A5F05CF">
            <wp:extent cx="2493818" cy="2137287"/>
            <wp:effectExtent l="0" t="0" r="1905" b="15875"/>
            <wp:docPr id="195"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D40A75">
        <w:t xml:space="preserve">  </w:t>
      </w:r>
      <w:r w:rsidRPr="003C6805">
        <w:drawing>
          <wp:inline distT="0" distB="0" distL="0" distR="0" wp14:anchorId="4A6E8AE0" wp14:editId="0DD28174">
            <wp:extent cx="2398815" cy="2125527"/>
            <wp:effectExtent l="0" t="0" r="1905" b="8255"/>
            <wp:docPr id="197"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3C6805" w:rsidRPr="003C6805" w:rsidRDefault="003C6805" w:rsidP="003C6805"/>
    <w:p w:rsidR="00D40A75" w:rsidRDefault="00D40A75">
      <w:pPr>
        <w:jc w:val="left"/>
      </w:pPr>
    </w:p>
    <w:p w:rsidR="003C6805" w:rsidRPr="003C6805" w:rsidRDefault="003C6805" w:rsidP="003C6805">
      <w:r w:rsidRPr="003C6805">
        <w:t>Hay que destacar la amplia mayoría de los incidentes relacionados con la donación, tanto de sangre total como de aféresis fueron leves. En el caso de donaciones de sangre total se produjeron 10 incidentes moderados, 1,70% del total, siendo todos ellos reacciones vaso-vagales de gravedad 2 (9 con pérdida de conciencia y 1 sin pérdida de conciencia). También se produjeron 2 incidentes graves (1 hematoma con lesión neurológica y 1 punción arterial con fístula arteriovenosa, ambas con gravedad 3). En el caso de la donación por aféresis se produjeron 5 incidentes moderados, 1,45% del total, todos ellos de gravedad 2 (2 RVV sin pérdida de conciencia, 2 hematomas y una reacción al citrato con parestesias periorales que recibió calcio oral).</w:t>
      </w:r>
    </w:p>
    <w:p w:rsidR="003C6805" w:rsidRPr="003C6805" w:rsidRDefault="003C6805" w:rsidP="003C6805"/>
    <w:p w:rsidR="00260936" w:rsidRDefault="00260936">
      <w:pPr>
        <w:jc w:val="left"/>
      </w:pPr>
      <w:r>
        <w:br w:type="page"/>
      </w:r>
    </w:p>
    <w:p w:rsidR="003C6805" w:rsidRPr="003C6805" w:rsidRDefault="003C6805" w:rsidP="003C6805">
      <w:r w:rsidRPr="003C6805">
        <w:lastRenderedPageBreak/>
        <w:t>Gráfico 7. Gravedad de los incidentes.</w:t>
      </w:r>
    </w:p>
    <w:p w:rsidR="003C6805" w:rsidRPr="003C6805" w:rsidRDefault="003C6805" w:rsidP="003C6805">
      <w:r w:rsidRPr="003C6805">
        <w:drawing>
          <wp:inline distT="0" distB="0" distL="0" distR="0" wp14:anchorId="5FBCFCF4" wp14:editId="70411738">
            <wp:extent cx="2410691" cy="2160196"/>
            <wp:effectExtent l="0" t="0" r="8890" b="12065"/>
            <wp:docPr id="198"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D40A75">
        <w:t xml:space="preserve">  </w:t>
      </w:r>
      <w:r w:rsidRPr="003C6805">
        <w:drawing>
          <wp:inline distT="0" distB="0" distL="0" distR="0" wp14:anchorId="0C24C5D8" wp14:editId="79C6A4BD">
            <wp:extent cx="2470068" cy="2172071"/>
            <wp:effectExtent l="0" t="0" r="6985" b="0"/>
            <wp:docPr id="200"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6738D9" w:rsidRPr="00A71B61" w:rsidRDefault="006738D9" w:rsidP="006738D9">
      <w:pPr>
        <w:rPr>
          <w:szCs w:val="20"/>
          <w:lang w:val="x-none" w:eastAsia="x-none"/>
        </w:rPr>
      </w:pPr>
    </w:p>
    <w:p w:rsidR="00D40A75" w:rsidRDefault="00D40A75">
      <w:pPr>
        <w:jc w:val="left"/>
        <w:rPr>
          <w:rFonts w:ascii="Montserrat SemiBold" w:eastAsia="Times New Roman" w:hAnsi="Montserrat SemiBold" w:cs="Times New Roman"/>
          <w:b/>
          <w:bCs/>
          <w:color w:val="0099CC"/>
          <w:szCs w:val="26"/>
          <w:lang w:val="x-none" w:eastAsia="x-none"/>
        </w:rPr>
      </w:pPr>
    </w:p>
    <w:p w:rsidR="006738D9" w:rsidRPr="003D5581" w:rsidRDefault="0026356C" w:rsidP="003D5581">
      <w:pPr>
        <w:pStyle w:val="Ttulo2"/>
      </w:pPr>
      <w:bookmarkStart w:id="79" w:name="_Toc90584898"/>
      <w:r w:rsidRPr="003D5581">
        <w:t>Seroconversiones objetivadas en donantes</w:t>
      </w:r>
      <w:bookmarkEnd w:id="79"/>
      <w:r w:rsidRPr="003D5581">
        <w:t xml:space="preserve"> </w:t>
      </w:r>
    </w:p>
    <w:p w:rsidR="006738D9" w:rsidRDefault="006738D9" w:rsidP="006738D9">
      <w:pPr>
        <w:rPr>
          <w:szCs w:val="20"/>
          <w:lang w:val="x-none" w:eastAsia="x-none"/>
        </w:rPr>
      </w:pPr>
    </w:p>
    <w:p w:rsidR="00D40A75" w:rsidRPr="00D40A75" w:rsidRDefault="00D40A75" w:rsidP="00D40A75">
      <w:r w:rsidRPr="00D40A75">
        <w:t xml:space="preserve">Durante el año 2020 se han producido un total de </w:t>
      </w:r>
      <w:r w:rsidRPr="00D40A75">
        <w:rPr>
          <w:b/>
        </w:rPr>
        <w:t>71 seroconversiones en donantes</w:t>
      </w:r>
      <w:r w:rsidRPr="00D40A75">
        <w:t xml:space="preserve"> que tenían donaciones previas que habían llegado a ser transfundidas, evidenciadas en la serología pretransfusional que se realiza en las donaciones, y cuya distribución se muestra en el gráfico 7. </w:t>
      </w:r>
    </w:p>
    <w:p w:rsidR="00D40A75" w:rsidRPr="00D40A75" w:rsidRDefault="00D40A75" w:rsidP="00D40A75"/>
    <w:p w:rsidR="00D40A75" w:rsidRPr="00D40A75" w:rsidRDefault="00D40A75" w:rsidP="00D40A75">
      <w:r w:rsidRPr="00D40A75">
        <w:t>Gráfico 7. Seroconversiones evidenciadas en donantes con donaciones previas.</w:t>
      </w:r>
    </w:p>
    <w:p w:rsidR="00D40A75" w:rsidRPr="00D40A75" w:rsidRDefault="00D40A75" w:rsidP="00D40A75">
      <w:pPr>
        <w:rPr>
          <w:szCs w:val="20"/>
          <w:lang w:eastAsia="x-none"/>
        </w:rPr>
      </w:pPr>
      <w:r w:rsidRPr="00D40A75">
        <w:rPr>
          <w:szCs w:val="20"/>
          <w:lang w:eastAsia="x-none"/>
        </w:rPr>
        <w:drawing>
          <wp:inline distT="0" distB="0" distL="0" distR="0" wp14:anchorId="66B7081D" wp14:editId="16BF2F0F">
            <wp:extent cx="5058888" cy="2778826"/>
            <wp:effectExtent l="0" t="0" r="8890" b="2540"/>
            <wp:docPr id="211" name="Gráfico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D40A75" w:rsidRPr="00D40A75" w:rsidRDefault="00D40A75" w:rsidP="00D40A75">
      <w:pPr>
        <w:rPr>
          <w:szCs w:val="20"/>
          <w:lang w:eastAsia="x-none"/>
        </w:rPr>
      </w:pPr>
    </w:p>
    <w:p w:rsidR="00D40A75" w:rsidRPr="00D40A75" w:rsidRDefault="00D40A75" w:rsidP="00D40A75">
      <w:r w:rsidRPr="00D40A75">
        <w:t xml:space="preserve">La seroconversión en un donante provoca la creación de una alerta dirigida a cada uno de los centros receptores de los componentes sanguíneos de la </w:t>
      </w:r>
      <w:r w:rsidRPr="00D40A75">
        <w:lastRenderedPageBreak/>
        <w:t xml:space="preserve">donación previa, en el caso de infección por VHB, C y VIH (al entenderse que el donante podría estar en periodo de ventana en la última donación; de las anteriores, es la siguiente serología la que sirve como control, en cada una de ellas), y la de todas las donaciones previas hasta la última serología negativa en el caso de malaria, tripanosomiasis y HTLV, por realizarse esta prueba sólo en población seleccionada. En el caso de infección por sífilis, la alerta solo va dirigida a los centros receptores de las plaquetas de la donación previa.  </w:t>
      </w:r>
    </w:p>
    <w:p w:rsidR="00D40A75" w:rsidRPr="00D40A75" w:rsidRDefault="00D40A75" w:rsidP="00D40A75">
      <w:r w:rsidRPr="00D40A75">
        <w:t>El centro receptor debería bloquear el componente sanguíneo si todavía no se hubiese transfundido, o hacer estudio analítico del receptor, si se hubiera transfundido ya. En el caso de que el receptor hubiera fallecido, se comunica esta incidencia. El caso se cierra cuando todas las alertas han sido respondidas de una forma u otra.</w:t>
      </w:r>
    </w:p>
    <w:p w:rsidR="00D40A75" w:rsidRPr="00D40A75" w:rsidRDefault="00D40A75" w:rsidP="00D40A75">
      <w:pPr>
        <w:rPr>
          <w:szCs w:val="20"/>
          <w:lang w:eastAsia="x-none"/>
        </w:rPr>
      </w:pPr>
    </w:p>
    <w:p w:rsidR="00D40A75" w:rsidRPr="00D40A75" w:rsidRDefault="00D40A75" w:rsidP="00D40A75">
      <w:pPr>
        <w:rPr>
          <w:i/>
        </w:rPr>
      </w:pPr>
      <w:r w:rsidRPr="00D40A75">
        <w:t xml:space="preserve">En el caso de la </w:t>
      </w:r>
      <w:r w:rsidRPr="00D40A75">
        <w:rPr>
          <w:b/>
        </w:rPr>
        <w:t>seroconversión para el VHB</w:t>
      </w:r>
      <w:r w:rsidRPr="00D40A75">
        <w:t xml:space="preserve"> se ha producido en 11 donantes, de los que 8 son varones y 3 son mujeres, y en los que 8 son procedentes de España y en 3 no consta el origen</w:t>
      </w:r>
      <w:r w:rsidRPr="00D40A75">
        <w:rPr>
          <w:i/>
        </w:rPr>
        <w:t xml:space="preserve">. </w:t>
      </w:r>
      <w:r w:rsidRPr="00D40A75">
        <w:t>La media de edad es de 53,72 años (rango de 31 a 64 años). Tienen una media de 9,36 donaciones previas, y la última se ha realizado 41,09 meses antes (rango de 3 a 149 meses).</w:t>
      </w:r>
      <w:r w:rsidRPr="00D40A75">
        <w:rPr>
          <w:i/>
        </w:rPr>
        <w:t xml:space="preserve"> </w:t>
      </w:r>
    </w:p>
    <w:p w:rsidR="00D40A75" w:rsidRPr="00D40A75" w:rsidRDefault="00D40A75" w:rsidP="00D40A75"/>
    <w:p w:rsidR="00D40A75" w:rsidRPr="00D40A75" w:rsidRDefault="00D40A75" w:rsidP="00D40A75">
      <w:pPr>
        <w:rPr>
          <w:i/>
        </w:rPr>
      </w:pPr>
      <w:r w:rsidRPr="00D40A75">
        <w:t xml:space="preserve">La </w:t>
      </w:r>
      <w:r w:rsidRPr="00D40A75">
        <w:rPr>
          <w:b/>
        </w:rPr>
        <w:t>seroconversión para VIH</w:t>
      </w:r>
      <w:r w:rsidRPr="00D40A75">
        <w:t xml:space="preserve"> se ha producido en 7 donantes, de los que 4 son varones y 3 son mujeres; son procedentes de Ecuador, Colombia, Brasil, República Dominicana, Portugal y España. La edad media es de 34.85 años (rango de 25 a 42 años). Tienen una media de 5,28 donaciones previas, y la última se ha realizado 16,4 meses antes (rango de 8 a 35 meses antes)</w:t>
      </w:r>
    </w:p>
    <w:p w:rsidR="00D40A75" w:rsidRPr="00D40A75" w:rsidRDefault="00D40A75" w:rsidP="00D40A75"/>
    <w:p w:rsidR="00D40A75" w:rsidRPr="00D40A75" w:rsidRDefault="00D40A75" w:rsidP="00D40A75">
      <w:r w:rsidRPr="00D40A75">
        <w:t xml:space="preserve">La </w:t>
      </w:r>
      <w:r w:rsidRPr="00D40A75">
        <w:rPr>
          <w:b/>
        </w:rPr>
        <w:t>seroconversión para VHC</w:t>
      </w:r>
      <w:r w:rsidRPr="00D40A75">
        <w:t xml:space="preserve"> ha afectado a 3 donantes, 2 mujeres y 1 hombre, con una media de edad de 40,60 años (rango 21 a 62 años), procedentes de Rumanía y España. Tienen una media de 5,66 donaciones previas (rango 1 a 9), y la última donación se realizó 19,3 meses antes (rango de 11 a 24 meses antes).</w:t>
      </w:r>
    </w:p>
    <w:p w:rsidR="00D40A75" w:rsidRPr="00D40A75" w:rsidRDefault="00D40A75" w:rsidP="00D40A75">
      <w:pPr>
        <w:rPr>
          <w:i/>
        </w:rPr>
      </w:pPr>
    </w:p>
    <w:p w:rsidR="00D40A75" w:rsidRPr="00D40A75" w:rsidRDefault="00D40A75" w:rsidP="00D40A75">
      <w:r w:rsidRPr="00D40A75">
        <w:t xml:space="preserve">La positividad para el </w:t>
      </w:r>
      <w:r w:rsidRPr="00D40A75">
        <w:rPr>
          <w:b/>
        </w:rPr>
        <w:t>test de malaria</w:t>
      </w:r>
      <w:r w:rsidRPr="00D40A75">
        <w:t xml:space="preserve"> y su confirmación se ha producido en 5 donantes</w:t>
      </w:r>
      <w:r w:rsidRPr="00D40A75">
        <w:rPr>
          <w:i/>
        </w:rPr>
        <w:t xml:space="preserve">, </w:t>
      </w:r>
      <w:r w:rsidRPr="00D40A75">
        <w:t>todos ellos varones, con una media de edad de 43,20 años (rango 35 a 57 años), procedentes de España, Ecuador, República de Guinea y Guinea Ecuatorial. Tienen una media de 10,2 donaciones previas y la donación previa se había producido 33,6 meses antes (rango de 2 a 89 meses antes).</w:t>
      </w:r>
    </w:p>
    <w:p w:rsidR="00D40A75" w:rsidRPr="00D40A75" w:rsidRDefault="00D40A75" w:rsidP="00D40A75">
      <w:r w:rsidRPr="00D40A75">
        <w:t>El test de tripanosomiasis americana no ha resultado positivo en ningún caso.</w:t>
      </w:r>
    </w:p>
    <w:p w:rsidR="00D40A75" w:rsidRPr="00D40A75" w:rsidRDefault="00D40A75" w:rsidP="00D40A75">
      <w:r w:rsidRPr="00D40A75">
        <w:t xml:space="preserve">Por otra parte, se han registrado 45 casos de </w:t>
      </w:r>
      <w:r w:rsidRPr="00D40A75">
        <w:rPr>
          <w:b/>
        </w:rPr>
        <w:t>sífilis</w:t>
      </w:r>
      <w:r w:rsidRPr="00D40A75">
        <w:t xml:space="preserve"> positivos por TP-PA en donantes repetidores. Se trata de 43 son varones y 2 son mujeres, con una media de edad de 38,93 años. La mayoría de ellos procedentes de España (32 casos), seguidos de Venezuela, Colombia y Brasil (2 casos cada uno); y Perú, Honduras, </w:t>
      </w:r>
      <w:r w:rsidRPr="00D40A75">
        <w:lastRenderedPageBreak/>
        <w:t xml:space="preserve">Ecuador y Rumania (1 caso cada uno). En 3 casos desconocemos el país de procedencia. </w:t>
      </w:r>
    </w:p>
    <w:p w:rsidR="00D40A75" w:rsidRPr="00D40A75" w:rsidRDefault="00D40A75" w:rsidP="00D40A75">
      <w:r w:rsidRPr="00D40A75">
        <w:t>El gráfico 8 muestra la procedencia de los donantes que han presentado seroconversiones.</w:t>
      </w:r>
    </w:p>
    <w:p w:rsidR="00D40A75" w:rsidRPr="00D40A75" w:rsidRDefault="00D40A75" w:rsidP="00D40A75">
      <w:pPr>
        <w:rPr>
          <w:szCs w:val="20"/>
          <w:lang w:eastAsia="x-none"/>
        </w:rPr>
      </w:pPr>
    </w:p>
    <w:p w:rsidR="00D40A75" w:rsidRPr="00D40A75" w:rsidRDefault="00D40A75" w:rsidP="00D40A75">
      <w:pPr>
        <w:rPr>
          <w:szCs w:val="20"/>
          <w:lang w:eastAsia="x-none"/>
        </w:rPr>
      </w:pPr>
      <w:r w:rsidRPr="00D40A75">
        <w:rPr>
          <w:szCs w:val="20"/>
          <w:lang w:eastAsia="x-none"/>
        </w:rPr>
        <w:t>Gráfico 8. País de origen de donantes que presentan seroconversión.</w:t>
      </w:r>
    </w:p>
    <w:p w:rsidR="00D40A75" w:rsidRPr="00D40A75" w:rsidRDefault="00D40A75" w:rsidP="00D40A75">
      <w:pPr>
        <w:rPr>
          <w:szCs w:val="20"/>
          <w:lang w:eastAsia="x-none"/>
        </w:rPr>
      </w:pPr>
      <w:r w:rsidRPr="00D40A75">
        <w:rPr>
          <w:szCs w:val="20"/>
          <w:lang w:eastAsia="x-none"/>
        </w:rPr>
        <w:drawing>
          <wp:inline distT="0" distB="0" distL="0" distR="0" wp14:anchorId="3F7D02DA" wp14:editId="39E34C13">
            <wp:extent cx="2553194" cy="1816546"/>
            <wp:effectExtent l="0" t="0" r="0" b="12700"/>
            <wp:docPr id="212" name="Gráfico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Pr>
          <w:szCs w:val="20"/>
          <w:lang w:eastAsia="x-none"/>
        </w:rPr>
        <w:t xml:space="preserve">  </w:t>
      </w:r>
      <w:r w:rsidRPr="00D40A75">
        <w:rPr>
          <w:szCs w:val="20"/>
          <w:lang w:eastAsia="x-none"/>
        </w:rPr>
        <w:drawing>
          <wp:inline distT="0" distB="0" distL="0" distR="0" wp14:anchorId="5FEA3770" wp14:editId="375DA8EB">
            <wp:extent cx="2280063" cy="1816850"/>
            <wp:effectExtent l="0" t="0" r="6350" b="12065"/>
            <wp:docPr id="2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D40A75" w:rsidRDefault="00D40A75" w:rsidP="006738D9">
      <w:pPr>
        <w:rPr>
          <w:szCs w:val="20"/>
          <w:lang w:val="x-none" w:eastAsia="x-none"/>
        </w:rPr>
      </w:pPr>
    </w:p>
    <w:p w:rsidR="00D40A75" w:rsidRPr="00D40A75" w:rsidRDefault="00D40A75" w:rsidP="00D40A75">
      <w:pPr>
        <w:rPr>
          <w:szCs w:val="20"/>
          <w:lang w:eastAsia="x-none"/>
        </w:rPr>
      </w:pPr>
      <w:r w:rsidRPr="00D40A75">
        <w:rPr>
          <w:szCs w:val="20"/>
          <w:lang w:eastAsia="x-none"/>
        </w:rPr>
        <w:drawing>
          <wp:inline distT="0" distB="0" distL="0" distR="0" wp14:anchorId="1E636495" wp14:editId="6616693D">
            <wp:extent cx="2565070" cy="1959429"/>
            <wp:effectExtent l="0" t="0" r="6985" b="3175"/>
            <wp:docPr id="220"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Pr>
          <w:szCs w:val="20"/>
          <w:lang w:eastAsia="x-none"/>
        </w:rPr>
        <w:t xml:space="preserve"> </w:t>
      </w:r>
      <w:r w:rsidRPr="00D40A75">
        <w:rPr>
          <w:szCs w:val="20"/>
          <w:lang w:eastAsia="x-none"/>
        </w:rPr>
        <w:drawing>
          <wp:inline distT="0" distB="0" distL="0" distR="0" wp14:anchorId="04D04372" wp14:editId="44B830AC">
            <wp:extent cx="2244436" cy="1935991"/>
            <wp:effectExtent l="0" t="0" r="3810" b="7620"/>
            <wp:docPr id="221"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Pr>
          <w:szCs w:val="20"/>
          <w:lang w:eastAsia="x-none"/>
        </w:rPr>
        <w:t xml:space="preserve"> </w:t>
      </w:r>
    </w:p>
    <w:p w:rsidR="00D40A75" w:rsidRPr="00D40A75" w:rsidRDefault="00D40A75" w:rsidP="00D40A75">
      <w:pPr>
        <w:rPr>
          <w:szCs w:val="20"/>
          <w:lang w:eastAsia="x-none"/>
        </w:rPr>
      </w:pPr>
      <w:r w:rsidRPr="00D40A75">
        <w:rPr>
          <w:szCs w:val="20"/>
          <w:lang w:eastAsia="x-none"/>
        </w:rPr>
        <w:drawing>
          <wp:inline distT="0" distB="0" distL="0" distR="0" wp14:anchorId="69302287" wp14:editId="76A99265">
            <wp:extent cx="4821381" cy="2557772"/>
            <wp:effectExtent l="0" t="0" r="17780" b="14605"/>
            <wp:docPr id="222"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D40A75" w:rsidRPr="00D40A75" w:rsidRDefault="00D40A75" w:rsidP="00D40A75">
      <w:pPr>
        <w:rPr>
          <w:szCs w:val="20"/>
          <w:lang w:eastAsia="x-none"/>
        </w:rPr>
      </w:pPr>
    </w:p>
    <w:p w:rsidR="00D40A75" w:rsidRPr="00D40A75" w:rsidRDefault="00D40A75" w:rsidP="00D40A75">
      <w:r w:rsidRPr="00D40A75">
        <w:lastRenderedPageBreak/>
        <w:t xml:space="preserve">Los 71 casos de seroconversión han generado 194 alertas, de las que hemos recibido respuesta en 127 (65,46%) a fecha de 1 de octubre del 2021, lo que ha permitido cerrar el 36,61% de los casos (26 casos, 3 VIH, 4 VHB, 2 VHC, 1 de paludismo y 16 casos de sífilis), como se muestra en la Tabla 1.  </w:t>
      </w:r>
    </w:p>
    <w:p w:rsidR="00D40A75" w:rsidRPr="00D40A75" w:rsidRDefault="00D40A75" w:rsidP="00D40A75">
      <w:pPr>
        <w:rPr>
          <w:szCs w:val="20"/>
          <w:lang w:eastAsia="x-none"/>
        </w:rPr>
      </w:pPr>
    </w:p>
    <w:p w:rsidR="00D40A75" w:rsidRPr="00D40A75" w:rsidRDefault="00D40A75" w:rsidP="00D40A75">
      <w:r w:rsidRPr="00D40A75">
        <w:t>Tabla 1.</w:t>
      </w:r>
    </w:p>
    <w:tbl>
      <w:tblPr>
        <w:tblStyle w:val="Tabladecuadrcula5oscura-nfasis1"/>
        <w:tblpPr w:leftFromText="141" w:rightFromText="141" w:vertAnchor="text" w:horzAnchor="margin" w:tblpY="18"/>
        <w:tblW w:w="7983" w:type="dxa"/>
        <w:tblLook w:val="06A0" w:firstRow="1" w:lastRow="0" w:firstColumn="1" w:lastColumn="0" w:noHBand="1" w:noVBand="1"/>
      </w:tblPr>
      <w:tblGrid>
        <w:gridCol w:w="2518"/>
        <w:gridCol w:w="2564"/>
        <w:gridCol w:w="2901"/>
      </w:tblGrid>
      <w:tr w:rsidR="00D40A75" w:rsidRPr="00D40A75" w:rsidTr="005B4780">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2518" w:type="dxa"/>
          </w:tcPr>
          <w:p w:rsidR="00D40A75" w:rsidRPr="00D40A75" w:rsidRDefault="00D40A75" w:rsidP="00D40A75">
            <w:pPr>
              <w:spacing w:after="160" w:line="259" w:lineRule="auto"/>
              <w:rPr>
                <w:szCs w:val="20"/>
                <w:lang w:eastAsia="x-none"/>
              </w:rPr>
            </w:pPr>
            <w:r w:rsidRPr="00D40A75">
              <w:rPr>
                <w:szCs w:val="20"/>
                <w:lang w:eastAsia="x-none"/>
              </w:rPr>
              <w:t>Seroconversión</w:t>
            </w:r>
          </w:p>
        </w:tc>
        <w:tc>
          <w:tcPr>
            <w:tcW w:w="2564" w:type="dxa"/>
          </w:tcPr>
          <w:p w:rsidR="00D40A75" w:rsidRPr="00D40A75" w:rsidRDefault="00D40A75" w:rsidP="00D40A75">
            <w:pPr>
              <w:spacing w:after="160" w:line="259" w:lineRule="auto"/>
              <w:cnfStyle w:val="100000000000" w:firstRow="1"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Casos cerrados</w:t>
            </w:r>
          </w:p>
        </w:tc>
        <w:tc>
          <w:tcPr>
            <w:tcW w:w="2901" w:type="dxa"/>
          </w:tcPr>
          <w:p w:rsidR="00D40A75" w:rsidRPr="00D40A75" w:rsidRDefault="00D40A75" w:rsidP="00D40A75">
            <w:pPr>
              <w:spacing w:after="160" w:line="259" w:lineRule="auto"/>
              <w:cnfStyle w:val="100000000000" w:firstRow="1"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Casos registrados</w:t>
            </w:r>
          </w:p>
        </w:tc>
      </w:tr>
      <w:tr w:rsidR="00D40A75" w:rsidRPr="00D40A75" w:rsidTr="005B4780">
        <w:trPr>
          <w:trHeight w:val="455"/>
        </w:trPr>
        <w:tc>
          <w:tcPr>
            <w:cnfStyle w:val="001000000000" w:firstRow="0" w:lastRow="0" w:firstColumn="1" w:lastColumn="0" w:oddVBand="0" w:evenVBand="0" w:oddHBand="0" w:evenHBand="0" w:firstRowFirstColumn="0" w:firstRowLastColumn="0" w:lastRowFirstColumn="0" w:lastRowLastColumn="0"/>
            <w:tcW w:w="2518" w:type="dxa"/>
          </w:tcPr>
          <w:p w:rsidR="00D40A75" w:rsidRPr="00D40A75" w:rsidRDefault="00D40A75" w:rsidP="00D40A75">
            <w:pPr>
              <w:spacing w:after="160" w:line="259" w:lineRule="auto"/>
              <w:rPr>
                <w:szCs w:val="20"/>
                <w:lang w:eastAsia="x-none"/>
              </w:rPr>
            </w:pPr>
            <w:r w:rsidRPr="00D40A75">
              <w:rPr>
                <w:szCs w:val="20"/>
                <w:lang w:eastAsia="x-none"/>
              </w:rPr>
              <w:t>VIH</w:t>
            </w:r>
          </w:p>
        </w:tc>
        <w:tc>
          <w:tcPr>
            <w:tcW w:w="2564"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3</w:t>
            </w:r>
          </w:p>
        </w:tc>
        <w:tc>
          <w:tcPr>
            <w:tcW w:w="2901"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7</w:t>
            </w:r>
          </w:p>
        </w:tc>
      </w:tr>
      <w:tr w:rsidR="00D40A75" w:rsidRPr="00D40A75" w:rsidTr="005B4780">
        <w:trPr>
          <w:trHeight w:val="455"/>
        </w:trPr>
        <w:tc>
          <w:tcPr>
            <w:cnfStyle w:val="001000000000" w:firstRow="0" w:lastRow="0" w:firstColumn="1" w:lastColumn="0" w:oddVBand="0" w:evenVBand="0" w:oddHBand="0" w:evenHBand="0" w:firstRowFirstColumn="0" w:firstRowLastColumn="0" w:lastRowFirstColumn="0" w:lastRowLastColumn="0"/>
            <w:tcW w:w="2518" w:type="dxa"/>
          </w:tcPr>
          <w:p w:rsidR="00D40A75" w:rsidRPr="00D40A75" w:rsidRDefault="00D40A75" w:rsidP="00D40A75">
            <w:pPr>
              <w:spacing w:after="160" w:line="259" w:lineRule="auto"/>
              <w:rPr>
                <w:szCs w:val="20"/>
                <w:lang w:eastAsia="x-none"/>
              </w:rPr>
            </w:pPr>
            <w:r w:rsidRPr="00D40A75">
              <w:rPr>
                <w:szCs w:val="20"/>
                <w:lang w:eastAsia="x-none"/>
              </w:rPr>
              <w:t>VHB</w:t>
            </w:r>
          </w:p>
        </w:tc>
        <w:tc>
          <w:tcPr>
            <w:tcW w:w="2564"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4</w:t>
            </w:r>
          </w:p>
        </w:tc>
        <w:tc>
          <w:tcPr>
            <w:tcW w:w="2901"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11</w:t>
            </w:r>
          </w:p>
        </w:tc>
      </w:tr>
      <w:tr w:rsidR="00D40A75" w:rsidRPr="00D40A75" w:rsidTr="005B4780">
        <w:trPr>
          <w:trHeight w:val="455"/>
        </w:trPr>
        <w:tc>
          <w:tcPr>
            <w:cnfStyle w:val="001000000000" w:firstRow="0" w:lastRow="0" w:firstColumn="1" w:lastColumn="0" w:oddVBand="0" w:evenVBand="0" w:oddHBand="0" w:evenHBand="0" w:firstRowFirstColumn="0" w:firstRowLastColumn="0" w:lastRowFirstColumn="0" w:lastRowLastColumn="0"/>
            <w:tcW w:w="2518" w:type="dxa"/>
          </w:tcPr>
          <w:p w:rsidR="00D40A75" w:rsidRPr="00D40A75" w:rsidRDefault="00D40A75" w:rsidP="00D40A75">
            <w:pPr>
              <w:spacing w:after="160" w:line="259" w:lineRule="auto"/>
              <w:rPr>
                <w:szCs w:val="20"/>
                <w:lang w:eastAsia="x-none"/>
              </w:rPr>
            </w:pPr>
            <w:r w:rsidRPr="00D40A75">
              <w:rPr>
                <w:szCs w:val="20"/>
                <w:lang w:eastAsia="x-none"/>
              </w:rPr>
              <w:t>VHC</w:t>
            </w:r>
          </w:p>
        </w:tc>
        <w:tc>
          <w:tcPr>
            <w:tcW w:w="2564"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2</w:t>
            </w:r>
          </w:p>
        </w:tc>
        <w:tc>
          <w:tcPr>
            <w:tcW w:w="2901"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3</w:t>
            </w:r>
          </w:p>
        </w:tc>
      </w:tr>
      <w:tr w:rsidR="00D40A75" w:rsidRPr="00D40A75" w:rsidTr="005B4780">
        <w:trPr>
          <w:trHeight w:val="455"/>
        </w:trPr>
        <w:tc>
          <w:tcPr>
            <w:cnfStyle w:val="001000000000" w:firstRow="0" w:lastRow="0" w:firstColumn="1" w:lastColumn="0" w:oddVBand="0" w:evenVBand="0" w:oddHBand="0" w:evenHBand="0" w:firstRowFirstColumn="0" w:firstRowLastColumn="0" w:lastRowFirstColumn="0" w:lastRowLastColumn="0"/>
            <w:tcW w:w="2518" w:type="dxa"/>
          </w:tcPr>
          <w:p w:rsidR="00D40A75" w:rsidRPr="00D40A75" w:rsidRDefault="00D40A75" w:rsidP="00D40A75">
            <w:pPr>
              <w:spacing w:after="160" w:line="259" w:lineRule="auto"/>
              <w:rPr>
                <w:szCs w:val="20"/>
                <w:lang w:eastAsia="x-none"/>
              </w:rPr>
            </w:pPr>
            <w:r w:rsidRPr="00D40A75">
              <w:rPr>
                <w:szCs w:val="20"/>
                <w:lang w:eastAsia="x-none"/>
              </w:rPr>
              <w:t>Malaria</w:t>
            </w:r>
          </w:p>
        </w:tc>
        <w:tc>
          <w:tcPr>
            <w:tcW w:w="2564"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1</w:t>
            </w:r>
          </w:p>
        </w:tc>
        <w:tc>
          <w:tcPr>
            <w:tcW w:w="2901"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5</w:t>
            </w:r>
          </w:p>
        </w:tc>
      </w:tr>
      <w:tr w:rsidR="00D40A75" w:rsidRPr="00D40A75" w:rsidTr="005B4780">
        <w:trPr>
          <w:trHeight w:val="455"/>
        </w:trPr>
        <w:tc>
          <w:tcPr>
            <w:cnfStyle w:val="001000000000" w:firstRow="0" w:lastRow="0" w:firstColumn="1" w:lastColumn="0" w:oddVBand="0" w:evenVBand="0" w:oddHBand="0" w:evenHBand="0" w:firstRowFirstColumn="0" w:firstRowLastColumn="0" w:lastRowFirstColumn="0" w:lastRowLastColumn="0"/>
            <w:tcW w:w="2518" w:type="dxa"/>
          </w:tcPr>
          <w:p w:rsidR="00D40A75" w:rsidRPr="00D40A75" w:rsidRDefault="00D40A75" w:rsidP="00D40A75">
            <w:pPr>
              <w:spacing w:after="160" w:line="259" w:lineRule="auto"/>
              <w:rPr>
                <w:szCs w:val="20"/>
                <w:lang w:eastAsia="x-none"/>
              </w:rPr>
            </w:pPr>
            <w:r w:rsidRPr="00D40A75">
              <w:rPr>
                <w:szCs w:val="20"/>
                <w:lang w:eastAsia="x-none"/>
              </w:rPr>
              <w:t>Sífilis</w:t>
            </w:r>
          </w:p>
        </w:tc>
        <w:tc>
          <w:tcPr>
            <w:tcW w:w="2564"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16</w:t>
            </w:r>
          </w:p>
        </w:tc>
        <w:tc>
          <w:tcPr>
            <w:tcW w:w="2901" w:type="dxa"/>
          </w:tcPr>
          <w:p w:rsidR="00D40A75" w:rsidRPr="00D40A75" w:rsidRDefault="00D40A75" w:rsidP="005B4780">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D40A75">
              <w:rPr>
                <w:szCs w:val="20"/>
                <w:lang w:eastAsia="x-none"/>
              </w:rPr>
              <w:t>45</w:t>
            </w:r>
          </w:p>
        </w:tc>
      </w:tr>
    </w:tbl>
    <w:p w:rsidR="00D40A75" w:rsidRPr="00D40A75" w:rsidRDefault="00D40A75" w:rsidP="00D40A75">
      <w:pPr>
        <w:rPr>
          <w:szCs w:val="20"/>
          <w:lang w:eastAsia="x-none"/>
        </w:rPr>
      </w:pPr>
    </w:p>
    <w:p w:rsidR="00D40A75" w:rsidRPr="00D40A75" w:rsidRDefault="00D40A75" w:rsidP="005B4780">
      <w:r w:rsidRPr="00D40A75">
        <w:t>Se han remitido estas 194 alertas a 34 centros, entre los que se incluyen el CTCM y la industria fraccionadora del plasma. La distribución se muestra en el gráfico 9 (datos a 01/10/2021).</w:t>
      </w:r>
    </w:p>
    <w:p w:rsidR="00D40A75" w:rsidRPr="00D40A75" w:rsidRDefault="00D40A75" w:rsidP="005B4780"/>
    <w:p w:rsidR="00D40A75" w:rsidRPr="00D40A75" w:rsidRDefault="00D40A75" w:rsidP="005B4780">
      <w:r w:rsidRPr="00D40A75">
        <w:t>Gráfico 9. Distribución de alertas enviadas y respuesta.</w:t>
      </w:r>
    </w:p>
    <w:p w:rsidR="00D40A75" w:rsidRPr="00D40A75" w:rsidRDefault="00D40A75" w:rsidP="00D40A75">
      <w:pPr>
        <w:rPr>
          <w:szCs w:val="20"/>
          <w:lang w:eastAsia="x-none"/>
        </w:rPr>
      </w:pPr>
      <w:r w:rsidRPr="00D40A75">
        <w:rPr>
          <w:szCs w:val="20"/>
          <w:lang w:eastAsia="x-none"/>
        </w:rPr>
        <w:drawing>
          <wp:inline distT="0" distB="0" distL="0" distR="0" wp14:anchorId="62622879" wp14:editId="6AB7867E">
            <wp:extent cx="5118264" cy="3372592"/>
            <wp:effectExtent l="0" t="0" r="6350" b="18415"/>
            <wp:docPr id="223" name="Gráfico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D40A75" w:rsidRPr="00D40A75" w:rsidRDefault="00D40A75" w:rsidP="00D40A75">
      <w:pPr>
        <w:rPr>
          <w:szCs w:val="20"/>
          <w:lang w:eastAsia="x-none"/>
        </w:rPr>
      </w:pPr>
    </w:p>
    <w:p w:rsidR="00D40A75" w:rsidRPr="00D40A75" w:rsidRDefault="00D40A75" w:rsidP="005B4780">
      <w:r w:rsidRPr="005B4780">
        <w:lastRenderedPageBreak/>
        <w:t>Es preciso incidir en la importancia de la colaboración por parte de los hospitales, para conseguir completar los estudios de Hemovigilancia, pero sobre</w:t>
      </w:r>
      <w:r w:rsidRPr="00D40A75">
        <w:t xml:space="preserve"> todo para ofrecer a los pacientes del sistema sanitario un correcto diagnóstico de la transmisión de enfermedades infecciosas por transfusión.</w:t>
      </w:r>
    </w:p>
    <w:p w:rsidR="00D40A75" w:rsidRPr="00D40A75" w:rsidRDefault="00D40A75" w:rsidP="005B4780"/>
    <w:p w:rsidR="00D40A75" w:rsidRPr="00D40A75" w:rsidRDefault="00D40A75" w:rsidP="005B4780">
      <w:r w:rsidRPr="00D40A75">
        <w:t>En el momento actual quedan pendientes de respuesta un total de 72 alertas del 2020, distribuidas en 24 centros, si bien es cierto que 10 centros no tienen ninguna alerta pendiente.</w:t>
      </w:r>
    </w:p>
    <w:p w:rsidR="00D40A75" w:rsidRPr="00A71B61" w:rsidRDefault="00D40A75" w:rsidP="006738D9">
      <w:pPr>
        <w:rPr>
          <w:szCs w:val="20"/>
          <w:lang w:val="x-none" w:eastAsia="x-none"/>
        </w:rPr>
      </w:pPr>
    </w:p>
    <w:p w:rsidR="006738D9" w:rsidRPr="00A71B61" w:rsidRDefault="006738D9">
      <w:pPr>
        <w:rPr>
          <w:szCs w:val="20"/>
        </w:rPr>
      </w:pPr>
    </w:p>
    <w:p w:rsidR="0026356C" w:rsidRPr="003D5581" w:rsidRDefault="0026356C" w:rsidP="003D5581">
      <w:pPr>
        <w:pStyle w:val="Ttulo2"/>
      </w:pPr>
      <w:bookmarkStart w:id="80" w:name="_Toc90584899"/>
      <w:r w:rsidRPr="003D5581">
        <w:t>Incidentes relacionados con la transfusión</w:t>
      </w:r>
      <w:bookmarkEnd w:id="80"/>
    </w:p>
    <w:p w:rsidR="00827AB1" w:rsidRPr="00A71B61" w:rsidRDefault="00827AB1" w:rsidP="00827AB1">
      <w:pPr>
        <w:rPr>
          <w:szCs w:val="20"/>
          <w:lang w:eastAsia="x-none"/>
        </w:rPr>
      </w:pPr>
    </w:p>
    <w:p w:rsidR="005B4780" w:rsidRPr="00A108A2" w:rsidRDefault="005B4780" w:rsidP="00A108A2">
      <w:pPr>
        <w:pStyle w:val="Ttulo3"/>
      </w:pPr>
      <w:r w:rsidRPr="00A108A2">
        <w:t>La transfusión en la Comunidad de Madrid:</w:t>
      </w:r>
    </w:p>
    <w:p w:rsidR="005B4780" w:rsidRPr="005B4780" w:rsidRDefault="005B4780" w:rsidP="005B4780">
      <w:pPr>
        <w:rPr>
          <w:szCs w:val="20"/>
          <w:lang w:eastAsia="x-none"/>
        </w:rPr>
      </w:pPr>
    </w:p>
    <w:p w:rsidR="005B4780" w:rsidRPr="005B4780" w:rsidRDefault="005B4780" w:rsidP="00A108A2">
      <w:r w:rsidRPr="005B4780">
        <w:t xml:space="preserve">Durante el año 2020 se han transfundido componentes sanguíneos en 62 de los 71 hospitales de la Comunidad de Madrid, alcanzando un total de </w:t>
      </w:r>
      <w:r w:rsidRPr="005B4780">
        <w:rPr>
          <w:b/>
        </w:rPr>
        <w:t>288.083 componentes sanguíneos</w:t>
      </w:r>
      <w:r w:rsidRPr="005B4780">
        <w:t>, considerando las plaquetas en dosis terapéutica (frente a los 304.105</w:t>
      </w:r>
      <w:r w:rsidRPr="005B4780">
        <w:rPr>
          <w:b/>
        </w:rPr>
        <w:t xml:space="preserve"> </w:t>
      </w:r>
      <w:r w:rsidRPr="005B4780">
        <w:t>que se trasfundieron en 2019), y que se distribuyen según consta en la tabla 2.</w:t>
      </w:r>
    </w:p>
    <w:p w:rsidR="005B4780" w:rsidRPr="005B4780" w:rsidRDefault="005B4780" w:rsidP="00A108A2"/>
    <w:p w:rsidR="005B4780" w:rsidRPr="005B4780" w:rsidRDefault="005B4780" w:rsidP="00A108A2">
      <w:r w:rsidRPr="005B4780">
        <w:t>Tabla 2.</w:t>
      </w:r>
    </w:p>
    <w:tbl>
      <w:tblPr>
        <w:tblStyle w:val="Tabladecuadrcula5oscura-nfasis5"/>
        <w:tblW w:w="0" w:type="auto"/>
        <w:tblLook w:val="0620" w:firstRow="1" w:lastRow="0" w:firstColumn="0" w:lastColumn="0" w:noHBand="1" w:noVBand="1"/>
      </w:tblPr>
      <w:tblGrid>
        <w:gridCol w:w="4057"/>
        <w:gridCol w:w="3827"/>
      </w:tblGrid>
      <w:tr w:rsidR="005B4780" w:rsidRPr="005B4780" w:rsidTr="002A4647">
        <w:trPr>
          <w:cnfStyle w:val="100000000000" w:firstRow="1" w:lastRow="0" w:firstColumn="0" w:lastColumn="0" w:oddVBand="0" w:evenVBand="0" w:oddHBand="0" w:evenHBand="0" w:firstRowFirstColumn="0" w:firstRowLastColumn="0" w:lastRowFirstColumn="0" w:lastRowLastColumn="0"/>
        </w:trPr>
        <w:tc>
          <w:tcPr>
            <w:tcW w:w="4057" w:type="dxa"/>
          </w:tcPr>
          <w:p w:rsidR="005B4780" w:rsidRPr="005B4780" w:rsidRDefault="005B4780" w:rsidP="005B4780">
            <w:pPr>
              <w:spacing w:after="160" w:line="259" w:lineRule="auto"/>
              <w:rPr>
                <w:szCs w:val="20"/>
                <w:lang w:eastAsia="x-none"/>
              </w:rPr>
            </w:pPr>
            <w:r w:rsidRPr="005B4780">
              <w:rPr>
                <w:szCs w:val="20"/>
                <w:lang w:eastAsia="x-none"/>
              </w:rPr>
              <w:t>Componente</w:t>
            </w:r>
          </w:p>
        </w:tc>
        <w:tc>
          <w:tcPr>
            <w:tcW w:w="3827" w:type="dxa"/>
          </w:tcPr>
          <w:p w:rsidR="005B4780" w:rsidRPr="005B4780" w:rsidRDefault="005B4780" w:rsidP="005B4780">
            <w:pPr>
              <w:spacing w:after="160" w:line="259" w:lineRule="auto"/>
              <w:rPr>
                <w:szCs w:val="20"/>
                <w:lang w:eastAsia="x-none"/>
              </w:rPr>
            </w:pPr>
            <w:r w:rsidRPr="005B4780">
              <w:rPr>
                <w:szCs w:val="20"/>
                <w:lang w:eastAsia="x-none"/>
              </w:rPr>
              <w:t>Nº unidades transfundidas</w:t>
            </w:r>
          </w:p>
        </w:tc>
      </w:tr>
      <w:tr w:rsidR="005B4780" w:rsidRPr="005B4780" w:rsidTr="002A4647">
        <w:tc>
          <w:tcPr>
            <w:tcW w:w="4057" w:type="dxa"/>
          </w:tcPr>
          <w:p w:rsidR="005B4780" w:rsidRPr="005B4780" w:rsidRDefault="005B4780" w:rsidP="005B4780">
            <w:pPr>
              <w:spacing w:after="160" w:line="259" w:lineRule="auto"/>
              <w:rPr>
                <w:szCs w:val="20"/>
                <w:lang w:eastAsia="x-none"/>
              </w:rPr>
            </w:pPr>
            <w:r w:rsidRPr="005B4780">
              <w:rPr>
                <w:szCs w:val="20"/>
                <w:lang w:eastAsia="x-none"/>
              </w:rPr>
              <w:t>Concentrados de hematíes</w:t>
            </w:r>
          </w:p>
        </w:tc>
        <w:tc>
          <w:tcPr>
            <w:tcW w:w="3827" w:type="dxa"/>
          </w:tcPr>
          <w:p w:rsidR="005B4780" w:rsidRPr="005B4780" w:rsidRDefault="005B4780" w:rsidP="005B4780">
            <w:pPr>
              <w:spacing w:after="160" w:line="259" w:lineRule="auto"/>
              <w:rPr>
                <w:szCs w:val="20"/>
                <w:lang w:eastAsia="x-none"/>
              </w:rPr>
            </w:pPr>
            <w:r w:rsidRPr="005B4780">
              <w:rPr>
                <w:szCs w:val="20"/>
                <w:lang w:eastAsia="x-none"/>
              </w:rPr>
              <w:t>221.450</w:t>
            </w:r>
          </w:p>
        </w:tc>
      </w:tr>
      <w:tr w:rsidR="005B4780" w:rsidRPr="005B4780" w:rsidTr="002A4647">
        <w:tc>
          <w:tcPr>
            <w:tcW w:w="4057" w:type="dxa"/>
          </w:tcPr>
          <w:p w:rsidR="005B4780" w:rsidRPr="005B4780" w:rsidRDefault="005B4780" w:rsidP="005B4780">
            <w:pPr>
              <w:spacing w:after="160" w:line="259" w:lineRule="auto"/>
              <w:rPr>
                <w:szCs w:val="20"/>
                <w:lang w:eastAsia="x-none"/>
              </w:rPr>
            </w:pPr>
            <w:r w:rsidRPr="005B4780">
              <w:rPr>
                <w:szCs w:val="20"/>
                <w:lang w:eastAsia="x-none"/>
              </w:rPr>
              <w:t>Unidades terapéuticas de plaquetas</w:t>
            </w:r>
          </w:p>
        </w:tc>
        <w:tc>
          <w:tcPr>
            <w:tcW w:w="3827" w:type="dxa"/>
          </w:tcPr>
          <w:p w:rsidR="005B4780" w:rsidRPr="005B4780" w:rsidRDefault="005B4780" w:rsidP="005B4780">
            <w:pPr>
              <w:spacing w:after="160" w:line="259" w:lineRule="auto"/>
              <w:rPr>
                <w:szCs w:val="20"/>
                <w:lang w:eastAsia="x-none"/>
              </w:rPr>
            </w:pPr>
            <w:r w:rsidRPr="005B4780">
              <w:rPr>
                <w:szCs w:val="20"/>
                <w:lang w:eastAsia="x-none"/>
              </w:rPr>
              <w:t>38.706</w:t>
            </w:r>
          </w:p>
        </w:tc>
      </w:tr>
      <w:tr w:rsidR="005B4780" w:rsidRPr="005B4780" w:rsidTr="002A4647">
        <w:tc>
          <w:tcPr>
            <w:tcW w:w="4057" w:type="dxa"/>
          </w:tcPr>
          <w:p w:rsidR="005B4780" w:rsidRPr="005B4780" w:rsidRDefault="005B4780" w:rsidP="005B4780">
            <w:pPr>
              <w:spacing w:after="160" w:line="259" w:lineRule="auto"/>
              <w:rPr>
                <w:szCs w:val="20"/>
                <w:lang w:eastAsia="x-none"/>
              </w:rPr>
            </w:pPr>
            <w:r w:rsidRPr="005B4780">
              <w:rPr>
                <w:szCs w:val="20"/>
                <w:lang w:eastAsia="x-none"/>
              </w:rPr>
              <w:t>Unidades de plasma</w:t>
            </w:r>
          </w:p>
        </w:tc>
        <w:tc>
          <w:tcPr>
            <w:tcW w:w="3827" w:type="dxa"/>
          </w:tcPr>
          <w:p w:rsidR="005B4780" w:rsidRPr="005B4780" w:rsidRDefault="005B4780" w:rsidP="005B4780">
            <w:pPr>
              <w:spacing w:after="160" w:line="259" w:lineRule="auto"/>
              <w:rPr>
                <w:szCs w:val="20"/>
                <w:lang w:eastAsia="x-none"/>
              </w:rPr>
            </w:pPr>
            <w:r w:rsidRPr="005B4780">
              <w:rPr>
                <w:szCs w:val="20"/>
                <w:lang w:eastAsia="x-none"/>
              </w:rPr>
              <w:t>27.927</w:t>
            </w:r>
          </w:p>
        </w:tc>
      </w:tr>
    </w:tbl>
    <w:p w:rsidR="005B4780" w:rsidRPr="005B4780" w:rsidRDefault="005B4780" w:rsidP="005B4780">
      <w:pPr>
        <w:rPr>
          <w:szCs w:val="20"/>
          <w:lang w:eastAsia="x-none"/>
        </w:rPr>
      </w:pPr>
    </w:p>
    <w:p w:rsidR="005B4780" w:rsidRPr="005B4780" w:rsidRDefault="005B4780" w:rsidP="002A4647">
      <w:r w:rsidRPr="005B4780">
        <w:t>Los gráficos 9a, 9b y 9c hacen referencia a la evolución de la transfusión de concentrados de hematíes, unidades terapéuticas de plaquetas y unidades de plasma. En el caso de los concentrados de hematíes, se evidencia una tendencia ascendente hasta el año 2015, en que se produce un máximo, y a partir de ese momento un discreto descenso, más acusado el último año en relación con la interferencia de la pandemia en la actividad quirúrgica programada, de la misma manera se vería un cuadro similar en relación al consumo de las unidades terapéuticas de plaquetas.</w:t>
      </w:r>
    </w:p>
    <w:p w:rsidR="005B4780" w:rsidRPr="005B4780" w:rsidRDefault="005B4780" w:rsidP="002A4647">
      <w:r w:rsidRPr="005B4780">
        <w:t>Gráfico 9A. Evolución de la transfusión de concentrados de hematíes</w:t>
      </w:r>
    </w:p>
    <w:p w:rsidR="005B4780" w:rsidRPr="005B4780" w:rsidRDefault="005B4780" w:rsidP="005B4780">
      <w:pPr>
        <w:rPr>
          <w:szCs w:val="20"/>
          <w:lang w:eastAsia="x-none"/>
        </w:rPr>
      </w:pPr>
    </w:p>
    <w:p w:rsidR="005B4780" w:rsidRPr="005B4780" w:rsidRDefault="005B4780" w:rsidP="005B4780">
      <w:pPr>
        <w:rPr>
          <w:szCs w:val="20"/>
          <w:lang w:eastAsia="x-none"/>
        </w:rPr>
      </w:pPr>
      <w:r w:rsidRPr="005B4780">
        <w:rPr>
          <w:szCs w:val="20"/>
          <w:lang w:eastAsia="x-none"/>
        </w:rPr>
        <w:lastRenderedPageBreak/>
        <w:drawing>
          <wp:inline distT="0" distB="0" distL="0" distR="0" wp14:anchorId="35B352A9" wp14:editId="3B76FEA7">
            <wp:extent cx="5037826" cy="2139351"/>
            <wp:effectExtent l="0" t="0" r="10795" b="13335"/>
            <wp:docPr id="338" name="Gráfico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5B4780" w:rsidRPr="005B4780" w:rsidRDefault="005B4780" w:rsidP="002A4647">
      <w:r w:rsidRPr="005B4780">
        <w:t>Gráfico 9b. Evolución de la transfusión de unidades terapéuticas de plaquetas</w:t>
      </w:r>
    </w:p>
    <w:p w:rsidR="005B4780" w:rsidRPr="005B4780" w:rsidRDefault="005B4780" w:rsidP="005B4780">
      <w:pPr>
        <w:rPr>
          <w:szCs w:val="20"/>
          <w:lang w:eastAsia="x-none"/>
        </w:rPr>
      </w:pPr>
      <w:r w:rsidRPr="005B4780">
        <w:rPr>
          <w:szCs w:val="20"/>
          <w:lang w:eastAsia="x-none"/>
        </w:rPr>
        <w:drawing>
          <wp:inline distT="0" distB="0" distL="0" distR="0" wp14:anchorId="5F141DAA" wp14:editId="21C2EA29">
            <wp:extent cx="5003225" cy="2856937"/>
            <wp:effectExtent l="0" t="0" r="6985" b="635"/>
            <wp:docPr id="339" name="Gráfico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5B4780" w:rsidRPr="005B4780" w:rsidRDefault="005B4780" w:rsidP="005B4780">
      <w:pPr>
        <w:rPr>
          <w:szCs w:val="20"/>
          <w:u w:val="single"/>
          <w:lang w:eastAsia="x-none"/>
        </w:rPr>
      </w:pPr>
    </w:p>
    <w:p w:rsidR="005B4780" w:rsidRPr="005B4780" w:rsidRDefault="005B4780" w:rsidP="002A4647">
      <w:r w:rsidRPr="005B4780">
        <w:t>Por el contrario, la transfusión de plasma en los últimos años presenta una tendencia estable, salvo en el año 2015 en el que se produce un aumento.  En el último año se ha evidenciado una clara disminución de su empleo, lo cual se atribuye al uso creciente de otros productos, derivados de la industria, y a la menor actividad quirúrgica programada ocasionada por la pandemia por SARS-CoV-2.</w:t>
      </w:r>
    </w:p>
    <w:p w:rsidR="005B4780" w:rsidRPr="005B4780" w:rsidRDefault="005B4780" w:rsidP="002A4647"/>
    <w:p w:rsidR="00260936" w:rsidRDefault="00260936">
      <w:pPr>
        <w:jc w:val="left"/>
      </w:pPr>
      <w:r>
        <w:br w:type="page"/>
      </w:r>
    </w:p>
    <w:p w:rsidR="005B4780" w:rsidRPr="005B4780" w:rsidRDefault="005B4780" w:rsidP="002A4647">
      <w:r w:rsidRPr="005B4780">
        <w:lastRenderedPageBreak/>
        <w:t>Gráfico 9c. Evolución de la transfusión de unidades de plasma</w:t>
      </w:r>
    </w:p>
    <w:p w:rsidR="005B4780" w:rsidRPr="005B4780" w:rsidRDefault="005B4780" w:rsidP="005B4780">
      <w:pPr>
        <w:rPr>
          <w:szCs w:val="20"/>
          <w:u w:val="single"/>
          <w:lang w:eastAsia="x-none"/>
        </w:rPr>
      </w:pPr>
      <w:r w:rsidRPr="005B4780">
        <w:rPr>
          <w:szCs w:val="20"/>
          <w:u w:val="single"/>
          <w:lang w:eastAsia="x-none"/>
        </w:rPr>
        <w:drawing>
          <wp:inline distT="0" distB="0" distL="0" distR="0" wp14:anchorId="4D9DF3D8" wp14:editId="3FA09437">
            <wp:extent cx="5132717" cy="2553419"/>
            <wp:effectExtent l="0" t="0" r="10795" b="18415"/>
            <wp:docPr id="340" name="Gráfico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5B4780" w:rsidRPr="005B4780" w:rsidRDefault="005B4780" w:rsidP="005B4780">
      <w:pPr>
        <w:rPr>
          <w:szCs w:val="20"/>
          <w:lang w:eastAsia="x-none"/>
        </w:rPr>
      </w:pPr>
    </w:p>
    <w:p w:rsidR="005B4780" w:rsidRPr="005B4780" w:rsidRDefault="005B4780" w:rsidP="002A4647">
      <w:r w:rsidRPr="005B4780">
        <w:t xml:space="preserve">Por otra parte, hay que señalar, que el plasma excedente de la donación debe destinarse a la producción de derivados plasmáticos (sobre todos las inmunoglobulinas, que tienen cada vez más indicaciones y uso, y la albúmina). </w:t>
      </w:r>
    </w:p>
    <w:p w:rsidR="005B4780" w:rsidRPr="005B4780" w:rsidRDefault="005B4780" w:rsidP="002A4647">
      <w:pPr>
        <w:rPr>
          <w:u w:val="single"/>
        </w:rPr>
      </w:pPr>
    </w:p>
    <w:p w:rsidR="005B4780" w:rsidRPr="002A4647" w:rsidRDefault="005B4780" w:rsidP="002A4647">
      <w:pPr>
        <w:pStyle w:val="Ttulo3"/>
      </w:pPr>
      <w:r w:rsidRPr="002A4647">
        <w:t>Participación de los centros hospitalarios en la comunicación de incidentes transfusionales:</w:t>
      </w:r>
    </w:p>
    <w:p w:rsidR="005B4780" w:rsidRPr="005B4780" w:rsidRDefault="005B4780" w:rsidP="002A4647"/>
    <w:p w:rsidR="005B4780" w:rsidRPr="005B4780" w:rsidRDefault="005B4780" w:rsidP="002A4647">
      <w:r w:rsidRPr="005B4780">
        <w:t>Gráfico 10. Participación de Hospitales en el Programa de Hemovigilancia.</w:t>
      </w:r>
    </w:p>
    <w:p w:rsidR="005B4780" w:rsidRPr="005B4780" w:rsidRDefault="005B4780" w:rsidP="005B4780">
      <w:pPr>
        <w:rPr>
          <w:szCs w:val="20"/>
          <w:lang w:eastAsia="x-none"/>
        </w:rPr>
      </w:pPr>
      <w:r w:rsidRPr="005B4780">
        <w:rPr>
          <w:szCs w:val="20"/>
          <w:lang w:eastAsia="x-none"/>
        </w:rPr>
        <w:drawing>
          <wp:inline distT="0" distB="0" distL="0" distR="0" wp14:anchorId="0E62C74B" wp14:editId="7E843C65">
            <wp:extent cx="5035137" cy="2541319"/>
            <wp:effectExtent l="0" t="0" r="13335" b="11430"/>
            <wp:docPr id="341" name="Gráfico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5B4780" w:rsidRPr="005B4780" w:rsidRDefault="005B4780" w:rsidP="005B4780">
      <w:pPr>
        <w:rPr>
          <w:szCs w:val="20"/>
          <w:lang w:eastAsia="x-none"/>
        </w:rPr>
      </w:pPr>
    </w:p>
    <w:p w:rsidR="005B4780" w:rsidRPr="005B4780" w:rsidRDefault="005B4780" w:rsidP="002A4647">
      <w:r w:rsidRPr="005B4780">
        <w:t xml:space="preserve">De los 71 hospitales ubicados en la Comunidad de Madrid, que podrían haber solicitado componentes sanguíneos al Centro de Transfusión de esta comunidad autónoma, son 58 los que han transfundido algún componente </w:t>
      </w:r>
      <w:r w:rsidRPr="005B4780">
        <w:lastRenderedPageBreak/>
        <w:t>sanguíneo, mientras que 13 hospitales no han trasfundido ningún componente.  Sólo 27 de ellos han comunicado al Centro de Transfusión de la Comunidad de Madrid algún incidente relacionado con la transfusión sanguínea, lo que supone el 46,55% de los mismos. Eso sí, en esos 27 centros se han transfundido el</w:t>
      </w:r>
      <w:r w:rsidRPr="005B4780">
        <w:rPr>
          <w:b/>
        </w:rPr>
        <w:t xml:space="preserve"> 77,19</w:t>
      </w:r>
      <w:r w:rsidRPr="005B4780">
        <w:t>% del total de componentes sanguíneos (222.379 de los 288.083), lo que implica que los hospitales que más transfunden tienen también mayor participación en la Hemovigilancia. Gráfico 10.</w:t>
      </w:r>
    </w:p>
    <w:p w:rsidR="005B4780" w:rsidRPr="005B4780" w:rsidRDefault="005B4780" w:rsidP="005B4780">
      <w:pPr>
        <w:rPr>
          <w:szCs w:val="20"/>
          <w:u w:val="single"/>
          <w:lang w:eastAsia="x-none"/>
        </w:rPr>
      </w:pPr>
    </w:p>
    <w:p w:rsidR="005B4780" w:rsidRPr="005B4780" w:rsidRDefault="005B4780" w:rsidP="002A4647">
      <w:pPr>
        <w:pStyle w:val="Ttulo3"/>
      </w:pPr>
      <w:r w:rsidRPr="005B4780">
        <w:t>Número de notificaciones de incidentes relacionadas con la transfusión sanguínea:</w:t>
      </w:r>
    </w:p>
    <w:p w:rsidR="005B4780" w:rsidRPr="005B4780" w:rsidRDefault="005B4780" w:rsidP="005B4780">
      <w:pPr>
        <w:rPr>
          <w:szCs w:val="20"/>
          <w:lang w:eastAsia="x-none"/>
        </w:rPr>
      </w:pPr>
    </w:p>
    <w:p w:rsidR="005B4780" w:rsidRPr="005B4780" w:rsidRDefault="005B4780" w:rsidP="002A4647">
      <w:r w:rsidRPr="005B4780">
        <w:t xml:space="preserve">Durante el año 2020 se han recibido en el Centro de Transfusión de la Comunidad de Madrid </w:t>
      </w:r>
      <w:r w:rsidRPr="005B4780">
        <w:rPr>
          <w:b/>
        </w:rPr>
        <w:t>377 comunicaciones</w:t>
      </w:r>
      <w:r w:rsidRPr="005B4780">
        <w:t xml:space="preserve"> de incidentes transfusionales, lo que implica una tasa de </w:t>
      </w:r>
      <w:r w:rsidRPr="005B4780">
        <w:rPr>
          <w:b/>
        </w:rPr>
        <w:t>13,08 / 10.000 componentes sanguíneos transfundidos</w:t>
      </w:r>
      <w:r w:rsidRPr="005B4780">
        <w:t xml:space="preserve">, observándose claramente un descenso de la notificación el último año con respecto a años anteriores en los que se iba presentando un aumento progresivo de estos. Los datos se muestran en el gráfico 11. </w:t>
      </w:r>
    </w:p>
    <w:p w:rsidR="005B4780" w:rsidRPr="005B4780" w:rsidRDefault="005B4780" w:rsidP="002A4647"/>
    <w:p w:rsidR="005B4780" w:rsidRPr="005B4780" w:rsidRDefault="005B4780" w:rsidP="002A4647">
      <w:r w:rsidRPr="005B4780">
        <w:t>Gráfico 11. Incidentes comunicados relacionados con la transfusión en la Comunidad de Madrid</w:t>
      </w:r>
    </w:p>
    <w:p w:rsidR="005B4780" w:rsidRPr="005B4780" w:rsidRDefault="005B4780" w:rsidP="005B4780">
      <w:pPr>
        <w:rPr>
          <w:szCs w:val="20"/>
          <w:lang w:eastAsia="x-none"/>
        </w:rPr>
      </w:pPr>
      <w:r w:rsidRPr="005B4780">
        <w:rPr>
          <w:szCs w:val="20"/>
          <w:lang w:eastAsia="x-none"/>
        </w:rPr>
        <w:drawing>
          <wp:inline distT="0" distB="0" distL="0" distR="0" wp14:anchorId="320DD8B7" wp14:editId="583FBF38">
            <wp:extent cx="4987636" cy="2897580"/>
            <wp:effectExtent l="0" t="0" r="3810" b="17145"/>
            <wp:docPr id="342" name="Gráfico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5B4780" w:rsidRPr="005B4780" w:rsidRDefault="005B4780" w:rsidP="002A4647"/>
    <w:p w:rsidR="005B4780" w:rsidRPr="005B4780" w:rsidRDefault="005B4780" w:rsidP="002A4647">
      <w:r w:rsidRPr="005B4780">
        <w:t xml:space="preserve">Estas cifras continúan siendo inferiores a las observadas en  el resto del territorio nacional, en donde se registró en 2019 una tasa media de 24,70 por cada 10.000 componentes sanguíneos transfundidos (excluida la aloinmunización y según datos del Ministerio de Sanidad, Consumo y Bienestar Social en el Informe de Hemovigilancia de 2019), destacando la Comunidad Autónoma de Cataluña, con </w:t>
      </w:r>
      <w:r w:rsidRPr="005B4780">
        <w:lastRenderedPageBreak/>
        <w:t xml:space="preserve">106,9 incidentes por cada 10.000 componentes transfundidos, y muy por detrás, Cantabria, con 19,38; el Principado de Asturias con 19,13; el País Vasco, con 18,76. </w:t>
      </w:r>
    </w:p>
    <w:p w:rsidR="005B4780" w:rsidRPr="005B4780" w:rsidRDefault="005B4780" w:rsidP="002A4647"/>
    <w:p w:rsidR="005B4780" w:rsidRPr="005B4780" w:rsidRDefault="005B4780" w:rsidP="002A4647">
      <w:r w:rsidRPr="005B4780">
        <w:t>Gráfico 12. Evolución de la tasa de comunicación de incidentes transfusionales por 10.000 componentes transfundidos en la Comunidad Autónoma de Madrid</w:t>
      </w:r>
    </w:p>
    <w:p w:rsidR="005B4780" w:rsidRPr="005B4780" w:rsidRDefault="005B4780" w:rsidP="005B4780">
      <w:pPr>
        <w:rPr>
          <w:szCs w:val="20"/>
          <w:lang w:eastAsia="x-none"/>
        </w:rPr>
      </w:pPr>
      <w:r w:rsidRPr="005B4780">
        <w:rPr>
          <w:szCs w:val="20"/>
          <w:lang w:eastAsia="x-none"/>
        </w:rPr>
        <w:drawing>
          <wp:inline distT="0" distB="0" distL="0" distR="0" wp14:anchorId="20979FE9" wp14:editId="73DE7BF1">
            <wp:extent cx="4975761" cy="2505694"/>
            <wp:effectExtent l="0" t="0" r="15875" b="9525"/>
            <wp:docPr id="343"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2A4647" w:rsidRDefault="002A4647">
      <w:pPr>
        <w:jc w:val="left"/>
      </w:pPr>
    </w:p>
    <w:p w:rsidR="005B4780" w:rsidRPr="005B4780" w:rsidRDefault="005B4780" w:rsidP="002A4647">
      <w:r w:rsidRPr="005B4780">
        <w:t>Gráfico 13. Evolución comparativa de incidentes en transfusión en Madrid y en España.</w:t>
      </w:r>
    </w:p>
    <w:p w:rsidR="005B4780" w:rsidRPr="005B4780" w:rsidRDefault="005B4780" w:rsidP="005B4780">
      <w:pPr>
        <w:rPr>
          <w:szCs w:val="20"/>
          <w:lang w:eastAsia="x-none"/>
        </w:rPr>
      </w:pPr>
      <w:r w:rsidRPr="005B4780">
        <w:rPr>
          <w:szCs w:val="20"/>
          <w:lang w:eastAsia="x-none"/>
        </w:rPr>
        <w:drawing>
          <wp:inline distT="0" distB="0" distL="0" distR="0" wp14:anchorId="3945C5A3" wp14:editId="44BBC612">
            <wp:extent cx="5035137" cy="2196935"/>
            <wp:effectExtent l="0" t="0" r="13335" b="13335"/>
            <wp:docPr id="344"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5B4780" w:rsidRPr="005B4780" w:rsidRDefault="005B4780" w:rsidP="002A4647">
      <w:r w:rsidRPr="005B4780">
        <w:t>El gráfico 12 muestra la evolución de la tasa de comunicación de incidentes transfusionales por cada 10.000 componentes transfundidos en la Comunidad Autónoma de Madrid (según datos del Ministerio de Sanidad, Consumo y Bienestar Social).</w:t>
      </w:r>
    </w:p>
    <w:p w:rsidR="005B4780" w:rsidRPr="005B4780" w:rsidRDefault="005B4780" w:rsidP="002A4647">
      <w:r w:rsidRPr="005B4780">
        <w:t xml:space="preserve">En el gráfico 13 puede apreciarse la evolución tanto de la Comunidad Autónoma de Madrid como del Estado Español desde 2010 hasta la actualidad. </w:t>
      </w:r>
    </w:p>
    <w:p w:rsidR="005B4780" w:rsidRPr="005B4780" w:rsidRDefault="005B4780" w:rsidP="002A4647">
      <w:r w:rsidRPr="005B4780">
        <w:t xml:space="preserve">El gráfico 14 muestra la distribución de los incidentes relacionados con la transfusión por hospitales. No figuran en la tabla los hospitales que no han </w:t>
      </w:r>
      <w:r w:rsidRPr="005B4780">
        <w:lastRenderedPageBreak/>
        <w:t xml:space="preserve">comunicado incidentes. A destacar que entre los tres primeros hospitales comunican el 53.05% de los incidentes. </w:t>
      </w:r>
    </w:p>
    <w:p w:rsidR="005B4780" w:rsidRPr="005B4780" w:rsidRDefault="005B4780" w:rsidP="002A4647">
      <w:r w:rsidRPr="005B4780">
        <w:t>Gráfico 14. Distribución por hospitales de los incidentes comunicados relacionados con la transfusión de componentes sanguíneos.</w:t>
      </w:r>
    </w:p>
    <w:p w:rsidR="005B4780" w:rsidRPr="005B4780" w:rsidRDefault="005B4780" w:rsidP="005B4780">
      <w:pPr>
        <w:rPr>
          <w:szCs w:val="20"/>
          <w:lang w:eastAsia="x-none"/>
        </w:rPr>
      </w:pPr>
      <w:r w:rsidRPr="005B4780">
        <w:rPr>
          <w:szCs w:val="20"/>
          <w:u w:val="single"/>
          <w:lang w:eastAsia="x-none"/>
        </w:rPr>
        <w:drawing>
          <wp:inline distT="0" distB="0" distL="0" distR="0" wp14:anchorId="72AA81CB" wp14:editId="1242401C">
            <wp:extent cx="4987290" cy="2671445"/>
            <wp:effectExtent l="0" t="0" r="3810" b="14605"/>
            <wp:docPr id="345"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5B4780" w:rsidRPr="005B4780" w:rsidRDefault="005B4780" w:rsidP="005B4780">
      <w:pPr>
        <w:rPr>
          <w:szCs w:val="20"/>
          <w:lang w:eastAsia="x-none"/>
        </w:rPr>
      </w:pPr>
    </w:p>
    <w:p w:rsidR="005B4780" w:rsidRPr="005B4780" w:rsidRDefault="005B4780" w:rsidP="002A4647">
      <w:r w:rsidRPr="005B4780">
        <w:t xml:space="preserve">El gráfico 15 hace referencia a los incidentes transfusionales por hospitales, en datos relativos. En términos absolutos, los Hospitales Universitarios Ramón y Cajal, Puerta de Hierro y la Fundación Jiménez Díaz son los hospitales que más incidentes transfusionales ha comunicado. Sin embargo, en términos relativos, son los Hospitales Universitarios Puerta de Hierro, Móstoles y Fundación Jimenez Díaz los que alcanzan las mayores tasas de comunicación de incidentes relacionados con la transfusión. </w:t>
      </w:r>
    </w:p>
    <w:p w:rsidR="005B4780" w:rsidRPr="005B4780" w:rsidRDefault="005B4780" w:rsidP="002A4647"/>
    <w:p w:rsidR="00260936" w:rsidRDefault="00260936">
      <w:pPr>
        <w:jc w:val="left"/>
      </w:pPr>
      <w:r>
        <w:br w:type="page"/>
      </w:r>
    </w:p>
    <w:p w:rsidR="005B4780" w:rsidRPr="005B4780" w:rsidRDefault="005B4780" w:rsidP="002A4647">
      <w:r w:rsidRPr="005B4780">
        <w:lastRenderedPageBreak/>
        <w:t>Gráfico 15. Distribución por hospitales de los incidentes comunicados relacionados con la transfusión de componentes sanguíneos en términos relativos.</w:t>
      </w:r>
    </w:p>
    <w:p w:rsidR="005B4780" w:rsidRPr="005B4780" w:rsidRDefault="005B4780" w:rsidP="005B4780">
      <w:pPr>
        <w:rPr>
          <w:szCs w:val="20"/>
          <w:lang w:eastAsia="x-none"/>
        </w:rPr>
      </w:pPr>
      <w:r w:rsidRPr="005B4780">
        <w:rPr>
          <w:szCs w:val="20"/>
          <w:u w:val="single"/>
          <w:lang w:eastAsia="x-none"/>
        </w:rPr>
        <w:drawing>
          <wp:inline distT="0" distB="0" distL="0" distR="0" wp14:anchorId="12A2334A" wp14:editId="73964B70">
            <wp:extent cx="5023262" cy="2636322"/>
            <wp:effectExtent l="0" t="0" r="6350" b="12065"/>
            <wp:docPr id="346"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5B4780" w:rsidRPr="005B4780" w:rsidRDefault="005B4780" w:rsidP="002A4647"/>
    <w:p w:rsidR="005B4780" w:rsidRPr="005B4780" w:rsidRDefault="005B4780" w:rsidP="002A4647">
      <w:r w:rsidRPr="005B4780">
        <w:t>La tabla 3 muestra el número de incidentes comunicados desde cada hospital de la Comunidad de Madrid (sólo constan los hospitales que refirieron al menos un incidente), el número de componentes sanguíneos transfundidos, y la tasa de comunicación de incidentes, por 10.000 componentes sanguíneos transfundidos.</w:t>
      </w:r>
    </w:p>
    <w:p w:rsidR="005B4780" w:rsidRPr="005B4780" w:rsidRDefault="005B4780" w:rsidP="002A4647"/>
    <w:p w:rsidR="002A4647" w:rsidRDefault="002A4647">
      <w:pPr>
        <w:jc w:val="left"/>
      </w:pPr>
      <w:r>
        <w:br w:type="page"/>
      </w:r>
    </w:p>
    <w:p w:rsidR="005B4780" w:rsidRPr="005B4780" w:rsidRDefault="005B4780" w:rsidP="002A4647">
      <w:r w:rsidRPr="005B4780">
        <w:lastRenderedPageBreak/>
        <w:t>Tabla 3. Incidentes comunicados por hospitales</w:t>
      </w:r>
    </w:p>
    <w:tbl>
      <w:tblPr>
        <w:tblStyle w:val="Tabladecuadrcula5oscura-nfasis5"/>
        <w:tblW w:w="8061" w:type="dxa"/>
        <w:tblLook w:val="0620" w:firstRow="1" w:lastRow="0" w:firstColumn="0" w:lastColumn="0" w:noHBand="1" w:noVBand="1"/>
      </w:tblPr>
      <w:tblGrid>
        <w:gridCol w:w="2715"/>
        <w:gridCol w:w="1785"/>
        <w:gridCol w:w="1645"/>
        <w:gridCol w:w="1916"/>
      </w:tblGrid>
      <w:tr w:rsidR="005B4780" w:rsidRPr="002A4647" w:rsidTr="002A4647">
        <w:trPr>
          <w:cnfStyle w:val="100000000000" w:firstRow="1" w:lastRow="0" w:firstColumn="0" w:lastColumn="0" w:oddVBand="0" w:evenVBand="0" w:oddHBand="0" w:evenHBand="0" w:firstRowFirstColumn="0" w:firstRowLastColumn="0" w:lastRowFirstColumn="0" w:lastRowLastColumn="0"/>
          <w:trHeight w:val="310"/>
        </w:trPr>
        <w:tc>
          <w:tcPr>
            <w:tcW w:w="2715" w:type="dxa"/>
            <w:noWrap/>
          </w:tcPr>
          <w:p w:rsidR="005B4780" w:rsidRPr="002A4647" w:rsidRDefault="005B4780" w:rsidP="005B4780">
            <w:pPr>
              <w:rPr>
                <w:szCs w:val="20"/>
                <w:lang w:eastAsia="x-none"/>
              </w:rPr>
            </w:pPr>
          </w:p>
          <w:p w:rsidR="005B4780" w:rsidRPr="002A4647" w:rsidRDefault="005B4780" w:rsidP="005B4780">
            <w:pPr>
              <w:rPr>
                <w:szCs w:val="20"/>
                <w:lang w:eastAsia="x-none"/>
              </w:rPr>
            </w:pPr>
            <w:r w:rsidRPr="002A4647">
              <w:rPr>
                <w:szCs w:val="20"/>
                <w:lang w:eastAsia="x-none"/>
              </w:rPr>
              <w:t>Hospital</w:t>
            </w:r>
          </w:p>
        </w:tc>
        <w:tc>
          <w:tcPr>
            <w:tcW w:w="1785" w:type="dxa"/>
          </w:tcPr>
          <w:p w:rsidR="005B4780" w:rsidRPr="002A4647" w:rsidRDefault="005B4780" w:rsidP="002A4647">
            <w:pPr>
              <w:jc w:val="center"/>
              <w:rPr>
                <w:szCs w:val="20"/>
                <w:lang w:eastAsia="x-none"/>
              </w:rPr>
            </w:pPr>
            <w:r w:rsidRPr="002A4647">
              <w:rPr>
                <w:szCs w:val="20"/>
                <w:lang w:eastAsia="x-none"/>
              </w:rPr>
              <w:t>Componentes sanguíneos transfundidos</w:t>
            </w:r>
          </w:p>
        </w:tc>
        <w:tc>
          <w:tcPr>
            <w:tcW w:w="1645" w:type="dxa"/>
            <w:noWrap/>
          </w:tcPr>
          <w:p w:rsidR="005B4780" w:rsidRPr="002A4647" w:rsidRDefault="005B4780" w:rsidP="002A4647">
            <w:pPr>
              <w:jc w:val="center"/>
              <w:rPr>
                <w:szCs w:val="20"/>
                <w:lang w:eastAsia="x-none"/>
              </w:rPr>
            </w:pPr>
          </w:p>
          <w:p w:rsidR="005B4780" w:rsidRPr="002A4647" w:rsidRDefault="005B4780" w:rsidP="002A4647">
            <w:pPr>
              <w:jc w:val="center"/>
              <w:rPr>
                <w:szCs w:val="20"/>
                <w:lang w:eastAsia="x-none"/>
              </w:rPr>
            </w:pPr>
            <w:r w:rsidRPr="002A4647">
              <w:rPr>
                <w:szCs w:val="20"/>
                <w:lang w:eastAsia="x-none"/>
              </w:rPr>
              <w:t>Incidentes</w:t>
            </w:r>
          </w:p>
        </w:tc>
        <w:tc>
          <w:tcPr>
            <w:tcW w:w="1916" w:type="dxa"/>
            <w:noWrap/>
          </w:tcPr>
          <w:p w:rsidR="002A4647" w:rsidRPr="002A4647" w:rsidRDefault="005B4780" w:rsidP="002A4647">
            <w:pPr>
              <w:jc w:val="center"/>
              <w:rPr>
                <w:szCs w:val="20"/>
                <w:lang w:eastAsia="x-none"/>
              </w:rPr>
            </w:pPr>
            <w:r w:rsidRPr="002A4647">
              <w:rPr>
                <w:szCs w:val="20"/>
                <w:lang w:eastAsia="x-none"/>
              </w:rPr>
              <w:t xml:space="preserve">Tasa </w:t>
            </w:r>
          </w:p>
          <w:p w:rsidR="005B4780" w:rsidRPr="002A4647" w:rsidRDefault="005B4780" w:rsidP="002A4647">
            <w:pPr>
              <w:jc w:val="center"/>
              <w:rPr>
                <w:szCs w:val="20"/>
                <w:lang w:eastAsia="x-none"/>
              </w:rPr>
            </w:pPr>
            <w:r w:rsidRPr="002A4647">
              <w:rPr>
                <w:szCs w:val="20"/>
                <w:lang w:eastAsia="x-none"/>
              </w:rPr>
              <w:t>(por 10.000 CC.SS. transfundidos)</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 Puerta de Hierro</w:t>
            </w:r>
          </w:p>
        </w:tc>
        <w:tc>
          <w:tcPr>
            <w:tcW w:w="1785" w:type="dxa"/>
            <w:hideMark/>
          </w:tcPr>
          <w:p w:rsidR="005B4780" w:rsidRPr="005B4780" w:rsidRDefault="005B4780" w:rsidP="002A4647">
            <w:pPr>
              <w:jc w:val="center"/>
              <w:rPr>
                <w:szCs w:val="20"/>
                <w:lang w:eastAsia="x-none"/>
              </w:rPr>
            </w:pPr>
            <w:r w:rsidRPr="005B4780">
              <w:rPr>
                <w:szCs w:val="20"/>
                <w:lang w:eastAsia="x-none"/>
              </w:rPr>
              <w:t>18.134</w:t>
            </w:r>
          </w:p>
        </w:tc>
        <w:tc>
          <w:tcPr>
            <w:tcW w:w="1645" w:type="dxa"/>
            <w:noWrap/>
            <w:hideMark/>
          </w:tcPr>
          <w:p w:rsidR="005B4780" w:rsidRPr="005B4780" w:rsidRDefault="005B4780" w:rsidP="002A4647">
            <w:pPr>
              <w:jc w:val="center"/>
              <w:rPr>
                <w:szCs w:val="20"/>
                <w:lang w:eastAsia="x-none"/>
              </w:rPr>
            </w:pPr>
            <w:r w:rsidRPr="005B4780">
              <w:rPr>
                <w:szCs w:val="20"/>
                <w:lang w:eastAsia="x-none"/>
              </w:rPr>
              <w:t>89</w:t>
            </w:r>
          </w:p>
        </w:tc>
        <w:tc>
          <w:tcPr>
            <w:tcW w:w="1916" w:type="dxa"/>
            <w:noWrap/>
            <w:hideMark/>
          </w:tcPr>
          <w:p w:rsidR="005B4780" w:rsidRPr="005B4780" w:rsidRDefault="005B4780" w:rsidP="002A4647">
            <w:pPr>
              <w:jc w:val="center"/>
              <w:rPr>
                <w:szCs w:val="20"/>
                <w:lang w:eastAsia="x-none"/>
              </w:rPr>
            </w:pPr>
            <w:r w:rsidRPr="005B4780">
              <w:rPr>
                <w:szCs w:val="20"/>
                <w:lang w:eastAsia="x-none"/>
              </w:rPr>
              <w:t>49,07</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F. Jiménez Díaz</w:t>
            </w:r>
          </w:p>
        </w:tc>
        <w:tc>
          <w:tcPr>
            <w:tcW w:w="1785" w:type="dxa"/>
            <w:hideMark/>
          </w:tcPr>
          <w:p w:rsidR="005B4780" w:rsidRPr="005B4780" w:rsidRDefault="005B4780" w:rsidP="002A4647">
            <w:pPr>
              <w:jc w:val="center"/>
              <w:rPr>
                <w:szCs w:val="20"/>
                <w:lang w:eastAsia="x-none"/>
              </w:rPr>
            </w:pPr>
            <w:r w:rsidRPr="005B4780">
              <w:rPr>
                <w:szCs w:val="20"/>
                <w:lang w:eastAsia="x-none"/>
              </w:rPr>
              <w:t>12042</w:t>
            </w:r>
          </w:p>
        </w:tc>
        <w:tc>
          <w:tcPr>
            <w:tcW w:w="1645" w:type="dxa"/>
            <w:noWrap/>
            <w:hideMark/>
          </w:tcPr>
          <w:p w:rsidR="005B4780" w:rsidRPr="005B4780" w:rsidRDefault="005B4780" w:rsidP="002A4647">
            <w:pPr>
              <w:jc w:val="center"/>
              <w:rPr>
                <w:szCs w:val="20"/>
                <w:lang w:eastAsia="x-none"/>
              </w:rPr>
            </w:pPr>
            <w:r w:rsidRPr="005B4780">
              <w:rPr>
                <w:szCs w:val="20"/>
                <w:lang w:eastAsia="x-none"/>
              </w:rPr>
              <w:t>67</w:t>
            </w:r>
          </w:p>
        </w:tc>
        <w:tc>
          <w:tcPr>
            <w:tcW w:w="1916" w:type="dxa"/>
            <w:noWrap/>
            <w:hideMark/>
          </w:tcPr>
          <w:p w:rsidR="005B4780" w:rsidRPr="005B4780" w:rsidRDefault="005B4780" w:rsidP="002A4647">
            <w:pPr>
              <w:jc w:val="center"/>
              <w:rPr>
                <w:szCs w:val="20"/>
                <w:lang w:eastAsia="x-none"/>
              </w:rPr>
            </w:pPr>
            <w:r w:rsidRPr="005B4780">
              <w:rPr>
                <w:szCs w:val="20"/>
                <w:lang w:eastAsia="x-none"/>
              </w:rPr>
              <w:t>55,63</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Ramón y Cajal</w:t>
            </w:r>
          </w:p>
        </w:tc>
        <w:tc>
          <w:tcPr>
            <w:tcW w:w="1785" w:type="dxa"/>
            <w:hideMark/>
          </w:tcPr>
          <w:p w:rsidR="005B4780" w:rsidRPr="005B4780" w:rsidRDefault="005B4780" w:rsidP="002A4647">
            <w:pPr>
              <w:jc w:val="center"/>
              <w:rPr>
                <w:szCs w:val="20"/>
                <w:lang w:eastAsia="x-none"/>
              </w:rPr>
            </w:pPr>
            <w:r w:rsidRPr="005B4780">
              <w:rPr>
                <w:szCs w:val="20"/>
                <w:lang w:eastAsia="x-none"/>
              </w:rPr>
              <w:t>18741</w:t>
            </w:r>
          </w:p>
        </w:tc>
        <w:tc>
          <w:tcPr>
            <w:tcW w:w="1645" w:type="dxa"/>
            <w:noWrap/>
            <w:hideMark/>
          </w:tcPr>
          <w:p w:rsidR="005B4780" w:rsidRPr="005B4780" w:rsidRDefault="005B4780" w:rsidP="002A4647">
            <w:pPr>
              <w:jc w:val="center"/>
              <w:rPr>
                <w:szCs w:val="20"/>
                <w:lang w:eastAsia="x-none"/>
              </w:rPr>
            </w:pPr>
            <w:r w:rsidRPr="005B4780">
              <w:rPr>
                <w:szCs w:val="20"/>
                <w:lang w:eastAsia="x-none"/>
              </w:rPr>
              <w:t>44</w:t>
            </w:r>
          </w:p>
        </w:tc>
        <w:tc>
          <w:tcPr>
            <w:tcW w:w="1916" w:type="dxa"/>
            <w:noWrap/>
            <w:hideMark/>
          </w:tcPr>
          <w:p w:rsidR="005B4780" w:rsidRPr="005B4780" w:rsidRDefault="005B4780" w:rsidP="002A4647">
            <w:pPr>
              <w:jc w:val="center"/>
              <w:rPr>
                <w:szCs w:val="20"/>
                <w:lang w:eastAsia="x-none"/>
              </w:rPr>
            </w:pPr>
            <w:r w:rsidRPr="005B4780">
              <w:rPr>
                <w:szCs w:val="20"/>
                <w:lang w:eastAsia="x-none"/>
              </w:rPr>
              <w:t>23,47</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H.G.U. G. Marañón</w:t>
            </w:r>
          </w:p>
        </w:tc>
        <w:tc>
          <w:tcPr>
            <w:tcW w:w="1785" w:type="dxa"/>
            <w:hideMark/>
          </w:tcPr>
          <w:p w:rsidR="005B4780" w:rsidRPr="005B4780" w:rsidRDefault="005B4780" w:rsidP="002A4647">
            <w:pPr>
              <w:jc w:val="center"/>
              <w:rPr>
                <w:szCs w:val="20"/>
                <w:lang w:eastAsia="x-none"/>
              </w:rPr>
            </w:pPr>
            <w:r w:rsidRPr="005B4780">
              <w:rPr>
                <w:szCs w:val="20"/>
                <w:lang w:eastAsia="x-none"/>
              </w:rPr>
              <w:t>30370</w:t>
            </w:r>
          </w:p>
        </w:tc>
        <w:tc>
          <w:tcPr>
            <w:tcW w:w="1645" w:type="dxa"/>
            <w:noWrap/>
            <w:hideMark/>
          </w:tcPr>
          <w:p w:rsidR="005B4780" w:rsidRPr="005B4780" w:rsidRDefault="005B4780" w:rsidP="002A4647">
            <w:pPr>
              <w:jc w:val="center"/>
              <w:rPr>
                <w:szCs w:val="20"/>
                <w:lang w:eastAsia="x-none"/>
              </w:rPr>
            </w:pPr>
            <w:r w:rsidRPr="005B4780">
              <w:rPr>
                <w:szCs w:val="20"/>
                <w:lang w:eastAsia="x-none"/>
              </w:rPr>
              <w:t>20</w:t>
            </w:r>
          </w:p>
        </w:tc>
        <w:tc>
          <w:tcPr>
            <w:tcW w:w="1916" w:type="dxa"/>
            <w:noWrap/>
            <w:hideMark/>
          </w:tcPr>
          <w:p w:rsidR="005B4780" w:rsidRPr="005B4780" w:rsidRDefault="005B4780" w:rsidP="002A4647">
            <w:pPr>
              <w:jc w:val="center"/>
              <w:rPr>
                <w:szCs w:val="20"/>
                <w:lang w:eastAsia="x-none"/>
              </w:rPr>
            </w:pPr>
            <w:r w:rsidRPr="005B4780">
              <w:rPr>
                <w:szCs w:val="20"/>
                <w:lang w:eastAsia="x-none"/>
              </w:rPr>
              <w:t>6,58</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Hospital de Móstoles</w:t>
            </w:r>
          </w:p>
        </w:tc>
        <w:tc>
          <w:tcPr>
            <w:tcW w:w="1785" w:type="dxa"/>
            <w:hideMark/>
          </w:tcPr>
          <w:p w:rsidR="005B4780" w:rsidRPr="005B4780" w:rsidRDefault="005B4780" w:rsidP="002A4647">
            <w:pPr>
              <w:jc w:val="center"/>
              <w:rPr>
                <w:szCs w:val="20"/>
                <w:lang w:eastAsia="x-none"/>
              </w:rPr>
            </w:pPr>
            <w:r w:rsidRPr="005B4780">
              <w:rPr>
                <w:szCs w:val="20"/>
                <w:lang w:eastAsia="x-none"/>
              </w:rPr>
              <w:t>3.507</w:t>
            </w:r>
          </w:p>
        </w:tc>
        <w:tc>
          <w:tcPr>
            <w:tcW w:w="1645" w:type="dxa"/>
            <w:noWrap/>
            <w:hideMark/>
          </w:tcPr>
          <w:p w:rsidR="005B4780" w:rsidRPr="005B4780" w:rsidRDefault="005B4780" w:rsidP="002A4647">
            <w:pPr>
              <w:jc w:val="center"/>
              <w:rPr>
                <w:szCs w:val="20"/>
                <w:lang w:eastAsia="x-none"/>
              </w:rPr>
            </w:pPr>
            <w:r w:rsidRPr="005B4780">
              <w:rPr>
                <w:szCs w:val="20"/>
                <w:lang w:eastAsia="x-none"/>
              </w:rPr>
              <w:t>20</w:t>
            </w:r>
          </w:p>
        </w:tc>
        <w:tc>
          <w:tcPr>
            <w:tcW w:w="1916" w:type="dxa"/>
            <w:noWrap/>
            <w:hideMark/>
          </w:tcPr>
          <w:p w:rsidR="005B4780" w:rsidRPr="005B4780" w:rsidRDefault="005B4780" w:rsidP="002A4647">
            <w:pPr>
              <w:jc w:val="center"/>
              <w:rPr>
                <w:szCs w:val="20"/>
                <w:lang w:eastAsia="x-none"/>
              </w:rPr>
            </w:pPr>
            <w:r w:rsidRPr="005B4780">
              <w:rPr>
                <w:szCs w:val="20"/>
                <w:lang w:eastAsia="x-none"/>
              </w:rPr>
              <w:t>57,02</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Princesa</w:t>
            </w:r>
          </w:p>
        </w:tc>
        <w:tc>
          <w:tcPr>
            <w:tcW w:w="1785" w:type="dxa"/>
            <w:hideMark/>
          </w:tcPr>
          <w:p w:rsidR="005B4780" w:rsidRPr="005B4780" w:rsidRDefault="005B4780" w:rsidP="002A4647">
            <w:pPr>
              <w:jc w:val="center"/>
              <w:rPr>
                <w:szCs w:val="20"/>
                <w:lang w:eastAsia="x-none"/>
              </w:rPr>
            </w:pPr>
            <w:r w:rsidRPr="005B4780">
              <w:rPr>
                <w:szCs w:val="20"/>
                <w:lang w:eastAsia="x-none"/>
              </w:rPr>
              <w:t>11812</w:t>
            </w:r>
          </w:p>
        </w:tc>
        <w:tc>
          <w:tcPr>
            <w:tcW w:w="1645" w:type="dxa"/>
            <w:noWrap/>
            <w:hideMark/>
          </w:tcPr>
          <w:p w:rsidR="005B4780" w:rsidRPr="005B4780" w:rsidRDefault="005B4780" w:rsidP="002A4647">
            <w:pPr>
              <w:jc w:val="center"/>
              <w:rPr>
                <w:szCs w:val="20"/>
                <w:lang w:eastAsia="x-none"/>
              </w:rPr>
            </w:pPr>
            <w:r w:rsidRPr="005B4780">
              <w:rPr>
                <w:szCs w:val="20"/>
                <w:lang w:eastAsia="x-none"/>
              </w:rPr>
              <w:t>19</w:t>
            </w:r>
          </w:p>
        </w:tc>
        <w:tc>
          <w:tcPr>
            <w:tcW w:w="1916" w:type="dxa"/>
            <w:noWrap/>
            <w:hideMark/>
          </w:tcPr>
          <w:p w:rsidR="005B4780" w:rsidRPr="005B4780" w:rsidRDefault="005B4780" w:rsidP="002A4647">
            <w:pPr>
              <w:jc w:val="center"/>
              <w:rPr>
                <w:szCs w:val="20"/>
                <w:lang w:eastAsia="x-none"/>
              </w:rPr>
            </w:pPr>
            <w:r w:rsidRPr="005B4780">
              <w:rPr>
                <w:szCs w:val="20"/>
                <w:lang w:eastAsia="x-none"/>
              </w:rPr>
              <w:t>16,08</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 Infanta Sofía</w:t>
            </w:r>
          </w:p>
        </w:tc>
        <w:tc>
          <w:tcPr>
            <w:tcW w:w="1785" w:type="dxa"/>
            <w:hideMark/>
          </w:tcPr>
          <w:p w:rsidR="005B4780" w:rsidRPr="005B4780" w:rsidRDefault="005B4780" w:rsidP="002A4647">
            <w:pPr>
              <w:jc w:val="center"/>
              <w:rPr>
                <w:szCs w:val="20"/>
                <w:lang w:eastAsia="x-none"/>
              </w:rPr>
            </w:pPr>
            <w:r w:rsidRPr="005B4780">
              <w:rPr>
                <w:szCs w:val="20"/>
                <w:lang w:eastAsia="x-none"/>
              </w:rPr>
              <w:t>6.257</w:t>
            </w:r>
          </w:p>
        </w:tc>
        <w:tc>
          <w:tcPr>
            <w:tcW w:w="1645" w:type="dxa"/>
            <w:noWrap/>
            <w:hideMark/>
          </w:tcPr>
          <w:p w:rsidR="005B4780" w:rsidRPr="005B4780" w:rsidRDefault="005B4780" w:rsidP="002A4647">
            <w:pPr>
              <w:jc w:val="center"/>
              <w:rPr>
                <w:szCs w:val="20"/>
                <w:lang w:eastAsia="x-none"/>
              </w:rPr>
            </w:pPr>
            <w:r w:rsidRPr="005B4780">
              <w:rPr>
                <w:szCs w:val="20"/>
                <w:lang w:eastAsia="x-none"/>
              </w:rPr>
              <w:t>12</w:t>
            </w:r>
          </w:p>
        </w:tc>
        <w:tc>
          <w:tcPr>
            <w:tcW w:w="1916" w:type="dxa"/>
            <w:noWrap/>
            <w:hideMark/>
          </w:tcPr>
          <w:p w:rsidR="005B4780" w:rsidRPr="005B4780" w:rsidRDefault="005B4780" w:rsidP="002A4647">
            <w:pPr>
              <w:jc w:val="center"/>
              <w:rPr>
                <w:szCs w:val="20"/>
                <w:lang w:eastAsia="x-none"/>
              </w:rPr>
            </w:pPr>
            <w:r w:rsidRPr="005B4780">
              <w:rPr>
                <w:szCs w:val="20"/>
                <w:lang w:eastAsia="x-none"/>
              </w:rPr>
              <w:t>19,17</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 Niño Jesús</w:t>
            </w:r>
          </w:p>
        </w:tc>
        <w:tc>
          <w:tcPr>
            <w:tcW w:w="1785" w:type="dxa"/>
            <w:hideMark/>
          </w:tcPr>
          <w:p w:rsidR="005B4780" w:rsidRPr="005B4780" w:rsidRDefault="005B4780" w:rsidP="002A4647">
            <w:pPr>
              <w:jc w:val="center"/>
              <w:rPr>
                <w:szCs w:val="20"/>
                <w:lang w:eastAsia="x-none"/>
              </w:rPr>
            </w:pPr>
            <w:r w:rsidRPr="005B4780">
              <w:rPr>
                <w:szCs w:val="20"/>
                <w:lang w:eastAsia="x-none"/>
              </w:rPr>
              <w:t>3851</w:t>
            </w:r>
          </w:p>
        </w:tc>
        <w:tc>
          <w:tcPr>
            <w:tcW w:w="1645" w:type="dxa"/>
            <w:noWrap/>
            <w:hideMark/>
          </w:tcPr>
          <w:p w:rsidR="005B4780" w:rsidRPr="005B4780" w:rsidRDefault="005B4780" w:rsidP="002A4647">
            <w:pPr>
              <w:jc w:val="center"/>
              <w:rPr>
                <w:szCs w:val="20"/>
                <w:lang w:eastAsia="x-none"/>
              </w:rPr>
            </w:pPr>
            <w:r w:rsidRPr="005B4780">
              <w:rPr>
                <w:szCs w:val="20"/>
                <w:lang w:eastAsia="x-none"/>
              </w:rPr>
              <w:t>8</w:t>
            </w:r>
          </w:p>
        </w:tc>
        <w:tc>
          <w:tcPr>
            <w:tcW w:w="1916" w:type="dxa"/>
            <w:noWrap/>
            <w:hideMark/>
          </w:tcPr>
          <w:p w:rsidR="005B4780" w:rsidRPr="005B4780" w:rsidRDefault="005B4780" w:rsidP="002A4647">
            <w:pPr>
              <w:jc w:val="center"/>
              <w:rPr>
                <w:szCs w:val="20"/>
                <w:lang w:eastAsia="x-none"/>
              </w:rPr>
            </w:pPr>
            <w:r w:rsidRPr="005B4780">
              <w:rPr>
                <w:szCs w:val="20"/>
                <w:lang w:eastAsia="x-none"/>
              </w:rPr>
              <w:t>20,77</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Doce de Octubre</w:t>
            </w:r>
          </w:p>
        </w:tc>
        <w:tc>
          <w:tcPr>
            <w:tcW w:w="1785" w:type="dxa"/>
            <w:hideMark/>
          </w:tcPr>
          <w:p w:rsidR="005B4780" w:rsidRPr="005B4780" w:rsidRDefault="005B4780" w:rsidP="002A4647">
            <w:pPr>
              <w:jc w:val="center"/>
              <w:rPr>
                <w:szCs w:val="20"/>
                <w:lang w:eastAsia="x-none"/>
              </w:rPr>
            </w:pPr>
            <w:r w:rsidRPr="005B4780">
              <w:rPr>
                <w:szCs w:val="20"/>
                <w:lang w:eastAsia="x-none"/>
              </w:rPr>
              <w:t>26913</w:t>
            </w:r>
          </w:p>
        </w:tc>
        <w:tc>
          <w:tcPr>
            <w:tcW w:w="1645" w:type="dxa"/>
            <w:noWrap/>
            <w:hideMark/>
          </w:tcPr>
          <w:p w:rsidR="005B4780" w:rsidRPr="005B4780" w:rsidRDefault="005B4780" w:rsidP="002A4647">
            <w:pPr>
              <w:jc w:val="center"/>
              <w:rPr>
                <w:szCs w:val="20"/>
                <w:lang w:eastAsia="x-none"/>
              </w:rPr>
            </w:pPr>
            <w:r w:rsidRPr="005B4780">
              <w:rPr>
                <w:szCs w:val="20"/>
                <w:lang w:eastAsia="x-none"/>
              </w:rPr>
              <w:t>8</w:t>
            </w:r>
          </w:p>
        </w:tc>
        <w:tc>
          <w:tcPr>
            <w:tcW w:w="1916" w:type="dxa"/>
            <w:noWrap/>
            <w:hideMark/>
          </w:tcPr>
          <w:p w:rsidR="005B4780" w:rsidRPr="005B4780" w:rsidRDefault="005B4780" w:rsidP="002A4647">
            <w:pPr>
              <w:jc w:val="center"/>
              <w:rPr>
                <w:szCs w:val="20"/>
                <w:lang w:eastAsia="x-none"/>
              </w:rPr>
            </w:pPr>
            <w:r w:rsidRPr="005B4780">
              <w:rPr>
                <w:szCs w:val="20"/>
                <w:lang w:eastAsia="x-none"/>
              </w:rPr>
              <w:t>2,97</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Hospital de Getafe</w:t>
            </w:r>
          </w:p>
        </w:tc>
        <w:tc>
          <w:tcPr>
            <w:tcW w:w="1785" w:type="dxa"/>
            <w:hideMark/>
          </w:tcPr>
          <w:p w:rsidR="005B4780" w:rsidRPr="005B4780" w:rsidRDefault="005B4780" w:rsidP="002A4647">
            <w:pPr>
              <w:jc w:val="center"/>
              <w:rPr>
                <w:szCs w:val="20"/>
                <w:lang w:eastAsia="x-none"/>
              </w:rPr>
            </w:pPr>
            <w:r w:rsidRPr="005B4780">
              <w:rPr>
                <w:szCs w:val="20"/>
                <w:lang w:eastAsia="x-none"/>
              </w:rPr>
              <w:t>6047</w:t>
            </w:r>
          </w:p>
        </w:tc>
        <w:tc>
          <w:tcPr>
            <w:tcW w:w="1645" w:type="dxa"/>
            <w:noWrap/>
            <w:hideMark/>
          </w:tcPr>
          <w:p w:rsidR="005B4780" w:rsidRPr="005B4780" w:rsidRDefault="005B4780" w:rsidP="002A4647">
            <w:pPr>
              <w:jc w:val="center"/>
              <w:rPr>
                <w:szCs w:val="20"/>
                <w:lang w:eastAsia="x-none"/>
              </w:rPr>
            </w:pPr>
            <w:r w:rsidRPr="005B4780">
              <w:rPr>
                <w:szCs w:val="20"/>
                <w:lang w:eastAsia="x-none"/>
              </w:rPr>
              <w:t>5</w:t>
            </w:r>
          </w:p>
        </w:tc>
        <w:tc>
          <w:tcPr>
            <w:tcW w:w="1916" w:type="dxa"/>
            <w:noWrap/>
            <w:hideMark/>
          </w:tcPr>
          <w:p w:rsidR="005B4780" w:rsidRPr="005B4780" w:rsidRDefault="005B4780" w:rsidP="002A4647">
            <w:pPr>
              <w:jc w:val="center"/>
              <w:rPr>
                <w:szCs w:val="20"/>
                <w:lang w:eastAsia="x-none"/>
              </w:rPr>
            </w:pPr>
            <w:r w:rsidRPr="005B4780">
              <w:rPr>
                <w:szCs w:val="20"/>
                <w:lang w:eastAsia="x-none"/>
              </w:rPr>
              <w:t>8,26</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Ppe. de Asturias</w:t>
            </w:r>
          </w:p>
        </w:tc>
        <w:tc>
          <w:tcPr>
            <w:tcW w:w="1785" w:type="dxa"/>
            <w:hideMark/>
          </w:tcPr>
          <w:p w:rsidR="005B4780" w:rsidRPr="005B4780" w:rsidRDefault="005B4780" w:rsidP="002A4647">
            <w:pPr>
              <w:jc w:val="center"/>
              <w:rPr>
                <w:szCs w:val="20"/>
                <w:lang w:eastAsia="x-none"/>
              </w:rPr>
            </w:pPr>
            <w:r w:rsidRPr="005B4780">
              <w:rPr>
                <w:szCs w:val="20"/>
                <w:lang w:eastAsia="x-none"/>
              </w:rPr>
              <w:t>6791</w:t>
            </w:r>
          </w:p>
        </w:tc>
        <w:tc>
          <w:tcPr>
            <w:tcW w:w="1645" w:type="dxa"/>
            <w:noWrap/>
            <w:hideMark/>
          </w:tcPr>
          <w:p w:rsidR="005B4780" w:rsidRPr="005B4780" w:rsidRDefault="005B4780" w:rsidP="002A4647">
            <w:pPr>
              <w:jc w:val="center"/>
              <w:rPr>
                <w:szCs w:val="20"/>
                <w:lang w:eastAsia="x-none"/>
              </w:rPr>
            </w:pPr>
            <w:r w:rsidRPr="005B4780">
              <w:rPr>
                <w:szCs w:val="20"/>
                <w:lang w:eastAsia="x-none"/>
              </w:rPr>
              <w:t>5</w:t>
            </w:r>
          </w:p>
        </w:tc>
        <w:tc>
          <w:tcPr>
            <w:tcW w:w="1916" w:type="dxa"/>
            <w:noWrap/>
            <w:hideMark/>
          </w:tcPr>
          <w:p w:rsidR="005B4780" w:rsidRPr="005B4780" w:rsidRDefault="005B4780" w:rsidP="002A4647">
            <w:pPr>
              <w:jc w:val="center"/>
              <w:rPr>
                <w:szCs w:val="20"/>
                <w:lang w:eastAsia="x-none"/>
              </w:rPr>
            </w:pPr>
            <w:r w:rsidRPr="005B4780">
              <w:rPr>
                <w:szCs w:val="20"/>
                <w:lang w:eastAsia="x-none"/>
              </w:rPr>
              <w:t>7,36</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Infanta Leonor</w:t>
            </w:r>
          </w:p>
        </w:tc>
        <w:tc>
          <w:tcPr>
            <w:tcW w:w="1785" w:type="dxa"/>
            <w:hideMark/>
          </w:tcPr>
          <w:p w:rsidR="005B4780" w:rsidRPr="005B4780" w:rsidRDefault="005B4780" w:rsidP="002A4647">
            <w:pPr>
              <w:jc w:val="center"/>
              <w:rPr>
                <w:szCs w:val="20"/>
                <w:lang w:eastAsia="x-none"/>
              </w:rPr>
            </w:pPr>
            <w:r w:rsidRPr="005B4780">
              <w:rPr>
                <w:szCs w:val="20"/>
                <w:lang w:eastAsia="x-none"/>
              </w:rPr>
              <w:t>5.318</w:t>
            </w:r>
          </w:p>
        </w:tc>
        <w:tc>
          <w:tcPr>
            <w:tcW w:w="1645" w:type="dxa"/>
            <w:noWrap/>
            <w:hideMark/>
          </w:tcPr>
          <w:p w:rsidR="005B4780" w:rsidRPr="005B4780" w:rsidRDefault="005B4780" w:rsidP="002A4647">
            <w:pPr>
              <w:jc w:val="center"/>
              <w:rPr>
                <w:szCs w:val="20"/>
                <w:lang w:eastAsia="x-none"/>
              </w:rPr>
            </w:pPr>
            <w:r w:rsidRPr="005B4780">
              <w:rPr>
                <w:szCs w:val="20"/>
                <w:lang w:eastAsia="x-none"/>
              </w:rPr>
              <w:t>5</w:t>
            </w:r>
          </w:p>
        </w:tc>
        <w:tc>
          <w:tcPr>
            <w:tcW w:w="1916" w:type="dxa"/>
            <w:noWrap/>
            <w:hideMark/>
          </w:tcPr>
          <w:p w:rsidR="005B4780" w:rsidRPr="005B4780" w:rsidRDefault="005B4780" w:rsidP="002A4647">
            <w:pPr>
              <w:jc w:val="center"/>
              <w:rPr>
                <w:szCs w:val="20"/>
                <w:lang w:eastAsia="x-none"/>
              </w:rPr>
            </w:pPr>
            <w:r w:rsidRPr="005B4780">
              <w:rPr>
                <w:szCs w:val="20"/>
                <w:lang w:eastAsia="x-none"/>
              </w:rPr>
              <w:t>9,40</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Severo Ochoa</w:t>
            </w:r>
          </w:p>
        </w:tc>
        <w:tc>
          <w:tcPr>
            <w:tcW w:w="1785" w:type="dxa"/>
            <w:hideMark/>
          </w:tcPr>
          <w:p w:rsidR="005B4780" w:rsidRPr="005B4780" w:rsidRDefault="005B4780" w:rsidP="002A4647">
            <w:pPr>
              <w:jc w:val="center"/>
              <w:rPr>
                <w:szCs w:val="20"/>
                <w:lang w:eastAsia="x-none"/>
              </w:rPr>
            </w:pPr>
            <w:r w:rsidRPr="005B4780">
              <w:rPr>
                <w:szCs w:val="20"/>
                <w:lang w:eastAsia="x-none"/>
              </w:rPr>
              <w:t>5670</w:t>
            </w:r>
          </w:p>
        </w:tc>
        <w:tc>
          <w:tcPr>
            <w:tcW w:w="1645" w:type="dxa"/>
            <w:noWrap/>
            <w:hideMark/>
          </w:tcPr>
          <w:p w:rsidR="005B4780" w:rsidRPr="005B4780" w:rsidRDefault="005B4780" w:rsidP="002A4647">
            <w:pPr>
              <w:jc w:val="center"/>
              <w:rPr>
                <w:szCs w:val="20"/>
                <w:lang w:eastAsia="x-none"/>
              </w:rPr>
            </w:pPr>
            <w:r w:rsidRPr="005B4780">
              <w:rPr>
                <w:szCs w:val="20"/>
                <w:lang w:eastAsia="x-none"/>
              </w:rPr>
              <w:t>4</w:t>
            </w:r>
          </w:p>
        </w:tc>
        <w:tc>
          <w:tcPr>
            <w:tcW w:w="1916" w:type="dxa"/>
            <w:noWrap/>
            <w:hideMark/>
          </w:tcPr>
          <w:p w:rsidR="005B4780" w:rsidRPr="005B4780" w:rsidRDefault="005B4780" w:rsidP="002A4647">
            <w:pPr>
              <w:jc w:val="center"/>
              <w:rPr>
                <w:szCs w:val="20"/>
                <w:lang w:eastAsia="x-none"/>
              </w:rPr>
            </w:pPr>
            <w:r w:rsidRPr="005B4780">
              <w:rPr>
                <w:szCs w:val="20"/>
                <w:lang w:eastAsia="x-none"/>
              </w:rPr>
              <w:t>7,05</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Fundación Alcorcón</w:t>
            </w:r>
          </w:p>
        </w:tc>
        <w:tc>
          <w:tcPr>
            <w:tcW w:w="1785" w:type="dxa"/>
            <w:hideMark/>
          </w:tcPr>
          <w:p w:rsidR="005B4780" w:rsidRPr="005B4780" w:rsidRDefault="005B4780" w:rsidP="002A4647">
            <w:pPr>
              <w:jc w:val="center"/>
              <w:rPr>
                <w:szCs w:val="20"/>
                <w:lang w:eastAsia="x-none"/>
              </w:rPr>
            </w:pPr>
            <w:r w:rsidRPr="005B4780">
              <w:rPr>
                <w:szCs w:val="20"/>
                <w:lang w:eastAsia="x-none"/>
              </w:rPr>
              <w:t>4434</w:t>
            </w:r>
          </w:p>
        </w:tc>
        <w:tc>
          <w:tcPr>
            <w:tcW w:w="1645" w:type="dxa"/>
            <w:noWrap/>
            <w:hideMark/>
          </w:tcPr>
          <w:p w:rsidR="005B4780" w:rsidRPr="005B4780" w:rsidRDefault="005B4780" w:rsidP="002A4647">
            <w:pPr>
              <w:jc w:val="center"/>
              <w:rPr>
                <w:szCs w:val="20"/>
                <w:lang w:eastAsia="x-none"/>
              </w:rPr>
            </w:pPr>
            <w:r w:rsidRPr="005B4780">
              <w:rPr>
                <w:szCs w:val="20"/>
                <w:lang w:eastAsia="x-none"/>
              </w:rPr>
              <w:t>4</w:t>
            </w:r>
          </w:p>
        </w:tc>
        <w:tc>
          <w:tcPr>
            <w:tcW w:w="1916" w:type="dxa"/>
            <w:noWrap/>
            <w:hideMark/>
          </w:tcPr>
          <w:p w:rsidR="005B4780" w:rsidRPr="005B4780" w:rsidRDefault="005B4780" w:rsidP="002A4647">
            <w:pPr>
              <w:jc w:val="center"/>
              <w:rPr>
                <w:szCs w:val="20"/>
                <w:lang w:eastAsia="x-none"/>
              </w:rPr>
            </w:pPr>
            <w:r w:rsidRPr="005B4780">
              <w:rPr>
                <w:szCs w:val="20"/>
                <w:lang w:eastAsia="x-none"/>
              </w:rPr>
              <w:t>9,02</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Moncloa</w:t>
            </w:r>
          </w:p>
        </w:tc>
        <w:tc>
          <w:tcPr>
            <w:tcW w:w="1785" w:type="dxa"/>
            <w:hideMark/>
          </w:tcPr>
          <w:p w:rsidR="005B4780" w:rsidRPr="005B4780" w:rsidRDefault="005B4780" w:rsidP="002A4647">
            <w:pPr>
              <w:jc w:val="center"/>
              <w:rPr>
                <w:szCs w:val="20"/>
                <w:lang w:eastAsia="x-none"/>
              </w:rPr>
            </w:pPr>
            <w:r w:rsidRPr="005B4780">
              <w:rPr>
                <w:szCs w:val="20"/>
                <w:lang w:eastAsia="x-none"/>
              </w:rPr>
              <w:t>5027</w:t>
            </w:r>
          </w:p>
        </w:tc>
        <w:tc>
          <w:tcPr>
            <w:tcW w:w="1645" w:type="dxa"/>
            <w:noWrap/>
            <w:hideMark/>
          </w:tcPr>
          <w:p w:rsidR="005B4780" w:rsidRPr="005B4780" w:rsidRDefault="005B4780" w:rsidP="002A4647">
            <w:pPr>
              <w:jc w:val="center"/>
              <w:rPr>
                <w:szCs w:val="20"/>
                <w:lang w:eastAsia="x-none"/>
              </w:rPr>
            </w:pPr>
            <w:r w:rsidRPr="005B4780">
              <w:rPr>
                <w:szCs w:val="20"/>
                <w:lang w:eastAsia="x-none"/>
              </w:rPr>
              <w:t>3</w:t>
            </w:r>
          </w:p>
        </w:tc>
        <w:tc>
          <w:tcPr>
            <w:tcW w:w="1916" w:type="dxa"/>
            <w:noWrap/>
            <w:hideMark/>
          </w:tcPr>
          <w:p w:rsidR="005B4780" w:rsidRPr="005B4780" w:rsidRDefault="005B4780" w:rsidP="002A4647">
            <w:pPr>
              <w:jc w:val="center"/>
              <w:rPr>
                <w:szCs w:val="20"/>
                <w:lang w:eastAsia="x-none"/>
              </w:rPr>
            </w:pPr>
            <w:r w:rsidRPr="005B4780">
              <w:rPr>
                <w:szCs w:val="20"/>
                <w:lang w:eastAsia="x-none"/>
              </w:rPr>
              <w:t>5,96</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Rey Juan Carlos</w:t>
            </w:r>
          </w:p>
        </w:tc>
        <w:tc>
          <w:tcPr>
            <w:tcW w:w="1785" w:type="dxa"/>
            <w:hideMark/>
          </w:tcPr>
          <w:p w:rsidR="005B4780" w:rsidRPr="005B4780" w:rsidRDefault="005B4780" w:rsidP="002A4647">
            <w:pPr>
              <w:jc w:val="center"/>
              <w:rPr>
                <w:szCs w:val="20"/>
                <w:lang w:eastAsia="x-none"/>
              </w:rPr>
            </w:pPr>
            <w:r w:rsidRPr="005B4780">
              <w:rPr>
                <w:szCs w:val="20"/>
                <w:lang w:eastAsia="x-none"/>
              </w:rPr>
              <w:t>6886</w:t>
            </w:r>
          </w:p>
        </w:tc>
        <w:tc>
          <w:tcPr>
            <w:tcW w:w="1645" w:type="dxa"/>
            <w:noWrap/>
            <w:hideMark/>
          </w:tcPr>
          <w:p w:rsidR="005B4780" w:rsidRPr="005B4780" w:rsidRDefault="005B4780" w:rsidP="002A4647">
            <w:pPr>
              <w:jc w:val="center"/>
              <w:rPr>
                <w:szCs w:val="20"/>
                <w:lang w:eastAsia="x-none"/>
              </w:rPr>
            </w:pPr>
            <w:r w:rsidRPr="005B4780">
              <w:rPr>
                <w:szCs w:val="20"/>
                <w:lang w:eastAsia="x-none"/>
              </w:rPr>
              <w:t>2</w:t>
            </w:r>
          </w:p>
        </w:tc>
        <w:tc>
          <w:tcPr>
            <w:tcW w:w="1916" w:type="dxa"/>
            <w:noWrap/>
            <w:hideMark/>
          </w:tcPr>
          <w:p w:rsidR="005B4780" w:rsidRPr="005B4780" w:rsidRDefault="005B4780" w:rsidP="002A4647">
            <w:pPr>
              <w:jc w:val="center"/>
              <w:rPr>
                <w:szCs w:val="20"/>
                <w:lang w:eastAsia="x-none"/>
              </w:rPr>
            </w:pPr>
            <w:r w:rsidRPr="005B4780">
              <w:rPr>
                <w:szCs w:val="20"/>
                <w:lang w:eastAsia="x-none"/>
              </w:rPr>
              <w:t>2,90</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Clínica La Luz</w:t>
            </w:r>
          </w:p>
        </w:tc>
        <w:tc>
          <w:tcPr>
            <w:tcW w:w="1785" w:type="dxa"/>
            <w:hideMark/>
          </w:tcPr>
          <w:p w:rsidR="005B4780" w:rsidRPr="005B4780" w:rsidRDefault="005B4780" w:rsidP="002A4647">
            <w:pPr>
              <w:jc w:val="center"/>
              <w:rPr>
                <w:szCs w:val="20"/>
                <w:lang w:eastAsia="x-none"/>
              </w:rPr>
            </w:pPr>
            <w:r w:rsidRPr="005B4780">
              <w:rPr>
                <w:szCs w:val="20"/>
                <w:lang w:eastAsia="x-none"/>
              </w:rPr>
              <w:t>1513</w:t>
            </w:r>
          </w:p>
        </w:tc>
        <w:tc>
          <w:tcPr>
            <w:tcW w:w="1645" w:type="dxa"/>
            <w:noWrap/>
            <w:hideMark/>
          </w:tcPr>
          <w:p w:rsidR="005B4780" w:rsidRPr="005B4780" w:rsidRDefault="005B4780" w:rsidP="002A4647">
            <w:pPr>
              <w:jc w:val="center"/>
              <w:rPr>
                <w:szCs w:val="20"/>
                <w:lang w:eastAsia="x-none"/>
              </w:rPr>
            </w:pPr>
            <w:r w:rsidRPr="005B4780">
              <w:rPr>
                <w:szCs w:val="20"/>
                <w:lang w:eastAsia="x-none"/>
              </w:rPr>
              <w:t>2</w:t>
            </w:r>
          </w:p>
        </w:tc>
        <w:tc>
          <w:tcPr>
            <w:tcW w:w="1916" w:type="dxa"/>
            <w:noWrap/>
            <w:hideMark/>
          </w:tcPr>
          <w:p w:rsidR="005B4780" w:rsidRPr="005B4780" w:rsidRDefault="005B4780" w:rsidP="002A4647">
            <w:pPr>
              <w:jc w:val="center"/>
              <w:rPr>
                <w:szCs w:val="20"/>
                <w:lang w:eastAsia="x-none"/>
              </w:rPr>
            </w:pPr>
            <w:r w:rsidRPr="005B4780">
              <w:rPr>
                <w:szCs w:val="20"/>
                <w:lang w:eastAsia="x-none"/>
              </w:rPr>
              <w:t>13,21</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 Henares</w:t>
            </w:r>
          </w:p>
        </w:tc>
        <w:tc>
          <w:tcPr>
            <w:tcW w:w="1785" w:type="dxa"/>
            <w:hideMark/>
          </w:tcPr>
          <w:p w:rsidR="005B4780" w:rsidRPr="005B4780" w:rsidRDefault="005B4780" w:rsidP="002A4647">
            <w:pPr>
              <w:jc w:val="center"/>
              <w:rPr>
                <w:szCs w:val="20"/>
                <w:lang w:eastAsia="x-none"/>
              </w:rPr>
            </w:pPr>
            <w:r w:rsidRPr="005B4780">
              <w:rPr>
                <w:szCs w:val="20"/>
                <w:lang w:eastAsia="x-none"/>
              </w:rPr>
              <w:t>3.485</w:t>
            </w:r>
          </w:p>
        </w:tc>
        <w:tc>
          <w:tcPr>
            <w:tcW w:w="1645" w:type="dxa"/>
            <w:noWrap/>
            <w:hideMark/>
          </w:tcPr>
          <w:p w:rsidR="005B4780" w:rsidRPr="005B4780" w:rsidRDefault="005B4780" w:rsidP="002A4647">
            <w:pPr>
              <w:jc w:val="center"/>
              <w:rPr>
                <w:szCs w:val="20"/>
                <w:lang w:eastAsia="x-none"/>
              </w:rPr>
            </w:pPr>
            <w:r w:rsidRPr="005B4780">
              <w:rPr>
                <w:szCs w:val="20"/>
                <w:lang w:eastAsia="x-none"/>
              </w:rPr>
              <w:t>2</w:t>
            </w:r>
          </w:p>
        </w:tc>
        <w:tc>
          <w:tcPr>
            <w:tcW w:w="1916" w:type="dxa"/>
            <w:noWrap/>
            <w:hideMark/>
          </w:tcPr>
          <w:p w:rsidR="005B4780" w:rsidRPr="005B4780" w:rsidRDefault="005B4780" w:rsidP="002A4647">
            <w:pPr>
              <w:jc w:val="center"/>
              <w:rPr>
                <w:szCs w:val="20"/>
                <w:lang w:eastAsia="x-none"/>
              </w:rPr>
            </w:pPr>
            <w:r w:rsidRPr="005B4780">
              <w:rPr>
                <w:szCs w:val="20"/>
                <w:lang w:eastAsia="x-none"/>
              </w:rPr>
              <w:t>5,73</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Sanchinarro</w:t>
            </w:r>
          </w:p>
        </w:tc>
        <w:tc>
          <w:tcPr>
            <w:tcW w:w="1785" w:type="dxa"/>
            <w:hideMark/>
          </w:tcPr>
          <w:p w:rsidR="005B4780" w:rsidRPr="005B4780" w:rsidRDefault="005B4780" w:rsidP="002A4647">
            <w:pPr>
              <w:jc w:val="center"/>
              <w:rPr>
                <w:szCs w:val="20"/>
                <w:lang w:eastAsia="x-none"/>
              </w:rPr>
            </w:pPr>
            <w:r w:rsidRPr="005B4780">
              <w:rPr>
                <w:szCs w:val="20"/>
                <w:lang w:eastAsia="x-none"/>
              </w:rPr>
              <w:t>11055</w:t>
            </w:r>
          </w:p>
        </w:tc>
        <w:tc>
          <w:tcPr>
            <w:tcW w:w="1645" w:type="dxa"/>
            <w:noWrap/>
            <w:hideMark/>
          </w:tcPr>
          <w:p w:rsidR="005B4780" w:rsidRPr="005B4780" w:rsidRDefault="005B4780" w:rsidP="002A4647">
            <w:pPr>
              <w:jc w:val="center"/>
              <w:rPr>
                <w:szCs w:val="20"/>
                <w:lang w:eastAsia="x-none"/>
              </w:rPr>
            </w:pPr>
            <w:r w:rsidRPr="005B4780">
              <w:rPr>
                <w:szCs w:val="20"/>
                <w:lang w:eastAsia="x-none"/>
              </w:rPr>
              <w:t>2</w:t>
            </w:r>
          </w:p>
        </w:tc>
        <w:tc>
          <w:tcPr>
            <w:tcW w:w="1916" w:type="dxa"/>
            <w:noWrap/>
            <w:hideMark/>
          </w:tcPr>
          <w:p w:rsidR="005B4780" w:rsidRPr="005B4780" w:rsidRDefault="005B4780" w:rsidP="002A4647">
            <w:pPr>
              <w:jc w:val="center"/>
              <w:rPr>
                <w:szCs w:val="20"/>
                <w:lang w:eastAsia="x-none"/>
              </w:rPr>
            </w:pPr>
            <w:r w:rsidRPr="005B4780">
              <w:rPr>
                <w:szCs w:val="20"/>
                <w:lang w:eastAsia="x-none"/>
              </w:rPr>
              <w:t>1,80</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C.O. MD. Anderson</w:t>
            </w:r>
          </w:p>
        </w:tc>
        <w:tc>
          <w:tcPr>
            <w:tcW w:w="1785" w:type="dxa"/>
            <w:hideMark/>
          </w:tcPr>
          <w:p w:rsidR="005B4780" w:rsidRPr="005B4780" w:rsidRDefault="005B4780" w:rsidP="002A4647">
            <w:pPr>
              <w:jc w:val="center"/>
              <w:rPr>
                <w:szCs w:val="20"/>
                <w:lang w:eastAsia="x-none"/>
              </w:rPr>
            </w:pPr>
            <w:r w:rsidRPr="005B4780">
              <w:rPr>
                <w:szCs w:val="20"/>
                <w:lang w:eastAsia="x-none"/>
              </w:rPr>
              <w:t>2095</w:t>
            </w:r>
          </w:p>
        </w:tc>
        <w:tc>
          <w:tcPr>
            <w:tcW w:w="1645" w:type="dxa"/>
            <w:noWrap/>
            <w:hideMark/>
          </w:tcPr>
          <w:p w:rsidR="005B4780" w:rsidRPr="005B4780" w:rsidRDefault="005B4780" w:rsidP="002A4647">
            <w:pPr>
              <w:jc w:val="center"/>
              <w:rPr>
                <w:szCs w:val="20"/>
                <w:lang w:eastAsia="x-none"/>
              </w:rPr>
            </w:pPr>
            <w:r w:rsidRPr="005B4780">
              <w:rPr>
                <w:szCs w:val="20"/>
                <w:lang w:eastAsia="x-none"/>
              </w:rPr>
              <w:t>2</w:t>
            </w:r>
          </w:p>
        </w:tc>
        <w:tc>
          <w:tcPr>
            <w:tcW w:w="1916" w:type="dxa"/>
            <w:noWrap/>
            <w:hideMark/>
          </w:tcPr>
          <w:p w:rsidR="005B4780" w:rsidRPr="005B4780" w:rsidRDefault="005B4780" w:rsidP="002A4647">
            <w:pPr>
              <w:jc w:val="center"/>
              <w:rPr>
                <w:szCs w:val="20"/>
                <w:lang w:eastAsia="x-none"/>
              </w:rPr>
            </w:pPr>
            <w:r w:rsidRPr="005B4780">
              <w:rPr>
                <w:szCs w:val="20"/>
                <w:lang w:eastAsia="x-none"/>
              </w:rPr>
              <w:t>9,54</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 xml:space="preserve">    C. N. Sra de América</w:t>
            </w:r>
          </w:p>
        </w:tc>
        <w:tc>
          <w:tcPr>
            <w:tcW w:w="1785" w:type="dxa"/>
            <w:hideMark/>
          </w:tcPr>
          <w:p w:rsidR="005B4780" w:rsidRPr="005B4780" w:rsidRDefault="005B4780" w:rsidP="002A4647">
            <w:pPr>
              <w:jc w:val="center"/>
              <w:rPr>
                <w:szCs w:val="20"/>
                <w:lang w:eastAsia="x-none"/>
              </w:rPr>
            </w:pPr>
            <w:r w:rsidRPr="005B4780">
              <w:rPr>
                <w:szCs w:val="20"/>
                <w:lang w:eastAsia="x-none"/>
              </w:rPr>
              <w:t>929</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10,76</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 de El Escorial</w:t>
            </w:r>
          </w:p>
        </w:tc>
        <w:tc>
          <w:tcPr>
            <w:tcW w:w="1785" w:type="dxa"/>
            <w:hideMark/>
          </w:tcPr>
          <w:p w:rsidR="005B4780" w:rsidRPr="005B4780" w:rsidRDefault="005B4780" w:rsidP="002A4647">
            <w:pPr>
              <w:jc w:val="center"/>
              <w:rPr>
                <w:szCs w:val="20"/>
                <w:lang w:eastAsia="x-none"/>
              </w:rPr>
            </w:pPr>
            <w:r w:rsidRPr="005B4780">
              <w:rPr>
                <w:szCs w:val="20"/>
                <w:lang w:eastAsia="x-none"/>
              </w:rPr>
              <w:t>1453</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6,88</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Clínica Cemtro</w:t>
            </w:r>
          </w:p>
        </w:tc>
        <w:tc>
          <w:tcPr>
            <w:tcW w:w="1785" w:type="dxa"/>
            <w:hideMark/>
          </w:tcPr>
          <w:p w:rsidR="005B4780" w:rsidRPr="005B4780" w:rsidRDefault="005B4780" w:rsidP="002A4647">
            <w:pPr>
              <w:jc w:val="center"/>
              <w:rPr>
                <w:szCs w:val="20"/>
                <w:lang w:eastAsia="x-none"/>
              </w:rPr>
            </w:pPr>
            <w:r w:rsidRPr="005B4780">
              <w:rPr>
                <w:szCs w:val="20"/>
                <w:lang w:eastAsia="x-none"/>
              </w:rPr>
              <w:t>664</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15,06</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La Zarzuela</w:t>
            </w:r>
          </w:p>
        </w:tc>
        <w:tc>
          <w:tcPr>
            <w:tcW w:w="1785" w:type="dxa"/>
            <w:hideMark/>
          </w:tcPr>
          <w:p w:rsidR="005B4780" w:rsidRPr="005B4780" w:rsidRDefault="005B4780" w:rsidP="002A4647">
            <w:pPr>
              <w:jc w:val="center"/>
              <w:rPr>
                <w:szCs w:val="20"/>
                <w:lang w:eastAsia="x-none"/>
              </w:rPr>
            </w:pPr>
            <w:r w:rsidRPr="005B4780">
              <w:rPr>
                <w:szCs w:val="20"/>
                <w:lang w:eastAsia="x-none"/>
              </w:rPr>
              <w:t>2.168</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4,61</w:t>
            </w:r>
          </w:p>
        </w:tc>
      </w:tr>
      <w:tr w:rsidR="005B4780" w:rsidRPr="005B4780" w:rsidTr="002A4647">
        <w:trPr>
          <w:trHeight w:val="310"/>
        </w:trPr>
        <w:tc>
          <w:tcPr>
            <w:tcW w:w="2715" w:type="dxa"/>
            <w:hideMark/>
          </w:tcPr>
          <w:p w:rsidR="005B4780" w:rsidRPr="005B4780" w:rsidRDefault="005B4780" w:rsidP="005B4780">
            <w:pPr>
              <w:rPr>
                <w:szCs w:val="20"/>
                <w:lang w:eastAsia="x-none"/>
              </w:rPr>
            </w:pPr>
            <w:r w:rsidRPr="005B4780">
              <w:rPr>
                <w:szCs w:val="20"/>
                <w:lang w:eastAsia="x-none"/>
              </w:rPr>
              <w:t>H. Sur</w:t>
            </w:r>
          </w:p>
        </w:tc>
        <w:tc>
          <w:tcPr>
            <w:tcW w:w="1785" w:type="dxa"/>
            <w:hideMark/>
          </w:tcPr>
          <w:p w:rsidR="005B4780" w:rsidRPr="005B4780" w:rsidRDefault="005B4780" w:rsidP="002A4647">
            <w:pPr>
              <w:jc w:val="center"/>
              <w:rPr>
                <w:szCs w:val="20"/>
                <w:lang w:eastAsia="x-none"/>
              </w:rPr>
            </w:pPr>
            <w:r w:rsidRPr="005B4780">
              <w:rPr>
                <w:szCs w:val="20"/>
                <w:lang w:eastAsia="x-none"/>
              </w:rPr>
              <w:t>1063</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9,40</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Torrejón</w:t>
            </w:r>
          </w:p>
        </w:tc>
        <w:tc>
          <w:tcPr>
            <w:tcW w:w="1785" w:type="dxa"/>
            <w:hideMark/>
          </w:tcPr>
          <w:p w:rsidR="005B4780" w:rsidRPr="005B4780" w:rsidRDefault="005B4780" w:rsidP="002A4647">
            <w:pPr>
              <w:jc w:val="center"/>
              <w:rPr>
                <w:szCs w:val="20"/>
                <w:lang w:eastAsia="x-none"/>
              </w:rPr>
            </w:pPr>
            <w:r w:rsidRPr="005B4780">
              <w:rPr>
                <w:szCs w:val="20"/>
                <w:lang w:eastAsia="x-none"/>
              </w:rPr>
              <w:t>2.329</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4,29</w:t>
            </w:r>
          </w:p>
        </w:tc>
      </w:tr>
      <w:tr w:rsidR="005B4780" w:rsidRPr="005B4780" w:rsidTr="002A4647">
        <w:trPr>
          <w:trHeight w:val="310"/>
        </w:trPr>
        <w:tc>
          <w:tcPr>
            <w:tcW w:w="2715" w:type="dxa"/>
            <w:noWrap/>
            <w:hideMark/>
          </w:tcPr>
          <w:p w:rsidR="005B4780" w:rsidRPr="005B4780" w:rsidRDefault="005B4780" w:rsidP="005B4780">
            <w:pPr>
              <w:rPr>
                <w:szCs w:val="20"/>
                <w:lang w:eastAsia="x-none"/>
              </w:rPr>
            </w:pPr>
            <w:r w:rsidRPr="005B4780">
              <w:rPr>
                <w:szCs w:val="20"/>
                <w:lang w:eastAsia="x-none"/>
              </w:rPr>
              <w:t>H. La Paz</w:t>
            </w:r>
          </w:p>
        </w:tc>
        <w:tc>
          <w:tcPr>
            <w:tcW w:w="1785" w:type="dxa"/>
            <w:hideMark/>
          </w:tcPr>
          <w:p w:rsidR="005B4780" w:rsidRPr="005B4780" w:rsidRDefault="005B4780" w:rsidP="002A4647">
            <w:pPr>
              <w:jc w:val="center"/>
              <w:rPr>
                <w:szCs w:val="20"/>
                <w:lang w:eastAsia="x-none"/>
              </w:rPr>
            </w:pPr>
            <w:r w:rsidRPr="005B4780">
              <w:rPr>
                <w:szCs w:val="20"/>
                <w:lang w:eastAsia="x-none"/>
              </w:rPr>
              <w:t>23825</w:t>
            </w:r>
          </w:p>
        </w:tc>
        <w:tc>
          <w:tcPr>
            <w:tcW w:w="1645" w:type="dxa"/>
            <w:noWrap/>
            <w:hideMark/>
          </w:tcPr>
          <w:p w:rsidR="005B4780" w:rsidRPr="005B4780" w:rsidRDefault="005B4780" w:rsidP="002A4647">
            <w:pPr>
              <w:jc w:val="center"/>
              <w:rPr>
                <w:szCs w:val="20"/>
                <w:lang w:eastAsia="x-none"/>
              </w:rPr>
            </w:pPr>
            <w:r w:rsidRPr="005B4780">
              <w:rPr>
                <w:szCs w:val="20"/>
                <w:lang w:eastAsia="x-none"/>
              </w:rPr>
              <w:t>1</w:t>
            </w:r>
          </w:p>
        </w:tc>
        <w:tc>
          <w:tcPr>
            <w:tcW w:w="1916" w:type="dxa"/>
            <w:noWrap/>
            <w:hideMark/>
          </w:tcPr>
          <w:p w:rsidR="005B4780" w:rsidRPr="005B4780" w:rsidRDefault="005B4780" w:rsidP="002A4647">
            <w:pPr>
              <w:jc w:val="center"/>
              <w:rPr>
                <w:szCs w:val="20"/>
                <w:lang w:eastAsia="x-none"/>
              </w:rPr>
            </w:pPr>
            <w:r w:rsidRPr="005B4780">
              <w:rPr>
                <w:szCs w:val="20"/>
                <w:lang w:eastAsia="x-none"/>
              </w:rPr>
              <w:t>0,41</w:t>
            </w:r>
          </w:p>
        </w:tc>
      </w:tr>
    </w:tbl>
    <w:p w:rsidR="005B4780" w:rsidRPr="005B4780" w:rsidRDefault="005B4780" w:rsidP="005B4780">
      <w:pPr>
        <w:rPr>
          <w:szCs w:val="20"/>
          <w:lang w:eastAsia="x-none"/>
        </w:rPr>
      </w:pPr>
    </w:p>
    <w:p w:rsidR="005B4780" w:rsidRPr="005B4780" w:rsidRDefault="005B4780" w:rsidP="002A4647">
      <w:r w:rsidRPr="005B4780">
        <w:t>Por otra parte, el componente sanguíneo más frecuentemente implicado en los incidentes transfusionales fueron los hematíes (76,06%) seguidos de las plaquetas (13,63%) y el plasma (8,18%). Finalmente existe un 2,12% en donde no se puede determinar cuál fue el componente sanguíneo implicado, al producirse el incidente en relación con la administración de más de un componente. Estos resultados se muestran en el Gráfico 16.</w:t>
      </w:r>
    </w:p>
    <w:p w:rsidR="005B4780" w:rsidRPr="005B4780" w:rsidRDefault="005B4780" w:rsidP="002A4647"/>
    <w:p w:rsidR="005B4780" w:rsidRPr="005B4780" w:rsidRDefault="005B4780" w:rsidP="002A4647"/>
    <w:p w:rsidR="00260936" w:rsidRDefault="00260936">
      <w:pPr>
        <w:jc w:val="left"/>
      </w:pPr>
      <w:r>
        <w:br w:type="page"/>
      </w:r>
    </w:p>
    <w:p w:rsidR="005B4780" w:rsidRPr="005B4780" w:rsidRDefault="005B4780" w:rsidP="002A4647">
      <w:r w:rsidRPr="005B4780">
        <w:lastRenderedPageBreak/>
        <w:t>Gráfico 16. Distribución de incidentes según componente sanguíneo implicado.</w:t>
      </w:r>
    </w:p>
    <w:p w:rsidR="005B4780" w:rsidRPr="005B4780" w:rsidRDefault="005B4780" w:rsidP="005B4780">
      <w:pPr>
        <w:rPr>
          <w:szCs w:val="20"/>
          <w:lang w:eastAsia="x-none"/>
        </w:rPr>
      </w:pPr>
      <w:r w:rsidRPr="005B4780">
        <w:rPr>
          <w:szCs w:val="20"/>
          <w:lang w:eastAsia="x-none"/>
        </w:rPr>
        <w:drawing>
          <wp:inline distT="0" distB="0" distL="0" distR="0" wp14:anchorId="67D8F24F" wp14:editId="08D4ACD3">
            <wp:extent cx="5035137" cy="2327563"/>
            <wp:effectExtent l="0" t="0" r="13335" b="15875"/>
            <wp:docPr id="347" name="Gráfico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5B4780" w:rsidRPr="005B4780" w:rsidRDefault="005B4780" w:rsidP="005B4780">
      <w:pPr>
        <w:rPr>
          <w:szCs w:val="20"/>
          <w:lang w:eastAsia="x-none"/>
        </w:rPr>
      </w:pPr>
    </w:p>
    <w:p w:rsidR="005B4780" w:rsidRPr="005B4780" w:rsidRDefault="005B4780" w:rsidP="002A4647">
      <w:r w:rsidRPr="005B4780">
        <w:t>Si tenemos en cuenta la tasa de incidentes relacionados con la transfusión de los distintos componentes sanguíneos, incluidos las reacciones transfusionales, los incidentes sin efecto o “casi incidentes” y los errores en la transfusión de componentes, se evidencia que, aunque, en términos absolutos, el mayor número de incidentes se producen en la transfusión de concentrados de hematíes, cuando tenemos en cuenta el número de incidentes en relación con los productos trasfundidos presentan similitud en cuanto a la frecuencia de incidente asociado, presentando los hematíes ( 1,3‰), seguido de plaquetas (1.20‰), y de plasma (1 ‰).</w:t>
      </w:r>
    </w:p>
    <w:p w:rsidR="005B4780" w:rsidRPr="005B4780" w:rsidRDefault="005B4780" w:rsidP="002A4647">
      <w:r w:rsidRPr="005B4780">
        <w:t xml:space="preserve">Esto significa que el incidente transfusional se produce al recibir CH en 1 de cada 769,  al recibir plaquetas en 1 de cada 833 trasfusiones, y al recibir plasma es cuando el riesgo es menor, en 1 de cada 1000.  </w:t>
      </w:r>
      <w:r w:rsidRPr="005B4780">
        <w:tab/>
      </w:r>
    </w:p>
    <w:p w:rsidR="005B4780" w:rsidRPr="005B4780" w:rsidRDefault="005B4780" w:rsidP="002A4647"/>
    <w:p w:rsidR="005B4780" w:rsidRPr="005B4780" w:rsidRDefault="005B4780" w:rsidP="002A4647">
      <w:pPr>
        <w:pStyle w:val="Ttulo3"/>
      </w:pPr>
      <w:r w:rsidRPr="005B4780">
        <w:t xml:space="preserve">Distribución de los incidentes relacionados con la transfusión sanguínea: </w:t>
      </w:r>
    </w:p>
    <w:p w:rsidR="002A4647" w:rsidRDefault="002A4647" w:rsidP="005B4780">
      <w:pPr>
        <w:rPr>
          <w:szCs w:val="20"/>
          <w:lang w:eastAsia="x-none"/>
        </w:rPr>
      </w:pPr>
    </w:p>
    <w:p w:rsidR="005B4780" w:rsidRPr="005B4780" w:rsidRDefault="005B4780" w:rsidP="002A4647">
      <w:r w:rsidRPr="005B4780">
        <w:t xml:space="preserve">Las reacciones adversas transfusionales constituyen el grupo más numeroso de los incidentes relacionados con la transfusión de componentes sanguíneos (80,10%), seguidas de los incidentes sin efecto o “casi incidentes” (12,46%), y siendo los errores en la administración de componentes el tipo más infrecuente (7,42%). La distribución por el tipo de incidente se muestra en la tabla 4 y en el Gráfico 17. </w:t>
      </w:r>
    </w:p>
    <w:p w:rsidR="005B4780" w:rsidRPr="005B4780" w:rsidRDefault="005B4780" w:rsidP="002A4647">
      <w:r w:rsidRPr="005B4780">
        <w:t>En el total se consideran 306 incidentes relacionados con la transfusión de componentes sanguíneos, ya que 4 errores en la administración de componentes produjeron además reacción adversa transfusional (prurito laríngeo, escalofríos acompañado de disnea, hemoglobinuria, náuseas y vómitos; escalofríos y hemoglobinuria, y se consideran por tanto también en los grupos de reacciones adversas transfusionales).</w:t>
      </w:r>
    </w:p>
    <w:p w:rsidR="005B4780" w:rsidRPr="005B4780" w:rsidRDefault="005B4780" w:rsidP="002A4647"/>
    <w:p w:rsidR="005B4780" w:rsidRPr="005B4780" w:rsidRDefault="005B4780" w:rsidP="002A4647">
      <w:r w:rsidRPr="005B4780">
        <w:t xml:space="preserve">Tabla 4. </w:t>
      </w:r>
    </w:p>
    <w:tbl>
      <w:tblPr>
        <w:tblStyle w:val="Tabladecuadrcula5oscura-nfasis5"/>
        <w:tblW w:w="0" w:type="auto"/>
        <w:tblLook w:val="0660" w:firstRow="1" w:lastRow="1" w:firstColumn="0" w:lastColumn="0" w:noHBand="1" w:noVBand="1"/>
      </w:tblPr>
      <w:tblGrid>
        <w:gridCol w:w="4341"/>
        <w:gridCol w:w="1825"/>
        <w:gridCol w:w="1761"/>
      </w:tblGrid>
      <w:tr w:rsidR="005B4780" w:rsidRPr="002A4647" w:rsidTr="002A4647">
        <w:trPr>
          <w:cnfStyle w:val="100000000000" w:firstRow="1" w:lastRow="0" w:firstColumn="0" w:lastColumn="0" w:oddVBand="0" w:evenVBand="0" w:oddHBand="0" w:evenHBand="0" w:firstRowFirstColumn="0" w:firstRowLastColumn="0" w:lastRowFirstColumn="0" w:lastRowLastColumn="0"/>
          <w:trHeight w:val="427"/>
        </w:trPr>
        <w:tc>
          <w:tcPr>
            <w:tcW w:w="4594" w:type="dxa"/>
          </w:tcPr>
          <w:p w:rsidR="005B4780" w:rsidRPr="002A4647" w:rsidRDefault="005B4780" w:rsidP="002A4647">
            <w:pPr>
              <w:jc w:val="left"/>
              <w:rPr>
                <w:szCs w:val="20"/>
                <w:lang w:eastAsia="x-none"/>
              </w:rPr>
            </w:pPr>
            <w:r w:rsidRPr="002A4647">
              <w:rPr>
                <w:szCs w:val="20"/>
                <w:lang w:eastAsia="x-none"/>
              </w:rPr>
              <w:t>Tipo de incidente</w:t>
            </w:r>
          </w:p>
        </w:tc>
        <w:tc>
          <w:tcPr>
            <w:tcW w:w="1946" w:type="dxa"/>
          </w:tcPr>
          <w:p w:rsidR="005B4780" w:rsidRPr="002A4647" w:rsidRDefault="005B4780" w:rsidP="002A4647">
            <w:pPr>
              <w:jc w:val="center"/>
              <w:rPr>
                <w:szCs w:val="20"/>
                <w:lang w:eastAsia="x-none"/>
              </w:rPr>
            </w:pPr>
            <w:r w:rsidRPr="002A4647">
              <w:rPr>
                <w:szCs w:val="20"/>
                <w:lang w:eastAsia="x-none"/>
              </w:rPr>
              <w:t>N</w:t>
            </w:r>
          </w:p>
        </w:tc>
        <w:tc>
          <w:tcPr>
            <w:tcW w:w="1846" w:type="dxa"/>
          </w:tcPr>
          <w:p w:rsidR="005B4780" w:rsidRPr="002A4647" w:rsidRDefault="005B4780" w:rsidP="002A4647">
            <w:pPr>
              <w:jc w:val="center"/>
              <w:rPr>
                <w:szCs w:val="20"/>
                <w:lang w:eastAsia="x-none"/>
              </w:rPr>
            </w:pPr>
            <w:r w:rsidRPr="002A4647">
              <w:rPr>
                <w:szCs w:val="20"/>
                <w:lang w:eastAsia="x-none"/>
              </w:rPr>
              <w:t>%</w:t>
            </w:r>
          </w:p>
        </w:tc>
      </w:tr>
      <w:tr w:rsidR="005B4780" w:rsidRPr="005B4780" w:rsidTr="002A4647">
        <w:tc>
          <w:tcPr>
            <w:tcW w:w="4594" w:type="dxa"/>
          </w:tcPr>
          <w:p w:rsidR="005B4780" w:rsidRPr="005B4780" w:rsidRDefault="005B4780" w:rsidP="002A4647">
            <w:pPr>
              <w:jc w:val="left"/>
              <w:rPr>
                <w:szCs w:val="20"/>
                <w:lang w:eastAsia="x-none"/>
              </w:rPr>
            </w:pPr>
            <w:r w:rsidRPr="005B4780">
              <w:rPr>
                <w:szCs w:val="20"/>
                <w:lang w:eastAsia="x-none"/>
              </w:rPr>
              <w:t>Sospecha de reacción adversa transfusional</w:t>
            </w:r>
          </w:p>
        </w:tc>
        <w:tc>
          <w:tcPr>
            <w:tcW w:w="1946" w:type="dxa"/>
          </w:tcPr>
          <w:p w:rsidR="005B4780" w:rsidRPr="005B4780" w:rsidRDefault="005B4780" w:rsidP="002A4647">
            <w:pPr>
              <w:jc w:val="center"/>
              <w:rPr>
                <w:szCs w:val="20"/>
                <w:lang w:eastAsia="x-none"/>
              </w:rPr>
            </w:pPr>
            <w:r w:rsidRPr="005B4780">
              <w:rPr>
                <w:szCs w:val="20"/>
                <w:lang w:eastAsia="x-none"/>
              </w:rPr>
              <w:t>302</w:t>
            </w:r>
          </w:p>
        </w:tc>
        <w:tc>
          <w:tcPr>
            <w:tcW w:w="1846" w:type="dxa"/>
          </w:tcPr>
          <w:p w:rsidR="005B4780" w:rsidRPr="005B4780" w:rsidRDefault="005B4780" w:rsidP="002A4647">
            <w:pPr>
              <w:jc w:val="center"/>
              <w:rPr>
                <w:szCs w:val="20"/>
                <w:lang w:eastAsia="x-none"/>
              </w:rPr>
            </w:pPr>
            <w:r w:rsidRPr="005B4780">
              <w:rPr>
                <w:szCs w:val="20"/>
                <w:lang w:eastAsia="x-none"/>
              </w:rPr>
              <w:t>80,10%</w:t>
            </w:r>
          </w:p>
        </w:tc>
      </w:tr>
      <w:tr w:rsidR="005B4780" w:rsidRPr="005B4780" w:rsidTr="002A4647">
        <w:tc>
          <w:tcPr>
            <w:tcW w:w="4594" w:type="dxa"/>
          </w:tcPr>
          <w:p w:rsidR="005B4780" w:rsidRPr="005B4780" w:rsidRDefault="005B4780" w:rsidP="002A4647">
            <w:pPr>
              <w:jc w:val="left"/>
              <w:rPr>
                <w:szCs w:val="20"/>
                <w:lang w:eastAsia="x-none"/>
              </w:rPr>
            </w:pPr>
            <w:r w:rsidRPr="005B4780">
              <w:rPr>
                <w:szCs w:val="20"/>
                <w:lang w:eastAsia="x-none"/>
              </w:rPr>
              <w:t>Error en la administración de componentes</w:t>
            </w:r>
          </w:p>
        </w:tc>
        <w:tc>
          <w:tcPr>
            <w:tcW w:w="1946" w:type="dxa"/>
          </w:tcPr>
          <w:p w:rsidR="005B4780" w:rsidRPr="005B4780" w:rsidRDefault="005B4780" w:rsidP="002A4647">
            <w:pPr>
              <w:jc w:val="center"/>
              <w:rPr>
                <w:szCs w:val="20"/>
                <w:lang w:eastAsia="x-none"/>
              </w:rPr>
            </w:pPr>
            <w:r w:rsidRPr="005B4780">
              <w:rPr>
                <w:szCs w:val="20"/>
                <w:lang w:eastAsia="x-none"/>
              </w:rPr>
              <w:t>28</w:t>
            </w:r>
          </w:p>
        </w:tc>
        <w:tc>
          <w:tcPr>
            <w:tcW w:w="1846" w:type="dxa"/>
          </w:tcPr>
          <w:p w:rsidR="005B4780" w:rsidRPr="005B4780" w:rsidRDefault="005B4780" w:rsidP="002A4647">
            <w:pPr>
              <w:jc w:val="center"/>
              <w:rPr>
                <w:szCs w:val="20"/>
                <w:lang w:eastAsia="x-none"/>
              </w:rPr>
            </w:pPr>
            <w:r w:rsidRPr="005B4780">
              <w:rPr>
                <w:szCs w:val="20"/>
                <w:lang w:eastAsia="x-none"/>
              </w:rPr>
              <w:t>7,42%</w:t>
            </w:r>
          </w:p>
        </w:tc>
      </w:tr>
      <w:tr w:rsidR="005B4780" w:rsidRPr="005B4780" w:rsidTr="002A4647">
        <w:tc>
          <w:tcPr>
            <w:tcW w:w="4594" w:type="dxa"/>
          </w:tcPr>
          <w:p w:rsidR="005B4780" w:rsidRPr="005B4780" w:rsidRDefault="005B4780" w:rsidP="002A4647">
            <w:pPr>
              <w:jc w:val="left"/>
              <w:rPr>
                <w:szCs w:val="20"/>
                <w:lang w:eastAsia="x-none"/>
              </w:rPr>
            </w:pPr>
            <w:r w:rsidRPr="005B4780">
              <w:rPr>
                <w:szCs w:val="20"/>
                <w:lang w:eastAsia="x-none"/>
              </w:rPr>
              <w:t>“Casi incidentes”</w:t>
            </w:r>
          </w:p>
        </w:tc>
        <w:tc>
          <w:tcPr>
            <w:tcW w:w="1946" w:type="dxa"/>
          </w:tcPr>
          <w:p w:rsidR="005B4780" w:rsidRPr="005B4780" w:rsidRDefault="005B4780" w:rsidP="002A4647">
            <w:pPr>
              <w:jc w:val="center"/>
              <w:rPr>
                <w:szCs w:val="20"/>
                <w:lang w:eastAsia="x-none"/>
              </w:rPr>
            </w:pPr>
            <w:r w:rsidRPr="005B4780">
              <w:rPr>
                <w:szCs w:val="20"/>
                <w:lang w:eastAsia="x-none"/>
              </w:rPr>
              <w:t>47</w:t>
            </w:r>
          </w:p>
        </w:tc>
        <w:tc>
          <w:tcPr>
            <w:tcW w:w="1846" w:type="dxa"/>
          </w:tcPr>
          <w:p w:rsidR="005B4780" w:rsidRPr="005B4780" w:rsidRDefault="005B4780" w:rsidP="002A4647">
            <w:pPr>
              <w:jc w:val="center"/>
              <w:rPr>
                <w:szCs w:val="20"/>
                <w:lang w:eastAsia="x-none"/>
              </w:rPr>
            </w:pPr>
            <w:r w:rsidRPr="005B4780">
              <w:rPr>
                <w:szCs w:val="20"/>
                <w:lang w:eastAsia="x-none"/>
              </w:rPr>
              <w:t>12,46%</w:t>
            </w:r>
          </w:p>
        </w:tc>
      </w:tr>
      <w:tr w:rsidR="005B4780" w:rsidRPr="005B4780" w:rsidTr="002A4647">
        <w:trPr>
          <w:cnfStyle w:val="010000000000" w:firstRow="0" w:lastRow="1" w:firstColumn="0" w:lastColumn="0" w:oddVBand="0" w:evenVBand="0" w:oddHBand="0" w:evenHBand="0" w:firstRowFirstColumn="0" w:firstRowLastColumn="0" w:lastRowFirstColumn="0" w:lastRowLastColumn="0"/>
        </w:trPr>
        <w:tc>
          <w:tcPr>
            <w:tcW w:w="4594" w:type="dxa"/>
          </w:tcPr>
          <w:p w:rsidR="005B4780" w:rsidRPr="005B4780" w:rsidRDefault="005B4780" w:rsidP="002A4647">
            <w:pPr>
              <w:jc w:val="left"/>
              <w:rPr>
                <w:szCs w:val="20"/>
                <w:lang w:eastAsia="x-none"/>
              </w:rPr>
            </w:pPr>
            <w:r w:rsidRPr="005B4780">
              <w:rPr>
                <w:szCs w:val="20"/>
                <w:lang w:eastAsia="x-none"/>
              </w:rPr>
              <w:t>TOTAL</w:t>
            </w:r>
          </w:p>
        </w:tc>
        <w:tc>
          <w:tcPr>
            <w:tcW w:w="1946" w:type="dxa"/>
          </w:tcPr>
          <w:p w:rsidR="005B4780" w:rsidRPr="005B4780" w:rsidRDefault="005B4780" w:rsidP="002A4647">
            <w:pPr>
              <w:jc w:val="center"/>
              <w:rPr>
                <w:szCs w:val="20"/>
                <w:lang w:eastAsia="x-none"/>
              </w:rPr>
            </w:pPr>
            <w:r w:rsidRPr="005B4780">
              <w:rPr>
                <w:szCs w:val="20"/>
                <w:lang w:eastAsia="x-none"/>
              </w:rPr>
              <w:t>377</w:t>
            </w:r>
          </w:p>
        </w:tc>
        <w:tc>
          <w:tcPr>
            <w:tcW w:w="1846" w:type="dxa"/>
          </w:tcPr>
          <w:p w:rsidR="005B4780" w:rsidRPr="005B4780" w:rsidRDefault="005B4780" w:rsidP="002A4647">
            <w:pPr>
              <w:jc w:val="center"/>
              <w:rPr>
                <w:szCs w:val="20"/>
                <w:lang w:eastAsia="x-none"/>
              </w:rPr>
            </w:pPr>
            <w:r w:rsidRPr="005B4780">
              <w:rPr>
                <w:szCs w:val="20"/>
                <w:lang w:eastAsia="x-none"/>
              </w:rPr>
              <w:t>100%</w:t>
            </w:r>
          </w:p>
        </w:tc>
      </w:tr>
    </w:tbl>
    <w:p w:rsidR="002A4647" w:rsidRDefault="002A4647" w:rsidP="005B4780">
      <w:pPr>
        <w:rPr>
          <w:szCs w:val="20"/>
          <w:lang w:eastAsia="x-none"/>
        </w:rPr>
      </w:pPr>
    </w:p>
    <w:p w:rsidR="005B4780" w:rsidRPr="005B4780" w:rsidRDefault="005B4780" w:rsidP="002A4647">
      <w:r w:rsidRPr="005B4780">
        <w:t>Gráfico 17. Distribución de los incidentes relacionados con la transfusión.</w:t>
      </w:r>
    </w:p>
    <w:p w:rsidR="005B4780" w:rsidRPr="005B4780" w:rsidRDefault="005B4780" w:rsidP="005B4780">
      <w:pPr>
        <w:rPr>
          <w:szCs w:val="20"/>
          <w:lang w:eastAsia="x-none"/>
        </w:rPr>
      </w:pPr>
      <w:r w:rsidRPr="005B4780">
        <w:rPr>
          <w:szCs w:val="20"/>
          <w:lang w:eastAsia="x-none"/>
        </w:rPr>
        <w:drawing>
          <wp:inline distT="0" distB="0" distL="0" distR="0" wp14:anchorId="61F6D23F" wp14:editId="54ECB28C">
            <wp:extent cx="5047013" cy="2493818"/>
            <wp:effectExtent l="0" t="0" r="1270" b="1905"/>
            <wp:docPr id="348"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5B4780" w:rsidRPr="005B4780" w:rsidRDefault="005B4780" w:rsidP="005B4780">
      <w:pPr>
        <w:rPr>
          <w:szCs w:val="20"/>
          <w:lang w:eastAsia="x-none"/>
        </w:rPr>
      </w:pPr>
    </w:p>
    <w:p w:rsidR="005B4780" w:rsidRPr="002A4647" w:rsidRDefault="005B4780" w:rsidP="002A4647">
      <w:pPr>
        <w:pStyle w:val="Ttulo3"/>
      </w:pPr>
      <w:r w:rsidRPr="002A4647">
        <w:t xml:space="preserve">Reacciones adversas transfusionales: </w:t>
      </w:r>
    </w:p>
    <w:p w:rsidR="005B4780" w:rsidRPr="005B4780" w:rsidRDefault="005B4780" w:rsidP="005B4780">
      <w:pPr>
        <w:rPr>
          <w:szCs w:val="20"/>
          <w:lang w:eastAsia="x-none"/>
        </w:rPr>
      </w:pPr>
    </w:p>
    <w:p w:rsidR="005B4780" w:rsidRPr="005B4780" w:rsidRDefault="005B4780" w:rsidP="002A4647">
      <w:r w:rsidRPr="002A4647">
        <w:t>La distribución de las reacciones adversas transfusionales se muestra en el gráfico 18. Del total de las mismas (306), son las de tipo inmune las más frecuentes, y entre ellas las de tipo febril (78 casos) y las de tipo alérgico (74 casos), que en su conjunto suponen el 49,67% del total. Sin embargo, así como 28 de las 78 reacciones febriles (35,89%) cursaron con gravedad de 2, en el caso de las reacciones alérgicas solo fueron 3 de un total de 74 (4,05%) las que</w:t>
      </w:r>
      <w:r w:rsidRPr="005B4780">
        <w:t xml:space="preserve"> cursaron con gravedad de 2. No se registró ninguna reacción febril ni alérgica de gravedad &gt; 2. </w:t>
      </w:r>
    </w:p>
    <w:p w:rsidR="005B4780" w:rsidRPr="005B4780" w:rsidRDefault="005B4780" w:rsidP="002A4647"/>
    <w:p w:rsidR="005B4780" w:rsidRPr="005B4780" w:rsidRDefault="005B4780" w:rsidP="002A4647">
      <w:r w:rsidRPr="005B4780">
        <w:lastRenderedPageBreak/>
        <w:drawing>
          <wp:anchor distT="0" distB="0" distL="114300" distR="114300" simplePos="0" relativeHeight="251741184" behindDoc="0" locked="0" layoutInCell="1" allowOverlap="1" wp14:anchorId="178A81C6" wp14:editId="37A14566">
            <wp:simplePos x="0" y="0"/>
            <wp:positionH relativeFrom="margin">
              <wp:posOffset>-11430</wp:posOffset>
            </wp:positionH>
            <wp:positionV relativeFrom="paragraph">
              <wp:posOffset>196850</wp:posOffset>
            </wp:positionV>
            <wp:extent cx="5189220" cy="2849880"/>
            <wp:effectExtent l="0" t="0" r="11430" b="7620"/>
            <wp:wrapSquare wrapText="bothSides"/>
            <wp:docPr id="349"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r w:rsidRPr="005B4780">
        <w:t xml:space="preserve">Gráfico 18. Distribución de las reacciones adversas transfusionales. </w:t>
      </w:r>
    </w:p>
    <w:p w:rsidR="005B4780" w:rsidRPr="005B4780" w:rsidRDefault="005B4780" w:rsidP="005B4780">
      <w:pPr>
        <w:rPr>
          <w:szCs w:val="20"/>
          <w:u w:val="single"/>
          <w:lang w:eastAsia="x-none"/>
        </w:rPr>
      </w:pPr>
    </w:p>
    <w:p w:rsidR="005B4780" w:rsidRPr="002A4647" w:rsidRDefault="005B4780" w:rsidP="002A4647">
      <w:pPr>
        <w:pStyle w:val="Ttulo3"/>
      </w:pPr>
      <w:r w:rsidRPr="002A4647">
        <w:t>Reacciones febriles:</w:t>
      </w:r>
    </w:p>
    <w:p w:rsidR="005B4780" w:rsidRPr="005B4780" w:rsidRDefault="005B4780" w:rsidP="005B4780">
      <w:pPr>
        <w:rPr>
          <w:szCs w:val="20"/>
          <w:lang w:eastAsia="x-none"/>
        </w:rPr>
      </w:pPr>
    </w:p>
    <w:p w:rsidR="005B4780" w:rsidRPr="005B4780" w:rsidRDefault="005B4780" w:rsidP="002A4647">
      <w:r w:rsidRPr="005B4780">
        <w:t xml:space="preserve">En el caso de las </w:t>
      </w:r>
      <w:r w:rsidRPr="002A4647">
        <w:rPr>
          <w:b/>
        </w:rPr>
        <w:t>reacciones febriles</w:t>
      </w:r>
      <w:r w:rsidRPr="005B4780">
        <w:t>, la reacción adversa transfusional más frecuente (78 casos, lo que supone el 25,49%), en el 91,02% de los casos el componente sanguíneo implicado fue el concentrado de hematíes (71 casos), seguido de lejos por las plaquetas (8,98%, 7 casos). Se representa en el gráfico 19.</w:t>
      </w:r>
    </w:p>
    <w:p w:rsidR="005B4780" w:rsidRPr="005B4780" w:rsidRDefault="005B4780" w:rsidP="002A4647"/>
    <w:p w:rsidR="005B4780" w:rsidRPr="005B4780" w:rsidRDefault="005B4780" w:rsidP="002A4647">
      <w:r w:rsidRPr="005B4780">
        <w:t>Gráfico 19. Componente sanguíneo implicado en las reacciones febriles transfusionales.</w:t>
      </w:r>
    </w:p>
    <w:p w:rsidR="005B4780" w:rsidRPr="005B4780" w:rsidRDefault="005B4780" w:rsidP="005B4780">
      <w:pPr>
        <w:rPr>
          <w:szCs w:val="20"/>
          <w:lang w:eastAsia="x-none"/>
        </w:rPr>
      </w:pPr>
      <w:r w:rsidRPr="005B4780">
        <w:rPr>
          <w:szCs w:val="20"/>
          <w:lang w:eastAsia="x-none"/>
        </w:rPr>
        <w:drawing>
          <wp:inline distT="0" distB="0" distL="0" distR="0" wp14:anchorId="40F023EF" wp14:editId="579F6569">
            <wp:extent cx="5094514" cy="2042556"/>
            <wp:effectExtent l="0" t="0" r="11430" b="15240"/>
            <wp:docPr id="350" name="Gráfico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5B4780" w:rsidRPr="005B4780" w:rsidRDefault="005B4780" w:rsidP="005B4780">
      <w:pPr>
        <w:rPr>
          <w:szCs w:val="20"/>
          <w:lang w:eastAsia="x-none"/>
        </w:rPr>
      </w:pPr>
    </w:p>
    <w:p w:rsidR="005B4780" w:rsidRPr="005B4780" w:rsidRDefault="005B4780" w:rsidP="002A4647">
      <w:r w:rsidRPr="005B4780">
        <w:t>Las reacciones febriles consideradas de gravedad grado 2 fueron 27, constituyeron el 34,61% de las mismas, de ellas, 24 correspondieron a transfusión de hematíes, 3 a transfusión de plaquetas.</w:t>
      </w:r>
    </w:p>
    <w:p w:rsidR="005B4780" w:rsidRPr="005B4780" w:rsidRDefault="005B4780" w:rsidP="002A4647"/>
    <w:p w:rsidR="005B4780" w:rsidRPr="005B4780" w:rsidRDefault="005B4780" w:rsidP="002A4647">
      <w:r w:rsidRPr="005B4780">
        <w:lastRenderedPageBreak/>
        <w:t xml:space="preserve">Si tenemos en cuenta la cantidad de unidades trasfundidas de cada componente sanguíneo, encontramos que las reacciones febriles asociadas a transfusión constituyen en el caso de los hematíes (3,20 / 10.000 concentrados de hematíes trasfundidos) y en el caso de la transfusión de plaquetas (1,80/ 10.000 unidades terapéuticas de plaquetas trasfundidas). </w:t>
      </w:r>
    </w:p>
    <w:p w:rsidR="005B4780" w:rsidRPr="005B4780" w:rsidRDefault="005B4780" w:rsidP="002A4647">
      <w:pPr>
        <w:rPr>
          <w:u w:val="single"/>
        </w:rPr>
      </w:pPr>
    </w:p>
    <w:p w:rsidR="005B4780" w:rsidRPr="002A4647" w:rsidRDefault="005B4780" w:rsidP="002A4647">
      <w:pPr>
        <w:pStyle w:val="Ttulo3"/>
      </w:pPr>
      <w:r w:rsidRPr="002A4647">
        <w:t>Reacciones alérgicas:</w:t>
      </w:r>
    </w:p>
    <w:p w:rsidR="005B4780" w:rsidRPr="005B4780" w:rsidRDefault="005B4780" w:rsidP="002A4647"/>
    <w:p w:rsidR="005B4780" w:rsidRPr="005B4780" w:rsidRDefault="005B4780" w:rsidP="002A4647">
      <w:r w:rsidRPr="005B4780">
        <w:t xml:space="preserve">En cuanto a las </w:t>
      </w:r>
      <w:r w:rsidRPr="002A4647">
        <w:rPr>
          <w:b/>
        </w:rPr>
        <w:t>reacciones alérgicas</w:t>
      </w:r>
      <w:r w:rsidRPr="005B4780">
        <w:t>, que fueron las reacciones transfusionales que ocuparon el segundo lugar en frecuencia (74 casos, lo que supone el 24,18%) el componente hemático más frecuentemente implicado fueron las plaquetas (29 casos, 39,18% de las reacciones alérgicas), seguido por el concentrado de hematíes (26 casos, 35,13% de las reacciones alérgicas) y el plasma (19 casos, 25,67%). Los datos se muestran en el Gráfico 20.</w:t>
      </w:r>
    </w:p>
    <w:p w:rsidR="005B4780" w:rsidRPr="005B4780" w:rsidRDefault="005B4780" w:rsidP="002A4647">
      <w:r w:rsidRPr="005B4780">
        <w:t xml:space="preserve">Las reacciones alérgicas de gravedad 2, que fueron 3 y supusieron el 2,70% del total, correspondieron en 2 casos a plaquetas y 1 a plasma. </w:t>
      </w:r>
    </w:p>
    <w:p w:rsidR="005B4780" w:rsidRPr="005B4780" w:rsidRDefault="005B4780" w:rsidP="002A4647">
      <w:r w:rsidRPr="005B4780">
        <w:t xml:space="preserve">De la misma forma que se describe en las reacciones febriles asociadas transfusión, en las reacciones alérgicas, si tenemos en cuenta la cantidad de unidades trasfundidas de cada componente sanguíneo, encontramos que las que más frecuentemente se han comunicado han sido relacionadas con la transfusión de plaquetas (7,49 / 10.000 unidades terapéuticas de plaquetas trasfundidas), seguido de plasma, con 6,80 / 10.000 unidades de plasma trasfundidas, y, por último, por los hematíes, con 1,17 / 10.000 concentrados de hematíes trasfundidos. </w:t>
      </w:r>
    </w:p>
    <w:p w:rsidR="002A4647" w:rsidRDefault="002A4647">
      <w:pPr>
        <w:jc w:val="left"/>
        <w:rPr>
          <w:szCs w:val="20"/>
          <w:lang w:eastAsia="x-none"/>
        </w:rPr>
      </w:pPr>
    </w:p>
    <w:p w:rsidR="005B4780" w:rsidRPr="005B4780" w:rsidRDefault="005B4780" w:rsidP="002A4647">
      <w:r w:rsidRPr="005B4780">
        <w:t>Gráfico 20. Componente sanguíneo implicado en las reacciones alérgicas transfusionales.</w:t>
      </w:r>
    </w:p>
    <w:p w:rsidR="005B4780" w:rsidRPr="005B4780" w:rsidRDefault="005B4780" w:rsidP="005B4780">
      <w:pPr>
        <w:rPr>
          <w:szCs w:val="20"/>
          <w:lang w:eastAsia="x-none"/>
        </w:rPr>
      </w:pPr>
      <w:r w:rsidRPr="005B4780">
        <w:rPr>
          <w:szCs w:val="20"/>
          <w:lang w:eastAsia="x-none"/>
        </w:rPr>
        <w:drawing>
          <wp:inline distT="0" distB="0" distL="0" distR="0" wp14:anchorId="190241F7" wp14:editId="06A96BE3">
            <wp:extent cx="5047013" cy="2352675"/>
            <wp:effectExtent l="0" t="0" r="1270" b="9525"/>
            <wp:docPr id="351"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5B4780" w:rsidRPr="005B4780" w:rsidRDefault="005B4780" w:rsidP="005B4780">
      <w:pPr>
        <w:rPr>
          <w:szCs w:val="20"/>
          <w:lang w:eastAsia="x-none"/>
        </w:rPr>
      </w:pPr>
    </w:p>
    <w:p w:rsidR="005B4780" w:rsidRPr="005B4780" w:rsidRDefault="005B4780" w:rsidP="002A4647">
      <w:r w:rsidRPr="005B4780">
        <w:lastRenderedPageBreak/>
        <w:t>Es un hecho conocido que el déficit de IgA constituye una causa poco frecuente de reacciones alérgicas graves, pero su diagnóstico tiene una gran importancia, ya que este tipo de reacción tiene a repetirse en transfusiones posteriores (en donde deberían indicarse componentes sanguíneos procedentes de donantes con déficit de IgA o, en su defecto, en el caso de hematíes y plaquetas, componentes lavados), por lo que es mandatorio la determinación de IgA en este tipo de reacciones. Esta determinación se ha realizado en 16 de las 74 reacciones alérgicas, lo que supone el 21,62% de las mismas. En ninguno de los casos en los que se determinó la Ig A presentaba déficit de la misma.</w:t>
      </w:r>
    </w:p>
    <w:p w:rsidR="005B4780" w:rsidRPr="005B4780" w:rsidRDefault="005B4780" w:rsidP="005B4780">
      <w:pPr>
        <w:rPr>
          <w:szCs w:val="20"/>
          <w:lang w:eastAsia="x-none"/>
        </w:rPr>
      </w:pPr>
    </w:p>
    <w:p w:rsidR="005B4780" w:rsidRPr="002A4647" w:rsidRDefault="005B4780" w:rsidP="002A4647">
      <w:pPr>
        <w:pStyle w:val="Ttulo3"/>
      </w:pPr>
      <w:r w:rsidRPr="002A4647">
        <w:t>Aloinmunizaciones:</w:t>
      </w:r>
    </w:p>
    <w:p w:rsidR="005B4780" w:rsidRPr="005B4780" w:rsidRDefault="005B4780" w:rsidP="005B4780">
      <w:pPr>
        <w:rPr>
          <w:szCs w:val="20"/>
          <w:lang w:eastAsia="x-none"/>
        </w:rPr>
      </w:pPr>
    </w:p>
    <w:p w:rsidR="005B4780" w:rsidRPr="005B4780" w:rsidRDefault="005B4780" w:rsidP="002A4647">
      <w:r w:rsidRPr="005B4780">
        <w:t xml:space="preserve">La detección de </w:t>
      </w:r>
      <w:r w:rsidRPr="002A4647">
        <w:rPr>
          <w:b/>
        </w:rPr>
        <w:t>aloinmunización</w:t>
      </w:r>
      <w:r w:rsidRPr="005B4780">
        <w:t xml:space="preserve"> en estudio pretransfusional ocupa el tercer lugar en frecuencia en el año 2020. En cuanto a este efecto adverso, se han comunicado 52 casos (16,99% de las reacciones adversas). Cabe destacar que 10 casos (19,23% de las aloinmunizaciones) fueron considerados de gravedad 3, por lo que interpretamos que así se consideró, al entender que supone una consecuencia a largo plazo. </w:t>
      </w:r>
    </w:p>
    <w:p w:rsidR="005B4780" w:rsidRPr="005B4780" w:rsidRDefault="005B4780" w:rsidP="002A4647">
      <w:r w:rsidRPr="005B4780">
        <w:t xml:space="preserve">En el Gráfico 21 y en la Tabla 5 se muestran las especificidades  de los anticuerpos hallados en las aloinmunizaciones relacionadas con la transfusión, que incluyen los sistemas Rh, Kell, Duffy, Kidd, Lewis y MNSs. En ninguno de los casos se produce sintomatología, sino la detección del anticuerpo en pruebas pretransfusionales. </w:t>
      </w:r>
    </w:p>
    <w:p w:rsidR="005B4780" w:rsidRPr="005B4780" w:rsidRDefault="005B4780" w:rsidP="002A4647">
      <w:r w:rsidRPr="005B4780">
        <w:t xml:space="preserve">La mayoría de las aloinmunizaciones se producen por transfusión de concentrados de hematíes, y sólo 1 se produce por transfusión de plaquetas, produciéndose en este la sensibilización para el antígeno c. </w:t>
      </w:r>
    </w:p>
    <w:p w:rsidR="005B4780" w:rsidRPr="005B4780" w:rsidRDefault="005B4780" w:rsidP="002A4647">
      <w:r w:rsidRPr="005B4780">
        <w:t xml:space="preserve">La aloinmunización se produce en 18 varones y 34 mujeres (ratio V/M 0.52), con una media de 71,84 años (rango de 20 a 92 años). </w:t>
      </w:r>
    </w:p>
    <w:p w:rsidR="005B4780" w:rsidRPr="005B4780" w:rsidRDefault="005B4780" w:rsidP="002A4647"/>
    <w:p w:rsidR="00260936" w:rsidRDefault="00260936">
      <w:pPr>
        <w:jc w:val="left"/>
      </w:pPr>
      <w:r>
        <w:br w:type="page"/>
      </w:r>
    </w:p>
    <w:p w:rsidR="005B4780" w:rsidRPr="005B4780" w:rsidRDefault="005B4780" w:rsidP="002A4647">
      <w:r w:rsidRPr="005B4780">
        <w:lastRenderedPageBreak/>
        <w:t xml:space="preserve">Gráfico 21. Especificidades en aloinmunizaciones. </w:t>
      </w:r>
    </w:p>
    <w:p w:rsidR="005B4780" w:rsidRPr="005B4780" w:rsidRDefault="005B4780" w:rsidP="005B4780">
      <w:pPr>
        <w:rPr>
          <w:szCs w:val="20"/>
          <w:lang w:val="en-US" w:eastAsia="x-none"/>
        </w:rPr>
      </w:pPr>
      <w:r w:rsidRPr="005B4780">
        <w:rPr>
          <w:szCs w:val="20"/>
          <w:lang w:eastAsia="x-none"/>
        </w:rPr>
        <w:drawing>
          <wp:inline distT="0" distB="0" distL="0" distR="0" wp14:anchorId="2C9C9E0F" wp14:editId="0F6880F1">
            <wp:extent cx="5023262" cy="2861954"/>
            <wp:effectExtent l="0" t="0" r="6350" b="14605"/>
            <wp:docPr id="35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5B4780" w:rsidRPr="005B4780" w:rsidRDefault="005B4780" w:rsidP="005B4780">
      <w:pPr>
        <w:rPr>
          <w:szCs w:val="20"/>
          <w:lang w:eastAsia="x-none"/>
        </w:rPr>
      </w:pPr>
    </w:p>
    <w:p w:rsidR="005B4780" w:rsidRPr="005B4780" w:rsidRDefault="005B4780" w:rsidP="002A4647">
      <w:r w:rsidRPr="005B4780">
        <w:t>Tabla 5. Aloinmunizaciones</w:t>
      </w:r>
    </w:p>
    <w:tbl>
      <w:tblPr>
        <w:tblStyle w:val="Tabladecuadrcula5oscura-nfasis1"/>
        <w:tblW w:w="0" w:type="auto"/>
        <w:tblLook w:val="0620" w:firstRow="1" w:lastRow="0" w:firstColumn="0" w:lastColumn="0" w:noHBand="1" w:noVBand="1"/>
      </w:tblPr>
      <w:tblGrid>
        <w:gridCol w:w="2547"/>
        <w:gridCol w:w="1184"/>
        <w:gridCol w:w="1876"/>
        <w:gridCol w:w="2269"/>
      </w:tblGrid>
      <w:tr w:rsidR="005B4780" w:rsidRPr="005B4780" w:rsidTr="00260936">
        <w:trPr>
          <w:cnfStyle w:val="100000000000" w:firstRow="1" w:lastRow="0" w:firstColumn="0" w:lastColumn="0" w:oddVBand="0" w:evenVBand="0" w:oddHBand="0" w:evenHBand="0" w:firstRowFirstColumn="0" w:firstRowLastColumn="0" w:lastRowFirstColumn="0" w:lastRowLastColumn="0"/>
          <w:cantSplit/>
          <w:trHeight w:val="457"/>
          <w:tblHeader/>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Total</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Especificidad</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Casos</w:t>
            </w:r>
          </w:p>
        </w:tc>
      </w:tr>
      <w:tr w:rsidR="005B4780" w:rsidRPr="005B4780" w:rsidTr="00260936">
        <w:trPr>
          <w:trHeight w:val="1292"/>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Rh</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30</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-Anti-E</w:t>
            </w:r>
          </w:p>
          <w:p w:rsidR="005B4780" w:rsidRPr="005B4780" w:rsidRDefault="005B4780" w:rsidP="005B4780">
            <w:pPr>
              <w:spacing w:after="160" w:line="259" w:lineRule="auto"/>
              <w:rPr>
                <w:szCs w:val="20"/>
                <w:lang w:val="en-US" w:eastAsia="x-none"/>
              </w:rPr>
            </w:pPr>
            <w:r w:rsidRPr="005B4780">
              <w:rPr>
                <w:szCs w:val="20"/>
                <w:lang w:val="en-US" w:eastAsia="x-none"/>
              </w:rPr>
              <w:t>-Anti-D</w:t>
            </w:r>
          </w:p>
          <w:p w:rsidR="005B4780" w:rsidRPr="005B4780" w:rsidRDefault="005B4780" w:rsidP="005B4780">
            <w:pPr>
              <w:spacing w:after="160" w:line="259" w:lineRule="auto"/>
              <w:rPr>
                <w:szCs w:val="20"/>
                <w:lang w:val="en-US" w:eastAsia="x-none"/>
              </w:rPr>
            </w:pPr>
            <w:r w:rsidRPr="005B4780">
              <w:rPr>
                <w:szCs w:val="20"/>
                <w:lang w:val="en-US" w:eastAsia="x-none"/>
              </w:rPr>
              <w:t>-Anti-c</w:t>
            </w:r>
          </w:p>
          <w:p w:rsidR="005B4780" w:rsidRPr="005B4780" w:rsidRDefault="005B4780" w:rsidP="005B4780">
            <w:pPr>
              <w:spacing w:after="160" w:line="259" w:lineRule="auto"/>
              <w:rPr>
                <w:szCs w:val="20"/>
                <w:lang w:val="en-US" w:eastAsia="x-none"/>
              </w:rPr>
            </w:pPr>
            <w:r w:rsidRPr="005B4780">
              <w:rPr>
                <w:szCs w:val="20"/>
                <w:lang w:val="en-US" w:eastAsia="x-none"/>
              </w:rPr>
              <w:t>-Anti-C</w:t>
            </w:r>
          </w:p>
          <w:p w:rsidR="005B4780" w:rsidRPr="005B4780" w:rsidRDefault="005B4780" w:rsidP="005B4780">
            <w:pPr>
              <w:spacing w:after="160" w:line="259" w:lineRule="auto"/>
              <w:rPr>
                <w:szCs w:val="20"/>
                <w:lang w:val="en-US" w:eastAsia="x-none"/>
              </w:rPr>
            </w:pP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20</w:t>
            </w:r>
          </w:p>
          <w:p w:rsidR="005B4780" w:rsidRPr="005B4780" w:rsidRDefault="005B4780" w:rsidP="005B4780">
            <w:pPr>
              <w:spacing w:after="160" w:line="259" w:lineRule="auto"/>
              <w:rPr>
                <w:szCs w:val="20"/>
                <w:lang w:val="en-US" w:eastAsia="x-none"/>
              </w:rPr>
            </w:pPr>
            <w:r w:rsidRPr="005B4780">
              <w:rPr>
                <w:szCs w:val="20"/>
                <w:lang w:val="en-US" w:eastAsia="x-none"/>
              </w:rPr>
              <w:t>1</w:t>
            </w:r>
          </w:p>
          <w:p w:rsidR="005B4780" w:rsidRPr="005B4780" w:rsidRDefault="005B4780" w:rsidP="005B4780">
            <w:pPr>
              <w:spacing w:after="160" w:line="259" w:lineRule="auto"/>
              <w:rPr>
                <w:szCs w:val="20"/>
                <w:lang w:val="en-US" w:eastAsia="x-none"/>
              </w:rPr>
            </w:pPr>
            <w:r w:rsidRPr="005B4780">
              <w:rPr>
                <w:szCs w:val="20"/>
                <w:lang w:val="en-US" w:eastAsia="x-none"/>
              </w:rPr>
              <w:t>7</w:t>
            </w:r>
          </w:p>
          <w:p w:rsidR="005B4780" w:rsidRPr="005B4780" w:rsidRDefault="005B4780" w:rsidP="005B4780">
            <w:pPr>
              <w:spacing w:after="160" w:line="259" w:lineRule="auto"/>
              <w:rPr>
                <w:szCs w:val="20"/>
                <w:lang w:val="en-US" w:eastAsia="x-none"/>
              </w:rPr>
            </w:pPr>
            <w:r w:rsidRPr="005B4780">
              <w:rPr>
                <w:szCs w:val="20"/>
                <w:lang w:val="en-US" w:eastAsia="x-none"/>
              </w:rPr>
              <w:t>2</w:t>
            </w:r>
          </w:p>
          <w:p w:rsidR="005B4780" w:rsidRPr="005B4780" w:rsidRDefault="005B4780" w:rsidP="005B4780">
            <w:pPr>
              <w:spacing w:after="160" w:line="259" w:lineRule="auto"/>
              <w:rPr>
                <w:szCs w:val="20"/>
                <w:lang w:val="en-US" w:eastAsia="x-none"/>
              </w:rPr>
            </w:pPr>
          </w:p>
        </w:tc>
      </w:tr>
      <w:tr w:rsidR="005B4780" w:rsidRPr="005B4780" w:rsidTr="00260936">
        <w:trPr>
          <w:trHeight w:val="914"/>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Kell</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14</w:t>
            </w:r>
          </w:p>
        </w:tc>
        <w:tc>
          <w:tcPr>
            <w:tcW w:w="1876" w:type="dxa"/>
          </w:tcPr>
          <w:p w:rsidR="005B4780" w:rsidRPr="005B4780" w:rsidRDefault="005B4780" w:rsidP="005B4780">
            <w:pPr>
              <w:spacing w:after="160" w:line="259" w:lineRule="auto"/>
              <w:rPr>
                <w:b/>
                <w:szCs w:val="20"/>
                <w:lang w:val="en-US" w:eastAsia="x-none"/>
              </w:rPr>
            </w:pPr>
            <w:r w:rsidRPr="005B4780">
              <w:rPr>
                <w:szCs w:val="20"/>
                <w:lang w:val="en-US" w:eastAsia="x-none"/>
              </w:rPr>
              <w:t>-Anti-K</w:t>
            </w:r>
            <w:r w:rsidRPr="005B4780">
              <w:rPr>
                <w:b/>
                <w:szCs w:val="20"/>
                <w:lang w:val="en-US" w:eastAsia="x-none"/>
              </w:rPr>
              <w:t xml:space="preserve"> </w:t>
            </w:r>
          </w:p>
          <w:p w:rsidR="005B4780" w:rsidRPr="005B4780" w:rsidRDefault="005B4780" w:rsidP="005B4780">
            <w:pPr>
              <w:spacing w:after="160" w:line="259" w:lineRule="auto"/>
              <w:rPr>
                <w:szCs w:val="20"/>
                <w:lang w:val="en-US" w:eastAsia="x-none"/>
              </w:rPr>
            </w:pPr>
            <w:r w:rsidRPr="005B4780">
              <w:rPr>
                <w:szCs w:val="20"/>
                <w:lang w:val="en-US" w:eastAsia="x-none"/>
              </w:rPr>
              <w:t>-Antikpa</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13</w:t>
            </w:r>
          </w:p>
          <w:p w:rsidR="005B4780" w:rsidRPr="005B4780" w:rsidRDefault="005B4780" w:rsidP="005B4780">
            <w:pPr>
              <w:spacing w:after="160" w:line="259" w:lineRule="auto"/>
              <w:rPr>
                <w:szCs w:val="20"/>
                <w:lang w:val="en-US" w:eastAsia="x-none"/>
              </w:rPr>
            </w:pPr>
            <w:r w:rsidRPr="005B4780">
              <w:rPr>
                <w:szCs w:val="20"/>
                <w:lang w:val="en-US" w:eastAsia="x-none"/>
              </w:rPr>
              <w:t>1</w:t>
            </w:r>
          </w:p>
        </w:tc>
      </w:tr>
      <w:tr w:rsidR="005B4780" w:rsidRPr="005B4780" w:rsidTr="00260936">
        <w:trPr>
          <w:trHeight w:val="933"/>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Duffy</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5</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-Anti-Fya</w:t>
            </w:r>
          </w:p>
          <w:p w:rsidR="005B4780" w:rsidRPr="005B4780" w:rsidRDefault="005B4780" w:rsidP="005B4780">
            <w:pPr>
              <w:spacing w:after="160" w:line="259" w:lineRule="auto"/>
              <w:rPr>
                <w:szCs w:val="20"/>
                <w:lang w:val="en-US" w:eastAsia="x-none"/>
              </w:rPr>
            </w:pPr>
            <w:r w:rsidRPr="005B4780">
              <w:rPr>
                <w:szCs w:val="20"/>
                <w:lang w:val="en-US" w:eastAsia="x-none"/>
              </w:rPr>
              <w:t>-Anti-Fyb</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4</w:t>
            </w:r>
          </w:p>
          <w:p w:rsidR="005B4780" w:rsidRPr="005B4780" w:rsidRDefault="005B4780" w:rsidP="005B4780">
            <w:pPr>
              <w:spacing w:after="160" w:line="259" w:lineRule="auto"/>
              <w:rPr>
                <w:szCs w:val="20"/>
                <w:lang w:val="en-US" w:eastAsia="x-none"/>
              </w:rPr>
            </w:pPr>
            <w:r w:rsidRPr="005B4780">
              <w:rPr>
                <w:szCs w:val="20"/>
                <w:lang w:val="en-US" w:eastAsia="x-none"/>
              </w:rPr>
              <w:t>1</w:t>
            </w:r>
          </w:p>
        </w:tc>
      </w:tr>
      <w:tr w:rsidR="005B4780" w:rsidRPr="005B4780" w:rsidTr="00260936">
        <w:trPr>
          <w:trHeight w:val="914"/>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Kidd</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5</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-Anti-Jka</w:t>
            </w:r>
          </w:p>
          <w:p w:rsidR="005B4780" w:rsidRPr="005B4780" w:rsidRDefault="005B4780" w:rsidP="005B4780">
            <w:pPr>
              <w:spacing w:after="160" w:line="259" w:lineRule="auto"/>
              <w:rPr>
                <w:szCs w:val="20"/>
                <w:lang w:val="en-US" w:eastAsia="x-none"/>
              </w:rPr>
            </w:pPr>
            <w:r w:rsidRPr="005B4780">
              <w:rPr>
                <w:szCs w:val="20"/>
                <w:lang w:val="en-US" w:eastAsia="x-none"/>
              </w:rPr>
              <w:t>-Anti-Jkb</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3</w:t>
            </w:r>
          </w:p>
          <w:p w:rsidR="005B4780" w:rsidRPr="005B4780" w:rsidRDefault="005B4780" w:rsidP="005B4780">
            <w:pPr>
              <w:spacing w:after="160" w:line="259" w:lineRule="auto"/>
              <w:rPr>
                <w:b/>
                <w:szCs w:val="20"/>
                <w:lang w:val="en-US" w:eastAsia="x-none"/>
              </w:rPr>
            </w:pPr>
            <w:r w:rsidRPr="005B4780">
              <w:rPr>
                <w:b/>
                <w:szCs w:val="20"/>
                <w:lang w:val="en-US" w:eastAsia="x-none"/>
              </w:rPr>
              <w:t>2</w:t>
            </w:r>
          </w:p>
        </w:tc>
      </w:tr>
      <w:tr w:rsidR="005B4780" w:rsidRPr="005B4780" w:rsidTr="00260936">
        <w:trPr>
          <w:trHeight w:val="457"/>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Lewis</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-Anti-Lea</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r>
      <w:tr w:rsidR="005B4780" w:rsidRPr="005B4780" w:rsidTr="00260936">
        <w:trPr>
          <w:trHeight w:val="933"/>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MNSs</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-Anti-M</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1</w:t>
            </w:r>
          </w:p>
          <w:p w:rsidR="005B4780" w:rsidRPr="005B4780" w:rsidRDefault="005B4780" w:rsidP="005B4780">
            <w:pPr>
              <w:spacing w:after="160" w:line="259" w:lineRule="auto"/>
              <w:rPr>
                <w:szCs w:val="20"/>
                <w:lang w:val="en-US" w:eastAsia="x-none"/>
              </w:rPr>
            </w:pPr>
          </w:p>
        </w:tc>
      </w:tr>
      <w:tr w:rsidR="005B4780" w:rsidRPr="005B4780" w:rsidTr="00260936">
        <w:trPr>
          <w:trHeight w:val="438"/>
        </w:trPr>
        <w:tc>
          <w:tcPr>
            <w:tcW w:w="2547" w:type="dxa"/>
          </w:tcPr>
          <w:p w:rsidR="005B4780" w:rsidRPr="005B4780" w:rsidRDefault="005B4780" w:rsidP="005B4780">
            <w:pPr>
              <w:spacing w:after="160" w:line="259" w:lineRule="auto"/>
              <w:rPr>
                <w:szCs w:val="20"/>
                <w:lang w:eastAsia="x-none"/>
              </w:rPr>
            </w:pPr>
            <w:r w:rsidRPr="005B4780">
              <w:rPr>
                <w:szCs w:val="20"/>
                <w:lang w:eastAsia="x-none"/>
              </w:rPr>
              <w:t>Sistema Lutheran</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-Anti-Lu</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r>
      <w:tr w:rsidR="005B4780" w:rsidRPr="005B4780" w:rsidTr="00260936">
        <w:trPr>
          <w:trHeight w:val="457"/>
        </w:trPr>
        <w:tc>
          <w:tcPr>
            <w:tcW w:w="2547" w:type="dxa"/>
          </w:tcPr>
          <w:p w:rsidR="005B4780" w:rsidRPr="005B4780" w:rsidRDefault="005B4780" w:rsidP="005B4780">
            <w:pPr>
              <w:spacing w:after="160" w:line="259" w:lineRule="auto"/>
              <w:rPr>
                <w:szCs w:val="20"/>
                <w:lang w:eastAsia="x-none"/>
              </w:rPr>
            </w:pPr>
            <w:r w:rsidRPr="005B4780">
              <w:rPr>
                <w:szCs w:val="20"/>
                <w:lang w:eastAsia="x-none"/>
              </w:rPr>
              <w:lastRenderedPageBreak/>
              <w:t>Sistema Chido/Rogers</w:t>
            </w:r>
          </w:p>
        </w:tc>
        <w:tc>
          <w:tcPr>
            <w:tcW w:w="1184"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c>
          <w:tcPr>
            <w:tcW w:w="1876" w:type="dxa"/>
          </w:tcPr>
          <w:p w:rsidR="005B4780" w:rsidRPr="005B4780" w:rsidRDefault="005B4780" w:rsidP="005B4780">
            <w:pPr>
              <w:spacing w:after="160" w:line="259" w:lineRule="auto"/>
              <w:rPr>
                <w:szCs w:val="20"/>
                <w:lang w:val="en-US" w:eastAsia="x-none"/>
              </w:rPr>
            </w:pPr>
            <w:r w:rsidRPr="005B4780">
              <w:rPr>
                <w:szCs w:val="20"/>
                <w:lang w:val="en-US" w:eastAsia="x-none"/>
              </w:rPr>
              <w:t>-Anti-ch1</w:t>
            </w:r>
          </w:p>
        </w:tc>
        <w:tc>
          <w:tcPr>
            <w:tcW w:w="2269" w:type="dxa"/>
          </w:tcPr>
          <w:p w:rsidR="005B4780" w:rsidRPr="005B4780" w:rsidRDefault="005B4780" w:rsidP="005B4780">
            <w:pPr>
              <w:spacing w:after="160" w:line="259" w:lineRule="auto"/>
              <w:rPr>
                <w:szCs w:val="20"/>
                <w:lang w:val="en-US" w:eastAsia="x-none"/>
              </w:rPr>
            </w:pPr>
            <w:r w:rsidRPr="005B4780">
              <w:rPr>
                <w:szCs w:val="20"/>
                <w:lang w:val="en-US" w:eastAsia="x-none"/>
              </w:rPr>
              <w:t>1</w:t>
            </w:r>
          </w:p>
        </w:tc>
      </w:tr>
    </w:tbl>
    <w:p w:rsidR="005B4780" w:rsidRPr="005B4780" w:rsidRDefault="005B4780" w:rsidP="005B4780">
      <w:pPr>
        <w:rPr>
          <w:szCs w:val="20"/>
          <w:lang w:val="en-US" w:eastAsia="x-none"/>
        </w:rPr>
      </w:pPr>
    </w:p>
    <w:p w:rsidR="005B4780" w:rsidRPr="005B4780" w:rsidRDefault="005B4780" w:rsidP="00D27103">
      <w:r w:rsidRPr="005B4780">
        <w:t>En 5 casos se produce más de una sensibilización (anti-c y anti-K, en varón de 61 años; anti-C y anti-K, en mujer de 86 años; anti-K, anti-Fya y antiJkb, en mujer de 77 años; anti-E y anti-Jka, en varón de 66 años; anti-Jka y anti-E, en mujer de 75 años). Los 5 casos se producen por transfusión de hematíes.</w:t>
      </w:r>
    </w:p>
    <w:p w:rsidR="005B4780" w:rsidRPr="005B4780" w:rsidRDefault="005B4780" w:rsidP="005B4780">
      <w:pPr>
        <w:rPr>
          <w:szCs w:val="20"/>
          <w:lang w:eastAsia="x-none"/>
        </w:rPr>
      </w:pPr>
    </w:p>
    <w:p w:rsidR="005B4780" w:rsidRPr="00D27103" w:rsidRDefault="005B4780" w:rsidP="00D27103">
      <w:pPr>
        <w:pStyle w:val="Ttulo3"/>
      </w:pPr>
      <w:r w:rsidRPr="00D27103">
        <w:t>Edema pulmonar cardiogénico:</w:t>
      </w:r>
    </w:p>
    <w:p w:rsidR="005B4780" w:rsidRPr="005B4780" w:rsidRDefault="005B4780" w:rsidP="005B4780">
      <w:pPr>
        <w:rPr>
          <w:szCs w:val="20"/>
          <w:lang w:eastAsia="x-none"/>
        </w:rPr>
      </w:pPr>
    </w:p>
    <w:p w:rsidR="005B4780" w:rsidRPr="005B4780" w:rsidRDefault="005B4780" w:rsidP="00D27103">
      <w:r w:rsidRPr="005B4780">
        <w:t>La reacción transfusional que ocupó el sexto lugar por su frecuencia durante el año 2020 fue el edema pulmonar cardiogénico, del que se comunicaron 23 casos (7,51% de las reacciones transfusionales).  La media de edad en el momento de la reacción fue de 74,17 años, mínimo de 50 años y máximo de 96 años, y una ratio varón/mujer de 0.91.</w:t>
      </w:r>
    </w:p>
    <w:p w:rsidR="005B4780" w:rsidRPr="005B4780" w:rsidRDefault="005B4780" w:rsidP="00D27103">
      <w:r w:rsidRPr="005B4780">
        <w:t xml:space="preserve">Solo 4 de los casos comunicados (17,39%) han sido valorados como graves (gravedad ≥ 2), y la </w:t>
      </w:r>
      <w:r w:rsidRPr="005B4780">
        <w:rPr>
          <w:b/>
        </w:rPr>
        <w:t>mortalidad</w:t>
      </w:r>
      <w:r w:rsidRPr="005B4780">
        <w:t xml:space="preserve"> ha alcanzado el 13,04% (</w:t>
      </w:r>
      <w:r w:rsidRPr="005B4780">
        <w:rPr>
          <w:b/>
        </w:rPr>
        <w:t>3 casos</w:t>
      </w:r>
      <w:r w:rsidRPr="005B4780">
        <w:t xml:space="preserve">). En los casos de muerte asociada a la transfusión, se trata de dos mujeres y un varón. </w:t>
      </w:r>
    </w:p>
    <w:p w:rsidR="005B4780" w:rsidRPr="005B4780" w:rsidRDefault="005B4780" w:rsidP="00D27103">
      <w:r w:rsidRPr="005B4780">
        <w:t xml:space="preserve">En el primer caso se trata de una mujer de 85 años con antecedentes de insuficiencia cardiaca congestiva e hipertensión arterial que tras recibir 1 CH presenta edema agudo de pulmón, con disnea y desaturación, con resultado de éxitus inmediatamente después de la transfusión, a pesar de tratamiento con furosemida, nitroglicerina y broncodilatadores. </w:t>
      </w:r>
    </w:p>
    <w:p w:rsidR="005B4780" w:rsidRPr="005B4780" w:rsidRDefault="005B4780" w:rsidP="00D27103">
      <w:r w:rsidRPr="005B4780">
        <w:t xml:space="preserve">El segundo caso es una mujer de 68 años con antecedentes de hipertensión arterial y prótesis valvular mitral, fibrilación auricular permanente anticoagulada y cáncer pulmonar estadio IVB en tratamiento quimioterápico, que tras la transfusión de un 1CH y 1 pool de plaquetas presenta cuadro de disnea, taquicardia y cambios radiográficos y fallece a pesar de tratamiento diurético con furosemida y corticoides. </w:t>
      </w:r>
    </w:p>
    <w:p w:rsidR="005B4780" w:rsidRPr="005B4780" w:rsidRDefault="005B4780" w:rsidP="00D27103">
      <w:r w:rsidRPr="005B4780">
        <w:t xml:space="preserve">El tercer caso es un varón de 76 años con antecedentes de sepsis de origen respiratoria, descompensación de insuficiencia cardíaca e ictus isquémico, que presenta tras 2 CH un cuadro de disnea, taquicardia y cambios radiográficos sugestivos de edema pulmonar agudo, falleciendo a las 12 horas de la transfusión pese a las medidas aplicadas.   </w:t>
      </w:r>
    </w:p>
    <w:p w:rsidR="005B4780" w:rsidRPr="005B4780" w:rsidRDefault="005B4780" w:rsidP="00D27103">
      <w:r w:rsidRPr="005B4780">
        <w:t>El grado de imputabilidad es 1 (posible, pudiera estar relacionado o no a una causa transfusional) en el primer y segundo caso, y 2 (sugestivo, efecto compatible con la transfusión y no explicable por otras causas) en el tercer caso.</w:t>
      </w:r>
    </w:p>
    <w:p w:rsidR="005B4780" w:rsidRPr="005B4780" w:rsidRDefault="005B4780" w:rsidP="00D27103">
      <w:r w:rsidRPr="005B4780">
        <w:t xml:space="preserve">El componente más frecuentemente implicado fue el concentrado de hematíes, producto implicado en el 82,60% de los casos (19 casos). En segundo lugar, podemos considerar los multicomponentes, en el 8,69% de los casos (2 </w:t>
      </w:r>
      <w:r w:rsidRPr="005B4780">
        <w:lastRenderedPageBreak/>
        <w:t>casos), seguido del plasma y de las plaquetas, constituyendo el 4,34% (1 caso) cada uno. Estos resultados se muestran en el gráfico 20.</w:t>
      </w:r>
    </w:p>
    <w:p w:rsidR="00260936" w:rsidRDefault="00260936" w:rsidP="00D27103"/>
    <w:p w:rsidR="005B4780" w:rsidRPr="005B4780" w:rsidRDefault="005B4780" w:rsidP="00D27103">
      <w:r w:rsidRPr="005B4780">
        <w:t>Gráfico 20. Componente sanguíneo implicado en el edema pulmonar cardiogénico.</w:t>
      </w:r>
    </w:p>
    <w:p w:rsidR="005B4780" w:rsidRPr="005B4780" w:rsidRDefault="005B4780" w:rsidP="005B4780">
      <w:pPr>
        <w:rPr>
          <w:szCs w:val="20"/>
          <w:lang w:eastAsia="x-none"/>
        </w:rPr>
      </w:pPr>
      <w:r w:rsidRPr="005B4780">
        <w:rPr>
          <w:szCs w:val="20"/>
          <w:lang w:eastAsia="x-none"/>
        </w:rPr>
        <w:drawing>
          <wp:inline distT="0" distB="0" distL="0" distR="0" wp14:anchorId="372748B6" wp14:editId="791D3991">
            <wp:extent cx="5058888" cy="2422566"/>
            <wp:effectExtent l="0" t="0" r="8890" b="15875"/>
            <wp:docPr id="353"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5B4780" w:rsidRPr="005B4780" w:rsidRDefault="005B4780" w:rsidP="005B4780">
      <w:pPr>
        <w:rPr>
          <w:szCs w:val="20"/>
          <w:u w:val="single"/>
          <w:lang w:eastAsia="x-none"/>
        </w:rPr>
      </w:pPr>
    </w:p>
    <w:p w:rsidR="00D27103" w:rsidRDefault="00D27103">
      <w:pPr>
        <w:jc w:val="left"/>
        <w:rPr>
          <w:szCs w:val="20"/>
          <w:u w:val="single"/>
          <w:lang w:eastAsia="x-none"/>
        </w:rPr>
      </w:pPr>
    </w:p>
    <w:p w:rsidR="005B4780" w:rsidRPr="00D27103" w:rsidRDefault="005B4780" w:rsidP="00D27103">
      <w:pPr>
        <w:pStyle w:val="Ttulo3"/>
      </w:pPr>
      <w:r w:rsidRPr="00D27103">
        <w:t xml:space="preserve">Lesión pulmonar aguda asociada a transfusión: </w:t>
      </w:r>
    </w:p>
    <w:p w:rsidR="005B4780" w:rsidRPr="005B4780" w:rsidRDefault="005B4780" w:rsidP="005B4780">
      <w:pPr>
        <w:rPr>
          <w:szCs w:val="20"/>
          <w:u w:val="single"/>
          <w:lang w:eastAsia="x-none"/>
        </w:rPr>
      </w:pPr>
    </w:p>
    <w:p w:rsidR="005B4780" w:rsidRPr="005B4780" w:rsidRDefault="005B4780" w:rsidP="00D27103">
      <w:r w:rsidRPr="005B4780">
        <w:t xml:space="preserve">La notificación de </w:t>
      </w:r>
      <w:r w:rsidRPr="00D27103">
        <w:rPr>
          <w:b/>
        </w:rPr>
        <w:t>lesión pulmonar aguda asociada a transfusión</w:t>
      </w:r>
      <w:r w:rsidRPr="005B4780">
        <w:t xml:space="preserve"> (LPA-AT, o, en inglés, TRALI, transfusion related acute lung injury) ocupa el noveno lugar en frecuencia en el conjunto de las reacciones adversas transfusionales. Se ha producido en 10 receptores de hemoderivados (un número inferior al año anterior, en el que se describieron 21 casos), alcanzando una frecuencia del 3,59% del total de incidentes, un porcentaje discretamente superior con respecto a los años previos, como se representa en el gráfico 21.</w:t>
      </w:r>
    </w:p>
    <w:p w:rsidR="005B4780" w:rsidRPr="005B4780" w:rsidRDefault="005B4780" w:rsidP="00D27103"/>
    <w:p w:rsidR="00260936" w:rsidRDefault="00260936">
      <w:pPr>
        <w:jc w:val="left"/>
      </w:pPr>
      <w:r>
        <w:br w:type="page"/>
      </w:r>
    </w:p>
    <w:p w:rsidR="005B4780" w:rsidRPr="005B4780" w:rsidRDefault="005B4780" w:rsidP="00D27103">
      <w:r w:rsidRPr="005B4780">
        <w:lastRenderedPageBreak/>
        <w:t xml:space="preserve">Gráfico 21. </w:t>
      </w:r>
    </w:p>
    <w:p w:rsidR="005B4780" w:rsidRPr="005B4780" w:rsidRDefault="005B4780" w:rsidP="005B4780">
      <w:pPr>
        <w:rPr>
          <w:szCs w:val="20"/>
          <w:lang w:eastAsia="x-none"/>
        </w:rPr>
      </w:pPr>
      <w:r w:rsidRPr="005B4780">
        <w:rPr>
          <w:szCs w:val="20"/>
          <w:lang w:eastAsia="x-none"/>
        </w:rPr>
        <w:drawing>
          <wp:inline distT="0" distB="0" distL="0" distR="0" wp14:anchorId="71366C81" wp14:editId="4FED8261">
            <wp:extent cx="5047013" cy="2600696"/>
            <wp:effectExtent l="0" t="0" r="1270" b="9525"/>
            <wp:docPr id="3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5B4780" w:rsidRPr="005B4780" w:rsidRDefault="005B4780" w:rsidP="005B4780">
      <w:pPr>
        <w:rPr>
          <w:szCs w:val="20"/>
          <w:lang w:eastAsia="x-none"/>
        </w:rPr>
      </w:pPr>
    </w:p>
    <w:p w:rsidR="005B4780" w:rsidRPr="005B4780" w:rsidRDefault="005B4780" w:rsidP="00D27103">
      <w:r w:rsidRPr="005B4780">
        <w:t>La media de edad en el momento de la reacción fue de 53,60 años, con un mínimo de 22 años y un máximo de 73 años. Durante el año 2020 se produjo esta reacción con una ratio</w:t>
      </w:r>
    </w:p>
    <w:p w:rsidR="005B4780" w:rsidRPr="005B4780" w:rsidRDefault="005B4780" w:rsidP="00D27103">
      <w:r w:rsidRPr="005B4780">
        <w:t xml:space="preserve">varón/mujer de 0.42 (3 varones y 7 mujeres). Cabe destacar que 2 de los 10 casos han sido valorados con una gravedad &gt; 2, lo que supone el 20% de los mismos. </w:t>
      </w:r>
    </w:p>
    <w:p w:rsidR="005B4780" w:rsidRPr="005B4780" w:rsidRDefault="005B4780" w:rsidP="00D27103">
      <w:r w:rsidRPr="005B4780">
        <w:t xml:space="preserve">En cuanto al componente sanguíneo implicado, fueron los concentrados de hematíes los más frecuentemente asociados con esta reacción transfusional (5 casos, 50%), seguido de multicomponentes (3 casos, 30%) y plaquetas (2 casos, 20%). Estos resultados se muestran en el gráfico 22. </w:t>
      </w:r>
    </w:p>
    <w:p w:rsidR="005B4780" w:rsidRPr="005B4780" w:rsidRDefault="005B4780" w:rsidP="00D27103"/>
    <w:p w:rsidR="00D27103" w:rsidRDefault="00D27103">
      <w:pPr>
        <w:jc w:val="left"/>
      </w:pPr>
    </w:p>
    <w:p w:rsidR="005B4780" w:rsidRPr="005B4780" w:rsidRDefault="005B4780" w:rsidP="00D27103">
      <w:r w:rsidRPr="005B4780">
        <w:t xml:space="preserve">Gráfico 22. </w:t>
      </w:r>
    </w:p>
    <w:p w:rsidR="005B4780" w:rsidRPr="005B4780" w:rsidRDefault="005B4780" w:rsidP="005B4780">
      <w:pPr>
        <w:rPr>
          <w:szCs w:val="20"/>
          <w:lang w:eastAsia="x-none"/>
        </w:rPr>
      </w:pPr>
      <w:r w:rsidRPr="005B4780">
        <w:rPr>
          <w:szCs w:val="20"/>
          <w:lang w:eastAsia="x-none"/>
        </w:rPr>
        <w:drawing>
          <wp:inline distT="0" distB="0" distL="0" distR="0" wp14:anchorId="65AFA445" wp14:editId="1E3DCD86">
            <wp:extent cx="4987636" cy="2162175"/>
            <wp:effectExtent l="0" t="0" r="3810" b="9525"/>
            <wp:docPr id="354"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5B4780" w:rsidRPr="005B4780" w:rsidRDefault="005B4780" w:rsidP="00D27103">
      <w:r w:rsidRPr="005B4780">
        <w:lastRenderedPageBreak/>
        <w:t xml:space="preserve">De los 10 casos notificados de TRALI, se ha completado el estudio en 3 de ellos (30%), identificándose un mecanismo inmune en 2 (20%). </w:t>
      </w:r>
    </w:p>
    <w:p w:rsidR="005B4780" w:rsidRPr="005B4780" w:rsidRDefault="005B4780" w:rsidP="00D27103">
      <w:r w:rsidRPr="005B4780">
        <w:t xml:space="preserve">En el primer caso, la paciente es una mujer de 24 años que recibe un concentrado de hematíes. EL estudio de esta paciente demuestra presencia de anticuerpos antineutrófilos IgG anti-HNA 3B a muy baja intensidad de fluorescencia (710 MFI), mediante citometría de flujo, mientras que el único donante, varón sin antecedentes transfusionales no presenta anticuerpos antineutrófilo ni antiHLA clase I y II. </w:t>
      </w:r>
    </w:p>
    <w:p w:rsidR="005B4780" w:rsidRPr="005B4780" w:rsidRDefault="005B4780" w:rsidP="00D27103">
      <w:r w:rsidRPr="005B4780">
        <w:t xml:space="preserve">En el segundo caso, el paciente es un varón de 22 años que recibe 1/2 pool de plaquetas inactivados, procedente de 8 buffy-coats. En el estudio se identifica a una donante mujer de 48 años, con antecedentes gestacionales, que presenta anticuerpos anti-HLA clase I y clase II a intensidad baja (1700-5700 MFI). No presenta anticuerpos antineutrófilos. Se procede a su exclusión como donante.   </w:t>
      </w:r>
    </w:p>
    <w:p w:rsidR="005B4780" w:rsidRPr="005B4780" w:rsidRDefault="005B4780" w:rsidP="005B4780">
      <w:pPr>
        <w:rPr>
          <w:szCs w:val="20"/>
          <w:lang w:eastAsia="x-none"/>
        </w:rPr>
      </w:pPr>
    </w:p>
    <w:p w:rsidR="005B4780" w:rsidRPr="00D27103" w:rsidRDefault="005B4780" w:rsidP="00D27103">
      <w:pPr>
        <w:pStyle w:val="Ttulo3"/>
      </w:pPr>
      <w:r w:rsidRPr="00D27103">
        <w:t>Hemosiderosis:</w:t>
      </w:r>
    </w:p>
    <w:p w:rsidR="005B4780" w:rsidRPr="005B4780" w:rsidRDefault="005B4780" w:rsidP="005B4780">
      <w:pPr>
        <w:rPr>
          <w:szCs w:val="20"/>
          <w:u w:val="single"/>
          <w:lang w:eastAsia="x-none"/>
        </w:rPr>
      </w:pPr>
    </w:p>
    <w:p w:rsidR="005B4780" w:rsidRPr="005B4780" w:rsidRDefault="005B4780" w:rsidP="00D27103">
      <w:r w:rsidRPr="005B4780">
        <w:t xml:space="preserve">La hemosiderosis es la reacción trasfusional que ocupa el cuarto lugar por incidencia en la Comunidad de Madrid durante el año 2020, habiéndose comunicado 35 casos de hemosiderosis postransfusional como consecuencia de la transfusión de concentrados de hematíes, cuyos datos quedan reflejados en la tabla 9. </w:t>
      </w:r>
    </w:p>
    <w:p w:rsidR="005B4780" w:rsidRPr="005B4780" w:rsidRDefault="005B4780" w:rsidP="00D27103">
      <w:r w:rsidRPr="005B4780">
        <w:t>Una leve mayoría de los pacientes han sido varones, 18 de los 35, lo que supone el 51,42% del total, y por otro lado las mujeres han representado 17 casos, 48,57%. La media de edad ha sido 63,40 años.  En 4 pacientes consta la administración de tratamiento ferroquelante, a pesar de lo que se produce el efecto adverso. En el 45,71% (16 casos) se considera de gravedad 3 (morbilidad a largo plazo), y en la mayoría de los casos la imputabilidad es de 2 (91,42%).</w:t>
      </w:r>
    </w:p>
    <w:p w:rsidR="005B4780" w:rsidRPr="005B4780" w:rsidRDefault="005B4780" w:rsidP="005B4780">
      <w:pPr>
        <w:rPr>
          <w:szCs w:val="20"/>
          <w:u w:val="single"/>
          <w:lang w:eastAsia="x-none"/>
        </w:rPr>
      </w:pPr>
    </w:p>
    <w:p w:rsidR="005B4780" w:rsidRPr="005B4780" w:rsidRDefault="005B4780" w:rsidP="00D27103">
      <w:r w:rsidRPr="005B4780">
        <w:t>Tabla 9.</w:t>
      </w:r>
    </w:p>
    <w:tbl>
      <w:tblPr>
        <w:tblStyle w:val="Tabladecuadrcula5oscura-nfasis1"/>
        <w:tblW w:w="8784" w:type="dxa"/>
        <w:tblLayout w:type="fixed"/>
        <w:tblLook w:val="0620" w:firstRow="1" w:lastRow="0" w:firstColumn="0" w:lastColumn="0" w:noHBand="1" w:noVBand="1"/>
      </w:tblPr>
      <w:tblGrid>
        <w:gridCol w:w="1271"/>
        <w:gridCol w:w="1134"/>
        <w:gridCol w:w="1134"/>
        <w:gridCol w:w="1276"/>
        <w:gridCol w:w="1417"/>
        <w:gridCol w:w="2552"/>
      </w:tblGrid>
      <w:tr w:rsidR="005B4780" w:rsidRPr="005B4780" w:rsidTr="00D27103">
        <w:trPr>
          <w:cnfStyle w:val="100000000000" w:firstRow="1" w:lastRow="0" w:firstColumn="0" w:lastColumn="0" w:oddVBand="0" w:evenVBand="0" w:oddHBand="0" w:evenHBand="0" w:firstRowFirstColumn="0" w:firstRowLastColumn="0" w:lastRowFirstColumn="0" w:lastRowLastColumn="0"/>
          <w:cantSplit/>
          <w:tblHeader/>
        </w:trPr>
        <w:tc>
          <w:tcPr>
            <w:tcW w:w="1271" w:type="dxa"/>
          </w:tcPr>
          <w:p w:rsidR="005B4780" w:rsidRPr="005B4780" w:rsidRDefault="005B4780" w:rsidP="005B4780">
            <w:pPr>
              <w:spacing w:after="160" w:line="259" w:lineRule="auto"/>
              <w:rPr>
                <w:szCs w:val="20"/>
                <w:lang w:eastAsia="x-none"/>
              </w:rPr>
            </w:pPr>
            <w:r w:rsidRPr="005B4780">
              <w:rPr>
                <w:szCs w:val="20"/>
                <w:lang w:eastAsia="x-none"/>
              </w:rPr>
              <w:t>Receptor</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Meses tto. transfusional</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CH transf. Ultimo año</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CH trasf. Desde diagnóstico</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Ferritina</w:t>
            </w:r>
          </w:p>
          <w:p w:rsidR="005B4780" w:rsidRPr="005B4780" w:rsidRDefault="005B4780" w:rsidP="00D27103">
            <w:pPr>
              <w:spacing w:after="160" w:line="259" w:lineRule="auto"/>
              <w:jc w:val="center"/>
              <w:rPr>
                <w:szCs w:val="20"/>
                <w:lang w:eastAsia="x-none"/>
              </w:rPr>
            </w:pPr>
            <w:r w:rsidRPr="005B4780">
              <w:rPr>
                <w:szCs w:val="20"/>
                <w:lang w:eastAsia="x-none"/>
              </w:rPr>
              <w:t>(ng/ml)</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Tratamiento quelante</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60</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46</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1111</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52</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5059</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57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41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1637</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84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2619</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71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23</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23</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1689</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lastRenderedPageBreak/>
              <w:t>Varón, 25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25</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25</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2186</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24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12</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46</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47</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9331</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91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24</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37</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7782</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71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56</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61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5526</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79</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1878</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60</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7790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60</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2550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Desferasirox 1080 mg/día</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 xml:space="preserve">Mujer, 31 </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6</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1520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 xml:space="preserve">Mujer, 44 </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5698</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56</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2705</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 xml:space="preserve">Mujer, 84 </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48</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27</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60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3560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59</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2132</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86</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9</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24</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24</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1478</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87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2645</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83</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1353</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21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2560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57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5156</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57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5540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74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55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24</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1372</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21</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24</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24</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2246</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62</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1787</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47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2940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83</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105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28</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122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1169</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Exjade 17mg/kg/día</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77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36</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44</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1557</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Exjade 14mg/kg/día</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67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108</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3785</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86</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27</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31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1358</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lastRenderedPageBreak/>
              <w:t>Mujer, 80</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15</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32</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1244</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Exjade 360mg/8h</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Varón, 62</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20</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2799</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75</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8</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21</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2180</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r w:rsidR="005B4780" w:rsidRPr="005B4780" w:rsidTr="00D27103">
        <w:tc>
          <w:tcPr>
            <w:tcW w:w="1271" w:type="dxa"/>
          </w:tcPr>
          <w:p w:rsidR="005B4780" w:rsidRPr="005B4780" w:rsidRDefault="005B4780" w:rsidP="005B4780">
            <w:pPr>
              <w:spacing w:after="160" w:line="259" w:lineRule="auto"/>
              <w:rPr>
                <w:szCs w:val="20"/>
                <w:lang w:eastAsia="x-none"/>
              </w:rPr>
            </w:pPr>
            <w:r w:rsidRPr="005B4780">
              <w:rPr>
                <w:szCs w:val="20"/>
                <w:lang w:eastAsia="x-none"/>
              </w:rPr>
              <w:t>Mujer, 86</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14</w:t>
            </w:r>
          </w:p>
        </w:tc>
        <w:tc>
          <w:tcPr>
            <w:tcW w:w="1134" w:type="dxa"/>
          </w:tcPr>
          <w:p w:rsidR="005B4780" w:rsidRPr="005B4780" w:rsidRDefault="005B4780" w:rsidP="00D27103">
            <w:pPr>
              <w:spacing w:after="160" w:line="259" w:lineRule="auto"/>
              <w:jc w:val="center"/>
              <w:rPr>
                <w:szCs w:val="20"/>
                <w:lang w:eastAsia="x-none"/>
              </w:rPr>
            </w:pPr>
            <w:r w:rsidRPr="005B4780">
              <w:rPr>
                <w:szCs w:val="20"/>
                <w:lang w:eastAsia="x-none"/>
              </w:rPr>
              <w:t>43</w:t>
            </w:r>
          </w:p>
        </w:tc>
        <w:tc>
          <w:tcPr>
            <w:tcW w:w="1276" w:type="dxa"/>
          </w:tcPr>
          <w:p w:rsidR="005B4780" w:rsidRPr="005B4780" w:rsidRDefault="005B4780" w:rsidP="00D27103">
            <w:pPr>
              <w:spacing w:after="160" w:line="259" w:lineRule="auto"/>
              <w:jc w:val="center"/>
              <w:rPr>
                <w:szCs w:val="20"/>
                <w:lang w:eastAsia="x-none"/>
              </w:rPr>
            </w:pPr>
            <w:r w:rsidRPr="005B4780">
              <w:rPr>
                <w:szCs w:val="20"/>
                <w:lang w:eastAsia="x-none"/>
              </w:rPr>
              <w:t>46</w:t>
            </w:r>
          </w:p>
        </w:tc>
        <w:tc>
          <w:tcPr>
            <w:tcW w:w="1417" w:type="dxa"/>
          </w:tcPr>
          <w:p w:rsidR="005B4780" w:rsidRPr="005B4780" w:rsidRDefault="005B4780" w:rsidP="00D27103">
            <w:pPr>
              <w:spacing w:after="160" w:line="259" w:lineRule="auto"/>
              <w:jc w:val="center"/>
              <w:rPr>
                <w:szCs w:val="20"/>
                <w:lang w:eastAsia="x-none"/>
              </w:rPr>
            </w:pPr>
            <w:r w:rsidRPr="005B4780">
              <w:rPr>
                <w:szCs w:val="20"/>
                <w:lang w:eastAsia="x-none"/>
              </w:rPr>
              <w:t>2031</w:t>
            </w:r>
          </w:p>
        </w:tc>
        <w:tc>
          <w:tcPr>
            <w:tcW w:w="2552" w:type="dxa"/>
          </w:tcPr>
          <w:p w:rsidR="005B4780" w:rsidRPr="005B4780" w:rsidRDefault="005B4780" w:rsidP="00D27103">
            <w:pPr>
              <w:spacing w:after="160" w:line="259" w:lineRule="auto"/>
              <w:jc w:val="center"/>
              <w:rPr>
                <w:szCs w:val="20"/>
                <w:lang w:eastAsia="x-none"/>
              </w:rPr>
            </w:pPr>
            <w:r w:rsidRPr="005B4780">
              <w:rPr>
                <w:szCs w:val="20"/>
                <w:lang w:eastAsia="x-none"/>
              </w:rPr>
              <w:t>No</w:t>
            </w:r>
          </w:p>
        </w:tc>
      </w:tr>
    </w:tbl>
    <w:p w:rsidR="005B4780" w:rsidRPr="005B4780" w:rsidRDefault="005B4780" w:rsidP="005B4780">
      <w:pPr>
        <w:rPr>
          <w:szCs w:val="20"/>
          <w:u w:val="single"/>
          <w:lang w:eastAsia="x-none"/>
        </w:rPr>
      </w:pPr>
    </w:p>
    <w:p w:rsidR="005B4780" w:rsidRPr="005B4780" w:rsidRDefault="005B4780" w:rsidP="005B4780">
      <w:pPr>
        <w:rPr>
          <w:szCs w:val="20"/>
          <w:u w:val="single"/>
          <w:lang w:eastAsia="x-none"/>
        </w:rPr>
      </w:pPr>
    </w:p>
    <w:p w:rsidR="005B4780" w:rsidRPr="00D27103" w:rsidRDefault="005B4780" w:rsidP="00D27103">
      <w:pPr>
        <w:pStyle w:val="Ttulo3"/>
      </w:pPr>
      <w:r w:rsidRPr="00D27103">
        <w:t xml:space="preserve">Reacciones hemolíticas: </w:t>
      </w:r>
    </w:p>
    <w:p w:rsidR="00D27103" w:rsidRDefault="00D27103" w:rsidP="00D27103"/>
    <w:p w:rsidR="005B4780" w:rsidRPr="005B4780" w:rsidRDefault="005B4780" w:rsidP="00D27103">
      <w:r w:rsidRPr="005B4780">
        <w:t xml:space="preserve">La reacción hemolítica ha sido la séptima reacción más frecuente en la Comunidad de Madrid en el año 2020, habiéndose identificado 11 casos. </w:t>
      </w:r>
    </w:p>
    <w:p w:rsidR="005B4780" w:rsidRPr="005B4780" w:rsidRDefault="005B4780" w:rsidP="00D27103"/>
    <w:p w:rsidR="00D27103" w:rsidRDefault="00D27103">
      <w:pPr>
        <w:jc w:val="left"/>
      </w:pPr>
    </w:p>
    <w:p w:rsidR="005B4780" w:rsidRPr="005B4780" w:rsidRDefault="005B4780" w:rsidP="00D27103">
      <w:r w:rsidRPr="005B4780">
        <w:t>Tabla 6. Reacciones hemolíticas.</w:t>
      </w:r>
    </w:p>
    <w:tbl>
      <w:tblPr>
        <w:tblStyle w:val="Tabladecuadrcula5oscura-nfasis1"/>
        <w:tblW w:w="0" w:type="auto"/>
        <w:tblLook w:val="0200" w:firstRow="0" w:lastRow="0" w:firstColumn="0" w:lastColumn="0" w:noHBand="1" w:noVBand="0"/>
      </w:tblPr>
      <w:tblGrid>
        <w:gridCol w:w="2492"/>
        <w:gridCol w:w="3897"/>
        <w:gridCol w:w="1503"/>
      </w:tblGrid>
      <w:tr w:rsidR="005B4780" w:rsidRPr="005B4780" w:rsidTr="00D27103">
        <w:trPr>
          <w:trHeight w:val="1365"/>
        </w:trPr>
        <w:tc>
          <w:tcPr>
            <w:cnfStyle w:val="000010000000" w:firstRow="0" w:lastRow="0" w:firstColumn="0" w:lastColumn="0" w:oddVBand="1" w:evenVBand="0" w:oddHBand="0" w:evenHBand="0" w:firstRowFirstColumn="0" w:firstRowLastColumn="0" w:lastRowFirstColumn="0" w:lastRowLastColumn="0"/>
            <w:tcW w:w="2492" w:type="dxa"/>
            <w:vMerge w:val="restart"/>
          </w:tcPr>
          <w:p w:rsidR="005B4780" w:rsidRPr="005B4780" w:rsidRDefault="005B4780" w:rsidP="005B4780">
            <w:pPr>
              <w:spacing w:after="160" w:line="259" w:lineRule="auto"/>
              <w:rPr>
                <w:szCs w:val="20"/>
                <w:lang w:eastAsia="x-none"/>
              </w:rPr>
            </w:pPr>
            <w:r w:rsidRPr="005B4780">
              <w:rPr>
                <w:szCs w:val="20"/>
                <w:lang w:eastAsia="x-none"/>
              </w:rPr>
              <w:t>Inmune</w:t>
            </w:r>
          </w:p>
        </w:tc>
        <w:tc>
          <w:tcPr>
            <w:tcW w:w="3897" w:type="dxa"/>
          </w:tcPr>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val="en-US" w:eastAsia="x-none"/>
              </w:rPr>
            </w:pPr>
            <w:r w:rsidRPr="005B4780">
              <w:rPr>
                <w:szCs w:val="20"/>
                <w:lang w:val="en-US" w:eastAsia="x-none"/>
              </w:rPr>
              <w:t>ABO</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val="en-US" w:eastAsia="x-none"/>
              </w:rPr>
            </w:pPr>
            <w:r w:rsidRPr="005B4780">
              <w:rPr>
                <w:szCs w:val="20"/>
                <w:lang w:val="en-US" w:eastAsia="x-none"/>
              </w:rPr>
              <w:t>-Anti-A</w:t>
            </w:r>
          </w:p>
        </w:tc>
        <w:tc>
          <w:tcPr>
            <w:cnfStyle w:val="000010000000" w:firstRow="0" w:lastRow="0" w:firstColumn="0" w:lastColumn="0" w:oddVBand="1" w:evenVBand="0" w:oddHBand="0" w:evenHBand="0" w:firstRowFirstColumn="0" w:firstRowLastColumn="0" w:lastRowFirstColumn="0" w:lastRowLastColumn="0"/>
            <w:tcW w:w="1503" w:type="dxa"/>
          </w:tcPr>
          <w:p w:rsidR="005B4780" w:rsidRPr="005B4780" w:rsidRDefault="005B4780" w:rsidP="00D27103">
            <w:pPr>
              <w:spacing w:after="160" w:line="259" w:lineRule="auto"/>
              <w:jc w:val="center"/>
              <w:rPr>
                <w:b/>
                <w:szCs w:val="20"/>
                <w:lang w:eastAsia="x-none"/>
              </w:rPr>
            </w:pPr>
            <w:r w:rsidRPr="005B4780">
              <w:rPr>
                <w:b/>
                <w:szCs w:val="20"/>
                <w:lang w:eastAsia="x-none"/>
              </w:rPr>
              <w:t>1</w:t>
            </w:r>
          </w:p>
          <w:p w:rsidR="005B4780" w:rsidRPr="005B4780" w:rsidRDefault="005B4780" w:rsidP="00D27103">
            <w:pPr>
              <w:spacing w:after="160" w:line="259" w:lineRule="auto"/>
              <w:jc w:val="center"/>
              <w:rPr>
                <w:szCs w:val="20"/>
                <w:lang w:eastAsia="x-none"/>
              </w:rPr>
            </w:pPr>
            <w:r w:rsidRPr="005B4780">
              <w:rPr>
                <w:szCs w:val="20"/>
                <w:lang w:eastAsia="x-none"/>
              </w:rPr>
              <w:t>1</w:t>
            </w:r>
          </w:p>
          <w:p w:rsidR="005B4780" w:rsidRPr="005B4780" w:rsidRDefault="005B4780" w:rsidP="00D27103">
            <w:pPr>
              <w:spacing w:after="160" w:line="259" w:lineRule="auto"/>
              <w:jc w:val="center"/>
              <w:rPr>
                <w:szCs w:val="20"/>
                <w:lang w:eastAsia="x-none"/>
              </w:rPr>
            </w:pPr>
          </w:p>
        </w:tc>
      </w:tr>
      <w:tr w:rsidR="005B4780" w:rsidRPr="005B4780" w:rsidTr="00D27103">
        <w:trPr>
          <w:trHeight w:val="3217"/>
        </w:trPr>
        <w:tc>
          <w:tcPr>
            <w:cnfStyle w:val="000010000000" w:firstRow="0" w:lastRow="0" w:firstColumn="0" w:lastColumn="0" w:oddVBand="1" w:evenVBand="0" w:oddHBand="0" w:evenHBand="0" w:firstRowFirstColumn="0" w:firstRowLastColumn="0" w:lastRowFirstColumn="0" w:lastRowLastColumn="0"/>
            <w:tcW w:w="2492" w:type="dxa"/>
            <w:vMerge/>
          </w:tcPr>
          <w:p w:rsidR="005B4780" w:rsidRPr="005B4780" w:rsidRDefault="005B4780" w:rsidP="005B4780">
            <w:pPr>
              <w:spacing w:after="160" w:line="259" w:lineRule="auto"/>
              <w:rPr>
                <w:szCs w:val="20"/>
                <w:lang w:eastAsia="x-none"/>
              </w:rPr>
            </w:pPr>
          </w:p>
        </w:tc>
        <w:tc>
          <w:tcPr>
            <w:tcW w:w="3897" w:type="dxa"/>
          </w:tcPr>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Otra especificidad</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-Anti-Fya</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-Anti-c</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val="en-US" w:eastAsia="x-none"/>
              </w:rPr>
            </w:pPr>
            <w:r w:rsidRPr="005B4780">
              <w:rPr>
                <w:szCs w:val="20"/>
                <w:lang w:val="en-US" w:eastAsia="x-none"/>
              </w:rPr>
              <w:t xml:space="preserve">-Anti-Jka </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val="en-US" w:eastAsia="x-none"/>
              </w:rPr>
            </w:pPr>
            <w:r w:rsidRPr="005B4780">
              <w:rPr>
                <w:szCs w:val="20"/>
                <w:lang w:val="en-US" w:eastAsia="x-none"/>
              </w:rPr>
              <w:t>-Anti-Jkb</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val="en-US" w:eastAsia="x-none"/>
              </w:rPr>
            </w:pPr>
            <w:r w:rsidRPr="005B4780">
              <w:rPr>
                <w:szCs w:val="20"/>
                <w:lang w:val="en-US" w:eastAsia="x-none"/>
              </w:rPr>
              <w:t>-AloAc sin identificar</w:t>
            </w:r>
          </w:p>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-AutoAc anti-e</w:t>
            </w:r>
          </w:p>
        </w:tc>
        <w:tc>
          <w:tcPr>
            <w:cnfStyle w:val="000010000000" w:firstRow="0" w:lastRow="0" w:firstColumn="0" w:lastColumn="0" w:oddVBand="1" w:evenVBand="0" w:oddHBand="0" w:evenHBand="0" w:firstRowFirstColumn="0" w:firstRowLastColumn="0" w:lastRowFirstColumn="0" w:lastRowLastColumn="0"/>
            <w:tcW w:w="1503" w:type="dxa"/>
          </w:tcPr>
          <w:p w:rsidR="005B4780" w:rsidRPr="005B4780" w:rsidRDefault="005B4780" w:rsidP="00D27103">
            <w:pPr>
              <w:spacing w:after="160" w:line="259" w:lineRule="auto"/>
              <w:jc w:val="center"/>
              <w:rPr>
                <w:b/>
                <w:szCs w:val="20"/>
                <w:lang w:eastAsia="x-none"/>
              </w:rPr>
            </w:pPr>
            <w:r w:rsidRPr="005B4780">
              <w:rPr>
                <w:b/>
                <w:szCs w:val="20"/>
                <w:lang w:eastAsia="x-none"/>
              </w:rPr>
              <w:t>8</w:t>
            </w:r>
          </w:p>
          <w:p w:rsidR="005B4780" w:rsidRPr="005B4780" w:rsidRDefault="005B4780" w:rsidP="00D27103">
            <w:pPr>
              <w:spacing w:after="160" w:line="259" w:lineRule="auto"/>
              <w:jc w:val="center"/>
              <w:rPr>
                <w:szCs w:val="20"/>
                <w:lang w:eastAsia="x-none"/>
              </w:rPr>
            </w:pPr>
            <w:r w:rsidRPr="005B4780">
              <w:rPr>
                <w:szCs w:val="20"/>
                <w:lang w:eastAsia="x-none"/>
              </w:rPr>
              <w:t>1</w:t>
            </w:r>
          </w:p>
          <w:p w:rsidR="005B4780" w:rsidRPr="005B4780" w:rsidRDefault="005B4780" w:rsidP="00D27103">
            <w:pPr>
              <w:spacing w:after="160" w:line="259" w:lineRule="auto"/>
              <w:jc w:val="center"/>
              <w:rPr>
                <w:szCs w:val="20"/>
                <w:lang w:eastAsia="x-none"/>
              </w:rPr>
            </w:pPr>
            <w:r w:rsidRPr="005B4780">
              <w:rPr>
                <w:szCs w:val="20"/>
                <w:lang w:eastAsia="x-none"/>
              </w:rPr>
              <w:t>1</w:t>
            </w:r>
          </w:p>
          <w:p w:rsidR="005B4780" w:rsidRPr="005B4780" w:rsidRDefault="005B4780" w:rsidP="00D27103">
            <w:pPr>
              <w:spacing w:after="160" w:line="259" w:lineRule="auto"/>
              <w:jc w:val="center"/>
              <w:rPr>
                <w:szCs w:val="20"/>
                <w:lang w:eastAsia="x-none"/>
              </w:rPr>
            </w:pPr>
            <w:r w:rsidRPr="005B4780">
              <w:rPr>
                <w:szCs w:val="20"/>
                <w:lang w:eastAsia="x-none"/>
              </w:rPr>
              <w:t>2</w:t>
            </w:r>
          </w:p>
          <w:p w:rsidR="005B4780" w:rsidRPr="005B4780" w:rsidRDefault="005B4780" w:rsidP="00D27103">
            <w:pPr>
              <w:spacing w:after="160" w:line="259" w:lineRule="auto"/>
              <w:jc w:val="center"/>
              <w:rPr>
                <w:szCs w:val="20"/>
                <w:lang w:eastAsia="x-none"/>
              </w:rPr>
            </w:pPr>
            <w:r w:rsidRPr="005B4780">
              <w:rPr>
                <w:szCs w:val="20"/>
                <w:lang w:eastAsia="x-none"/>
              </w:rPr>
              <w:t>1</w:t>
            </w:r>
          </w:p>
          <w:p w:rsidR="005B4780" w:rsidRPr="005B4780" w:rsidRDefault="005B4780" w:rsidP="00D27103">
            <w:pPr>
              <w:spacing w:after="160" w:line="259" w:lineRule="auto"/>
              <w:jc w:val="center"/>
              <w:rPr>
                <w:szCs w:val="20"/>
                <w:lang w:eastAsia="x-none"/>
              </w:rPr>
            </w:pPr>
            <w:r w:rsidRPr="005B4780">
              <w:rPr>
                <w:szCs w:val="20"/>
                <w:lang w:eastAsia="x-none"/>
              </w:rPr>
              <w:t>1</w:t>
            </w:r>
          </w:p>
          <w:p w:rsidR="005B4780" w:rsidRPr="005B4780" w:rsidRDefault="005B4780" w:rsidP="00D27103">
            <w:pPr>
              <w:spacing w:after="160" w:line="259" w:lineRule="auto"/>
              <w:jc w:val="center"/>
              <w:rPr>
                <w:szCs w:val="20"/>
                <w:lang w:eastAsia="x-none"/>
              </w:rPr>
            </w:pPr>
            <w:r w:rsidRPr="005B4780">
              <w:rPr>
                <w:szCs w:val="20"/>
                <w:lang w:eastAsia="x-none"/>
              </w:rPr>
              <w:t>1</w:t>
            </w:r>
          </w:p>
        </w:tc>
      </w:tr>
      <w:tr w:rsidR="005B4780" w:rsidRPr="005B4780" w:rsidTr="00D27103">
        <w:trPr>
          <w:trHeight w:val="729"/>
        </w:trPr>
        <w:tc>
          <w:tcPr>
            <w:cnfStyle w:val="000010000000" w:firstRow="0" w:lastRow="0" w:firstColumn="0" w:lastColumn="0" w:oddVBand="1" w:evenVBand="0" w:oddHBand="0" w:evenHBand="0" w:firstRowFirstColumn="0" w:firstRowLastColumn="0" w:lastRowFirstColumn="0" w:lastRowLastColumn="0"/>
            <w:tcW w:w="2492" w:type="dxa"/>
          </w:tcPr>
          <w:p w:rsidR="005B4780" w:rsidRPr="005B4780" w:rsidRDefault="005B4780" w:rsidP="005B4780">
            <w:pPr>
              <w:spacing w:after="160" w:line="259" w:lineRule="auto"/>
              <w:rPr>
                <w:szCs w:val="20"/>
                <w:lang w:eastAsia="x-none"/>
              </w:rPr>
            </w:pPr>
            <w:r w:rsidRPr="005B4780">
              <w:rPr>
                <w:szCs w:val="20"/>
                <w:lang w:eastAsia="x-none"/>
              </w:rPr>
              <w:t>No identificado</w:t>
            </w:r>
          </w:p>
        </w:tc>
        <w:tc>
          <w:tcPr>
            <w:tcW w:w="3897" w:type="dxa"/>
          </w:tcPr>
          <w:p w:rsidR="005B4780" w:rsidRPr="005B4780" w:rsidRDefault="005B4780" w:rsidP="005B4780">
            <w:pPr>
              <w:spacing w:after="160" w:line="259" w:lineRule="auto"/>
              <w:cnfStyle w:val="000000000000" w:firstRow="0" w:lastRow="0" w:firstColumn="0" w:lastColumn="0" w:oddVBand="0" w:evenVBand="0" w:oddHBand="0" w:evenHBand="0" w:firstRowFirstColumn="0" w:firstRowLastColumn="0" w:lastRowFirstColumn="0" w:lastRowLastColumn="0"/>
              <w:rPr>
                <w:szCs w:val="20"/>
                <w:lang w:eastAsia="x-none"/>
              </w:rPr>
            </w:pPr>
          </w:p>
        </w:tc>
        <w:tc>
          <w:tcPr>
            <w:cnfStyle w:val="000010000000" w:firstRow="0" w:lastRow="0" w:firstColumn="0" w:lastColumn="0" w:oddVBand="1" w:evenVBand="0" w:oddHBand="0" w:evenHBand="0" w:firstRowFirstColumn="0" w:firstRowLastColumn="0" w:lastRowFirstColumn="0" w:lastRowLastColumn="0"/>
            <w:tcW w:w="1503" w:type="dxa"/>
          </w:tcPr>
          <w:p w:rsidR="005B4780" w:rsidRPr="005B4780" w:rsidRDefault="005B4780" w:rsidP="00D27103">
            <w:pPr>
              <w:spacing w:after="160" w:line="259" w:lineRule="auto"/>
              <w:jc w:val="center"/>
              <w:rPr>
                <w:b/>
                <w:szCs w:val="20"/>
                <w:lang w:eastAsia="x-none"/>
              </w:rPr>
            </w:pPr>
            <w:r w:rsidRPr="005B4780">
              <w:rPr>
                <w:b/>
                <w:szCs w:val="20"/>
                <w:lang w:eastAsia="x-none"/>
              </w:rPr>
              <w:t>2</w:t>
            </w:r>
          </w:p>
        </w:tc>
      </w:tr>
    </w:tbl>
    <w:p w:rsidR="005B4780" w:rsidRPr="005B4780" w:rsidRDefault="005B4780" w:rsidP="005B4780">
      <w:pPr>
        <w:rPr>
          <w:szCs w:val="20"/>
          <w:lang w:eastAsia="x-none"/>
        </w:rPr>
      </w:pPr>
    </w:p>
    <w:p w:rsidR="005B4780" w:rsidRPr="005B4780" w:rsidRDefault="005B4780" w:rsidP="00D27103">
      <w:r w:rsidRPr="005B4780">
        <w:t xml:space="preserve">En el primer caso, se trata de una incompatibilidad ABO, que es un </w:t>
      </w:r>
      <w:r w:rsidRPr="005B4780">
        <w:rPr>
          <w:b/>
        </w:rPr>
        <w:t>error en la administración de componentes</w:t>
      </w:r>
      <w:r w:rsidRPr="005B4780">
        <w:t xml:space="preserve">, en el que una hombre de 62 años de grupo sanguíneo O positivo recibe un concentrado de hematíes A negativo, por lo que </w:t>
      </w:r>
      <w:r w:rsidRPr="005B4780">
        <w:lastRenderedPageBreak/>
        <w:t xml:space="preserve">la reacción se atribuye a la presencia de </w:t>
      </w:r>
      <w:r w:rsidRPr="005B4780">
        <w:rPr>
          <w:b/>
        </w:rPr>
        <w:t>anti-A</w:t>
      </w:r>
      <w:r w:rsidRPr="005B4780">
        <w:t xml:space="preserve"> en la paciente. Los síntomas, incluyendo hemoglobinuria, se inician durante la transfusión, requiriendo ingreso UVI para medidas de soporte, el paciente evolucionó favorablemente (gravedad 2 e imputabilidad 3).</w:t>
      </w:r>
    </w:p>
    <w:p w:rsidR="005B4780" w:rsidRPr="005B4780" w:rsidRDefault="005B4780" w:rsidP="00D27103">
      <w:r w:rsidRPr="005B4780">
        <w:t xml:space="preserve">En el segundo caso, se trata de un hombre de 73 años, que presenta una reacción hemolítica retardada, 7 días después de la transfusión de dos concentrados de hematíes, sin otra sintomatología acompañante, y cuyo estudio postransfusional demuestra la presencia de </w:t>
      </w:r>
      <w:r w:rsidRPr="005B4780">
        <w:rPr>
          <w:b/>
        </w:rPr>
        <w:t>antiFya</w:t>
      </w:r>
      <w:r w:rsidRPr="005B4780">
        <w:t xml:space="preserve">, que no se detectó en las pruebas pretransfusionales. El cuadro se considera de gravedad 1 e imputabilidad 3. </w:t>
      </w:r>
    </w:p>
    <w:p w:rsidR="005B4780" w:rsidRPr="005B4780" w:rsidRDefault="005B4780" w:rsidP="00D27103">
      <w:r w:rsidRPr="005B4780">
        <w:t xml:space="preserve">En el tercer caso, se trata de un hombre de 79 años, que presenta una reacción hemolítica retardada, 6 días después de la transfusión de 5 concentrados de hematíes, sin otra sintomatología, y cuyo estudio postransfusional detecta la presencia de </w:t>
      </w:r>
      <w:r w:rsidRPr="005B4780">
        <w:rPr>
          <w:b/>
        </w:rPr>
        <w:t>anti-c</w:t>
      </w:r>
      <w:r w:rsidRPr="005B4780">
        <w:t xml:space="preserve">.  El cuadro se considera de gravedad 1 e imputabilidad 3. </w:t>
      </w:r>
    </w:p>
    <w:p w:rsidR="005B4780" w:rsidRPr="005B4780" w:rsidRDefault="005B4780" w:rsidP="00D27103">
      <w:r w:rsidRPr="005B4780">
        <w:t xml:space="preserve">En el cuarto caso, se trata de un hombre de 64 años, que presenta una reacción hemolítica retardada, 5 días después de la transfusión de un concentrado de hematíes, detectándose en el estudio postransfusional </w:t>
      </w:r>
      <w:r w:rsidRPr="005B4780">
        <w:rPr>
          <w:b/>
        </w:rPr>
        <w:t>anti-Jka</w:t>
      </w:r>
      <w:r w:rsidRPr="005B4780">
        <w:t xml:space="preserve">. El cuadro se considera de gravedad 1 y de imputabilidad 3. </w:t>
      </w:r>
    </w:p>
    <w:p w:rsidR="005B4780" w:rsidRPr="005B4780" w:rsidRDefault="005B4780" w:rsidP="00D27103">
      <w:r w:rsidRPr="005B4780">
        <w:t xml:space="preserve">En el quinto caso, se trata de una mujer de 69 años, que presenta una reacción hemolítica retardada, 14 días después de la transfusión de dos concentrados de hematíes, detectándose en el estudio postransfusional </w:t>
      </w:r>
      <w:r w:rsidRPr="005B4780">
        <w:rPr>
          <w:b/>
        </w:rPr>
        <w:t>anti-Jkb</w:t>
      </w:r>
      <w:r w:rsidRPr="005B4780">
        <w:t xml:space="preserve">. El cuadro se considera de gravedad 1 y de imputabilidad 3. </w:t>
      </w:r>
    </w:p>
    <w:p w:rsidR="005B4780" w:rsidRPr="005B4780" w:rsidRDefault="005B4780" w:rsidP="00D27103">
      <w:r w:rsidRPr="005B4780">
        <w:t xml:space="preserve">En el sexto caso, se trata de un hombre de 86 años, que presenta una reacción hemolítica durante la transfusión de un concentrado de hematíes, acompañándose de clínica de fiebre y escalofríos. En las pruebas pretransfusionales se detectó anticuerpos anti-M y autoanti-e, al igual que en el estudio postransfusional; dado que se transfunde un concentrado de hematíes con fenotipo M-, e+, se considera que el </w:t>
      </w:r>
      <w:r w:rsidRPr="005B4780">
        <w:rPr>
          <w:b/>
        </w:rPr>
        <w:t>autoAc anti-e</w:t>
      </w:r>
      <w:r w:rsidRPr="005B4780">
        <w:t xml:space="preserve"> ha sido causante de la reacción.  El cuadro se considera de gravedad 1 y de imputabilidad 3. </w:t>
      </w:r>
    </w:p>
    <w:p w:rsidR="005B4780" w:rsidRPr="005B4780" w:rsidRDefault="005B4780" w:rsidP="00D27103">
      <w:r w:rsidRPr="005B4780">
        <w:t xml:space="preserve">En el séptimo caso, se trata de un hombre de 85 años, que presenta una reacción hemolítica a las 4 horas de la transfusión de un concentrado de hematíes, acompañándose de fiebre y hemoglobinuria, que requirió tratamiento de soporte, detectándose tanto en el estudio pretransfusional y postransfusional </w:t>
      </w:r>
      <w:r w:rsidRPr="005B4780">
        <w:rPr>
          <w:b/>
        </w:rPr>
        <w:t>una aloinmunización sin especificidad</w:t>
      </w:r>
      <w:r w:rsidRPr="005B4780">
        <w:t xml:space="preserve">. El cuadro se considera de gravedad 1 y de imputabilidad 3. </w:t>
      </w:r>
    </w:p>
    <w:p w:rsidR="005B4780" w:rsidRPr="005B4780" w:rsidRDefault="005B4780" w:rsidP="00D27103">
      <w:r w:rsidRPr="005B4780">
        <w:t xml:space="preserve">En el octavo caso, se trata de un hombre de 85 años, que presenta una reacción hemolítica posterior a la transfusión de un concentrado de hematíes, acompañándose de fiebre, escalofríos y hemoglobinuria, que requirió tratamiento de soporte, detectándose tanto en el estudio pretransfusional y postransfusional </w:t>
      </w:r>
      <w:r w:rsidRPr="005B4780">
        <w:rPr>
          <w:b/>
        </w:rPr>
        <w:t>un autoanticuerpo sin especifidad</w:t>
      </w:r>
      <w:r w:rsidRPr="005B4780">
        <w:t xml:space="preserve">. El cuadro se considera de gravedad 1 y de imputabilidad 2. </w:t>
      </w:r>
    </w:p>
    <w:p w:rsidR="005B4780" w:rsidRPr="005B4780" w:rsidRDefault="005B4780" w:rsidP="00D27103">
      <w:r w:rsidRPr="005B4780">
        <w:lastRenderedPageBreak/>
        <w:t xml:space="preserve">En el noveno caso, se trata de un hombre de 26 años, que presenta un </w:t>
      </w:r>
      <w:r w:rsidRPr="005B4780">
        <w:rPr>
          <w:b/>
        </w:rPr>
        <w:t>síndrome hiperhemolítico</w:t>
      </w:r>
      <w:r w:rsidRPr="005B4780">
        <w:t xml:space="preserve"> en el contexto de un post-trasplante de progenitores hematopoyéticos y transfusión de concentrados de hematíes por anemia en el día +141 del trasplante. El cuadro se considera de gravedad 3 y de imputabilidad 3. </w:t>
      </w:r>
    </w:p>
    <w:p w:rsidR="005B4780" w:rsidRPr="005B4780" w:rsidRDefault="005B4780" w:rsidP="00D27103">
      <w:r w:rsidRPr="005B4780">
        <w:t xml:space="preserve">El décimo y undécimo caso, se trata de reacciones hemolíticas por </w:t>
      </w:r>
      <w:r w:rsidRPr="005B4780">
        <w:rPr>
          <w:b/>
        </w:rPr>
        <w:t>errores en la administración de componentes</w:t>
      </w:r>
      <w:r w:rsidRPr="005B4780">
        <w:t xml:space="preserve"> consistentes en la transfusión de un componente transfundido (concentrado de hematíes) a un paciente distinto del previsto. El primer caso es consecuencia de un error en la identificación del receptor, se trata de  un hombre de 61 años, que presenta una reacción hemolítica tras la transfusión  de un concentrado de hematíes, acompañándose de disnea, escalofríos y hemoglobinuria considerándose de gravedad 2 e imputabilidad 2. El segundo caso es de hombre de 81 años que se encontraba ya en la UVI, que presenta un cuadro de hemoglobinuria al recibir un concentrado de hematíes de un paciente distinto, el cuadro se considera de gravedad 2 y de imputabilidad 2. En ambos casos no se ha especificado el agente implicado en la hemólisis.</w:t>
      </w:r>
    </w:p>
    <w:p w:rsidR="005B4780" w:rsidRPr="005B4780" w:rsidRDefault="005B4780" w:rsidP="00D27103"/>
    <w:p w:rsidR="005B4780" w:rsidRPr="005B4780" w:rsidRDefault="005B4780" w:rsidP="00D27103">
      <w:r w:rsidRPr="005B4780">
        <w:t xml:space="preserve">En la Tabla 6 se muestran las especificidades de las reacciones hemolíticas. </w:t>
      </w:r>
    </w:p>
    <w:p w:rsidR="005B4780" w:rsidRPr="005B4780" w:rsidRDefault="005B4780" w:rsidP="005B4780">
      <w:pPr>
        <w:rPr>
          <w:szCs w:val="20"/>
          <w:lang w:eastAsia="x-none"/>
        </w:rPr>
      </w:pPr>
    </w:p>
    <w:p w:rsidR="005B4780" w:rsidRPr="00D27103" w:rsidRDefault="005B4780" w:rsidP="00D27103">
      <w:pPr>
        <w:pStyle w:val="Ttulo3"/>
      </w:pPr>
      <w:r w:rsidRPr="00D27103">
        <w:t xml:space="preserve">Complicaciones infecciosas: </w:t>
      </w:r>
    </w:p>
    <w:p w:rsidR="005B4780" w:rsidRPr="005B4780" w:rsidRDefault="005B4780" w:rsidP="005B4780">
      <w:pPr>
        <w:rPr>
          <w:szCs w:val="20"/>
          <w:u w:val="single"/>
          <w:lang w:eastAsia="x-none"/>
        </w:rPr>
      </w:pPr>
    </w:p>
    <w:p w:rsidR="005B4780" w:rsidRPr="005B4780" w:rsidRDefault="005B4780" w:rsidP="00D27103">
      <w:r w:rsidRPr="005B4780">
        <w:t xml:space="preserve">Durante el año 2020, se han notificado 2 casos de sospecha de </w:t>
      </w:r>
      <w:r w:rsidRPr="00D27103">
        <w:rPr>
          <w:b/>
        </w:rPr>
        <w:t>infección vírica transmitida por transfusión,</w:t>
      </w:r>
      <w:r w:rsidRPr="005B4780">
        <w:t xml:space="preserve"> ambas por VIH. Los dos casos se tratan de mujeres, con una edad media de 43 años, con un rango de 33 a 53. Uno de los casos fue considerado con gravedad 3 (morbilidad a largo plazo). En la tabla 7 se muestran los detalles de los casos.</w:t>
      </w:r>
    </w:p>
    <w:p w:rsidR="005B4780" w:rsidRPr="005B4780" w:rsidRDefault="005B4780" w:rsidP="00D27103"/>
    <w:p w:rsidR="005B4780" w:rsidRPr="005B4780" w:rsidRDefault="005B4780" w:rsidP="00D27103">
      <w:r w:rsidRPr="005B4780">
        <w:t xml:space="preserve">Tabla 7. </w:t>
      </w:r>
    </w:p>
    <w:tbl>
      <w:tblPr>
        <w:tblStyle w:val="Tabladecuadrcula5oscura-nfasis1"/>
        <w:tblW w:w="0" w:type="auto"/>
        <w:tblLook w:val="0620" w:firstRow="1" w:lastRow="0" w:firstColumn="0" w:lastColumn="0" w:noHBand="1" w:noVBand="1"/>
      </w:tblPr>
      <w:tblGrid>
        <w:gridCol w:w="834"/>
        <w:gridCol w:w="739"/>
        <w:gridCol w:w="964"/>
        <w:gridCol w:w="771"/>
        <w:gridCol w:w="551"/>
        <w:gridCol w:w="503"/>
        <w:gridCol w:w="1196"/>
        <w:gridCol w:w="2369"/>
      </w:tblGrid>
      <w:tr w:rsidR="005B4780" w:rsidRPr="005B4780" w:rsidTr="00D27103">
        <w:trPr>
          <w:cnfStyle w:val="100000000000" w:firstRow="1" w:lastRow="0" w:firstColumn="0" w:lastColumn="0" w:oddVBand="0" w:evenVBand="0" w:oddHBand="0" w:evenHBand="0" w:firstRowFirstColumn="0" w:firstRowLastColumn="0" w:lastRowFirstColumn="0" w:lastRowLastColumn="0"/>
        </w:trPr>
        <w:tc>
          <w:tcPr>
            <w:tcW w:w="845"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Sexo </w:t>
            </w:r>
          </w:p>
        </w:tc>
        <w:tc>
          <w:tcPr>
            <w:tcW w:w="706"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Edad </w:t>
            </w:r>
          </w:p>
        </w:tc>
        <w:tc>
          <w:tcPr>
            <w:tcW w:w="1095"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CS </w:t>
            </w:r>
          </w:p>
        </w:tc>
        <w:tc>
          <w:tcPr>
            <w:tcW w:w="785"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Virus </w:t>
            </w:r>
          </w:p>
        </w:tc>
        <w:tc>
          <w:tcPr>
            <w:tcW w:w="604"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G </w:t>
            </w:r>
          </w:p>
        </w:tc>
        <w:tc>
          <w:tcPr>
            <w:tcW w:w="549"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I </w:t>
            </w:r>
          </w:p>
        </w:tc>
        <w:tc>
          <w:tcPr>
            <w:tcW w:w="1131" w:type="dxa"/>
          </w:tcPr>
          <w:p w:rsidR="005B4780" w:rsidRPr="005B4780" w:rsidRDefault="005B4780" w:rsidP="005B4780">
            <w:pPr>
              <w:spacing w:after="160" w:line="259" w:lineRule="auto"/>
              <w:rPr>
                <w:szCs w:val="20"/>
                <w:lang w:eastAsia="x-none"/>
              </w:rPr>
            </w:pPr>
            <w:r w:rsidRPr="005B4780">
              <w:rPr>
                <w:b w:val="0"/>
                <w:bCs w:val="0"/>
                <w:szCs w:val="20"/>
                <w:lang w:eastAsia="x-none"/>
              </w:rPr>
              <w:t xml:space="preserve">Donantes </w:t>
            </w:r>
          </w:p>
        </w:tc>
        <w:tc>
          <w:tcPr>
            <w:tcW w:w="2671" w:type="dxa"/>
          </w:tcPr>
          <w:p w:rsidR="005B4780" w:rsidRPr="005B4780" w:rsidRDefault="005B4780" w:rsidP="005B4780">
            <w:pPr>
              <w:spacing w:after="160" w:line="259" w:lineRule="auto"/>
              <w:rPr>
                <w:b w:val="0"/>
                <w:bCs w:val="0"/>
                <w:szCs w:val="20"/>
                <w:lang w:eastAsia="x-none"/>
              </w:rPr>
            </w:pPr>
            <w:r w:rsidRPr="005B4780">
              <w:rPr>
                <w:b w:val="0"/>
                <w:bCs w:val="0"/>
                <w:szCs w:val="20"/>
                <w:lang w:eastAsia="x-none"/>
              </w:rPr>
              <w:t>Estudio</w:t>
            </w:r>
          </w:p>
        </w:tc>
      </w:tr>
      <w:tr w:rsidR="00D27103" w:rsidRPr="005B4780" w:rsidTr="00D27103">
        <w:tc>
          <w:tcPr>
            <w:tcW w:w="845" w:type="dxa"/>
          </w:tcPr>
          <w:p w:rsidR="005B4780" w:rsidRPr="005B4780" w:rsidRDefault="005B4780" w:rsidP="005B4780">
            <w:pPr>
              <w:spacing w:after="160" w:line="259" w:lineRule="auto"/>
              <w:rPr>
                <w:szCs w:val="20"/>
                <w:lang w:eastAsia="x-none"/>
              </w:rPr>
            </w:pPr>
            <w:r w:rsidRPr="005B4780">
              <w:rPr>
                <w:szCs w:val="20"/>
                <w:lang w:eastAsia="x-none"/>
              </w:rPr>
              <w:t>Mujer</w:t>
            </w:r>
          </w:p>
        </w:tc>
        <w:tc>
          <w:tcPr>
            <w:tcW w:w="706" w:type="dxa"/>
          </w:tcPr>
          <w:p w:rsidR="005B4780" w:rsidRPr="005B4780" w:rsidRDefault="005B4780" w:rsidP="005B4780">
            <w:pPr>
              <w:spacing w:after="160" w:line="259" w:lineRule="auto"/>
              <w:rPr>
                <w:szCs w:val="20"/>
                <w:lang w:eastAsia="x-none"/>
              </w:rPr>
            </w:pPr>
            <w:r w:rsidRPr="005B4780">
              <w:rPr>
                <w:szCs w:val="20"/>
                <w:lang w:eastAsia="x-none"/>
              </w:rPr>
              <w:t>33</w:t>
            </w:r>
          </w:p>
        </w:tc>
        <w:tc>
          <w:tcPr>
            <w:tcW w:w="1095" w:type="dxa"/>
          </w:tcPr>
          <w:p w:rsidR="005B4780" w:rsidRPr="005B4780" w:rsidRDefault="005B4780" w:rsidP="005B4780">
            <w:pPr>
              <w:spacing w:after="160" w:line="259" w:lineRule="auto"/>
              <w:rPr>
                <w:szCs w:val="20"/>
                <w:lang w:eastAsia="x-none"/>
              </w:rPr>
            </w:pPr>
            <w:r w:rsidRPr="005B4780">
              <w:rPr>
                <w:szCs w:val="20"/>
                <w:lang w:eastAsia="x-none"/>
              </w:rPr>
              <w:t xml:space="preserve">2 CH </w:t>
            </w:r>
          </w:p>
        </w:tc>
        <w:tc>
          <w:tcPr>
            <w:tcW w:w="785" w:type="dxa"/>
          </w:tcPr>
          <w:p w:rsidR="005B4780" w:rsidRPr="005B4780" w:rsidRDefault="005B4780" w:rsidP="005B4780">
            <w:pPr>
              <w:spacing w:after="160" w:line="259" w:lineRule="auto"/>
              <w:rPr>
                <w:szCs w:val="20"/>
                <w:lang w:eastAsia="x-none"/>
              </w:rPr>
            </w:pPr>
            <w:r w:rsidRPr="005B4780">
              <w:rPr>
                <w:szCs w:val="20"/>
                <w:lang w:eastAsia="x-none"/>
              </w:rPr>
              <w:t xml:space="preserve">VIH </w:t>
            </w:r>
          </w:p>
        </w:tc>
        <w:tc>
          <w:tcPr>
            <w:tcW w:w="604" w:type="dxa"/>
          </w:tcPr>
          <w:p w:rsidR="005B4780" w:rsidRPr="005B4780" w:rsidRDefault="005B4780" w:rsidP="005B4780">
            <w:pPr>
              <w:spacing w:after="160" w:line="259" w:lineRule="auto"/>
              <w:rPr>
                <w:szCs w:val="20"/>
                <w:lang w:eastAsia="x-none"/>
              </w:rPr>
            </w:pPr>
            <w:r w:rsidRPr="005B4780">
              <w:rPr>
                <w:szCs w:val="20"/>
                <w:lang w:eastAsia="x-none"/>
              </w:rPr>
              <w:t xml:space="preserve">1 </w:t>
            </w:r>
          </w:p>
        </w:tc>
        <w:tc>
          <w:tcPr>
            <w:tcW w:w="549" w:type="dxa"/>
          </w:tcPr>
          <w:p w:rsidR="005B4780" w:rsidRPr="005B4780" w:rsidRDefault="005B4780" w:rsidP="005B4780">
            <w:pPr>
              <w:spacing w:after="160" w:line="259" w:lineRule="auto"/>
              <w:rPr>
                <w:szCs w:val="20"/>
                <w:lang w:eastAsia="x-none"/>
              </w:rPr>
            </w:pPr>
            <w:r w:rsidRPr="005B4780">
              <w:rPr>
                <w:szCs w:val="20"/>
                <w:lang w:eastAsia="x-none"/>
              </w:rPr>
              <w:t>0</w:t>
            </w:r>
          </w:p>
        </w:tc>
        <w:tc>
          <w:tcPr>
            <w:tcW w:w="1131" w:type="dxa"/>
          </w:tcPr>
          <w:p w:rsidR="005B4780" w:rsidRPr="005B4780" w:rsidRDefault="005B4780" w:rsidP="005B4780">
            <w:pPr>
              <w:spacing w:after="160" w:line="259" w:lineRule="auto"/>
              <w:rPr>
                <w:szCs w:val="20"/>
                <w:lang w:eastAsia="x-none"/>
              </w:rPr>
            </w:pPr>
            <w:r w:rsidRPr="005B4780">
              <w:rPr>
                <w:szCs w:val="20"/>
                <w:lang w:eastAsia="x-none"/>
              </w:rPr>
              <w:t>2</w:t>
            </w:r>
          </w:p>
        </w:tc>
        <w:tc>
          <w:tcPr>
            <w:tcW w:w="2671" w:type="dxa"/>
          </w:tcPr>
          <w:p w:rsidR="005B4780" w:rsidRPr="005B4780" w:rsidRDefault="005B4780" w:rsidP="005B4780">
            <w:pPr>
              <w:spacing w:after="160" w:line="259" w:lineRule="auto"/>
              <w:rPr>
                <w:szCs w:val="20"/>
                <w:lang w:eastAsia="x-none"/>
              </w:rPr>
            </w:pPr>
            <w:r w:rsidRPr="005B4780">
              <w:rPr>
                <w:szCs w:val="20"/>
                <w:lang w:eastAsia="x-none"/>
              </w:rPr>
              <w:t>2 negativos</w:t>
            </w:r>
          </w:p>
        </w:tc>
      </w:tr>
      <w:tr w:rsidR="005B4780" w:rsidRPr="005B4780" w:rsidTr="00D27103">
        <w:tc>
          <w:tcPr>
            <w:tcW w:w="845" w:type="dxa"/>
          </w:tcPr>
          <w:p w:rsidR="005B4780" w:rsidRPr="005B4780" w:rsidRDefault="005B4780" w:rsidP="005B4780">
            <w:pPr>
              <w:spacing w:after="160" w:line="259" w:lineRule="auto"/>
              <w:rPr>
                <w:szCs w:val="20"/>
                <w:lang w:eastAsia="x-none"/>
              </w:rPr>
            </w:pPr>
            <w:r w:rsidRPr="005B4780">
              <w:rPr>
                <w:szCs w:val="20"/>
                <w:lang w:eastAsia="x-none"/>
              </w:rPr>
              <w:t xml:space="preserve">Mujer </w:t>
            </w:r>
          </w:p>
        </w:tc>
        <w:tc>
          <w:tcPr>
            <w:tcW w:w="706" w:type="dxa"/>
          </w:tcPr>
          <w:p w:rsidR="005B4780" w:rsidRPr="005B4780" w:rsidRDefault="005B4780" w:rsidP="005B4780">
            <w:pPr>
              <w:spacing w:after="160" w:line="259" w:lineRule="auto"/>
              <w:rPr>
                <w:szCs w:val="20"/>
                <w:lang w:eastAsia="x-none"/>
              </w:rPr>
            </w:pPr>
            <w:r w:rsidRPr="005B4780">
              <w:rPr>
                <w:szCs w:val="20"/>
                <w:lang w:eastAsia="x-none"/>
              </w:rPr>
              <w:t>52</w:t>
            </w:r>
          </w:p>
        </w:tc>
        <w:tc>
          <w:tcPr>
            <w:tcW w:w="1095" w:type="dxa"/>
          </w:tcPr>
          <w:p w:rsidR="005B4780" w:rsidRPr="005B4780" w:rsidRDefault="005B4780" w:rsidP="005B4780">
            <w:pPr>
              <w:spacing w:after="160" w:line="259" w:lineRule="auto"/>
              <w:rPr>
                <w:szCs w:val="20"/>
                <w:lang w:eastAsia="x-none"/>
              </w:rPr>
            </w:pPr>
            <w:r w:rsidRPr="005B4780">
              <w:rPr>
                <w:szCs w:val="20"/>
                <w:lang w:eastAsia="x-none"/>
              </w:rPr>
              <w:t xml:space="preserve">7 CH </w:t>
            </w:r>
          </w:p>
        </w:tc>
        <w:tc>
          <w:tcPr>
            <w:tcW w:w="785" w:type="dxa"/>
          </w:tcPr>
          <w:p w:rsidR="005B4780" w:rsidRPr="005B4780" w:rsidRDefault="005B4780" w:rsidP="005B4780">
            <w:pPr>
              <w:spacing w:after="160" w:line="259" w:lineRule="auto"/>
              <w:rPr>
                <w:szCs w:val="20"/>
                <w:lang w:eastAsia="x-none"/>
              </w:rPr>
            </w:pPr>
            <w:r w:rsidRPr="005B4780">
              <w:rPr>
                <w:szCs w:val="20"/>
                <w:lang w:eastAsia="x-none"/>
              </w:rPr>
              <w:t>VIH</w:t>
            </w:r>
          </w:p>
        </w:tc>
        <w:tc>
          <w:tcPr>
            <w:tcW w:w="604" w:type="dxa"/>
          </w:tcPr>
          <w:p w:rsidR="005B4780" w:rsidRPr="005B4780" w:rsidRDefault="005B4780" w:rsidP="005B4780">
            <w:pPr>
              <w:spacing w:after="160" w:line="259" w:lineRule="auto"/>
              <w:rPr>
                <w:szCs w:val="20"/>
                <w:lang w:eastAsia="x-none"/>
              </w:rPr>
            </w:pPr>
            <w:r w:rsidRPr="005B4780">
              <w:rPr>
                <w:szCs w:val="20"/>
                <w:lang w:eastAsia="x-none"/>
              </w:rPr>
              <w:t xml:space="preserve">3 </w:t>
            </w:r>
          </w:p>
        </w:tc>
        <w:tc>
          <w:tcPr>
            <w:tcW w:w="549" w:type="dxa"/>
          </w:tcPr>
          <w:p w:rsidR="005B4780" w:rsidRPr="005B4780" w:rsidRDefault="005B4780" w:rsidP="005B4780">
            <w:pPr>
              <w:spacing w:after="160" w:line="259" w:lineRule="auto"/>
              <w:rPr>
                <w:szCs w:val="20"/>
                <w:lang w:eastAsia="x-none"/>
              </w:rPr>
            </w:pPr>
            <w:r w:rsidRPr="005B4780">
              <w:rPr>
                <w:szCs w:val="20"/>
                <w:lang w:eastAsia="x-none"/>
              </w:rPr>
              <w:t>1</w:t>
            </w:r>
          </w:p>
        </w:tc>
        <w:tc>
          <w:tcPr>
            <w:tcW w:w="1131" w:type="dxa"/>
          </w:tcPr>
          <w:p w:rsidR="005B4780" w:rsidRPr="005B4780" w:rsidRDefault="005B4780" w:rsidP="005B4780">
            <w:pPr>
              <w:spacing w:after="160" w:line="259" w:lineRule="auto"/>
              <w:rPr>
                <w:szCs w:val="20"/>
                <w:lang w:eastAsia="x-none"/>
              </w:rPr>
            </w:pPr>
            <w:r w:rsidRPr="005B4780">
              <w:rPr>
                <w:szCs w:val="20"/>
                <w:lang w:eastAsia="x-none"/>
              </w:rPr>
              <w:t>7</w:t>
            </w:r>
          </w:p>
        </w:tc>
        <w:tc>
          <w:tcPr>
            <w:tcW w:w="2671" w:type="dxa"/>
          </w:tcPr>
          <w:p w:rsidR="005B4780" w:rsidRPr="005B4780" w:rsidRDefault="005B4780" w:rsidP="00D27103">
            <w:pPr>
              <w:spacing w:after="160" w:line="259" w:lineRule="auto"/>
              <w:jc w:val="left"/>
              <w:rPr>
                <w:szCs w:val="20"/>
                <w:lang w:eastAsia="x-none"/>
              </w:rPr>
            </w:pPr>
            <w:r w:rsidRPr="005B4780">
              <w:rPr>
                <w:szCs w:val="20"/>
                <w:lang w:eastAsia="x-none"/>
              </w:rPr>
              <w:t>5 negativo, 2 pendientes</w:t>
            </w:r>
          </w:p>
        </w:tc>
      </w:tr>
    </w:tbl>
    <w:p w:rsidR="005B4780" w:rsidRPr="005B4780" w:rsidRDefault="005B4780" w:rsidP="005B4780">
      <w:pPr>
        <w:rPr>
          <w:szCs w:val="20"/>
          <w:lang w:val="en-US" w:eastAsia="x-none"/>
        </w:rPr>
      </w:pPr>
    </w:p>
    <w:p w:rsidR="005B4780" w:rsidRPr="005B4780" w:rsidRDefault="005B4780" w:rsidP="00D27103">
      <w:r w:rsidRPr="005B4780">
        <w:t xml:space="preserve">En el primer caso, el paciente fue una mujer de 33 años que recibió 2 concentrados de hematíes, procedente de 2 donantes, detectándose posteriormente infección por VIH en la paciente. El estudio de ambos donantes implicados ha sido negativos para PCR-VIH y Ac anti-VIH, por lo que se descarta </w:t>
      </w:r>
      <w:r w:rsidRPr="005B4780">
        <w:lastRenderedPageBreak/>
        <w:t xml:space="preserve">la sospecha de infección por virus de la inmunodeficiencia humana transmitida por transfusión. </w:t>
      </w:r>
    </w:p>
    <w:p w:rsidR="005B4780" w:rsidRPr="005B4780" w:rsidRDefault="005B4780" w:rsidP="00D27103"/>
    <w:p w:rsidR="005B4780" w:rsidRPr="005B4780" w:rsidRDefault="005B4780" w:rsidP="00D27103">
      <w:r w:rsidRPr="005B4780">
        <w:t>En el segundo caso, se trata de una mujer de 52 años, que recibe 7 concentrados de hematíes procedentes de otros tantos donantes. Posteriormente la paciente desarrolla una infección por VIH. El estudio analítico de los 7 donantes (incluyendo anticuerpo anti-VIH y PCR-VIH) es negativo para 5 de ellos, quedando 2 pendientes, por lo que no puede descartarse, por el momento, la sospecha de infección de VIH transmitida por transfusión.</w:t>
      </w:r>
    </w:p>
    <w:p w:rsidR="005B4780" w:rsidRPr="005B4780" w:rsidRDefault="005B4780" w:rsidP="005B4780">
      <w:pPr>
        <w:rPr>
          <w:szCs w:val="20"/>
          <w:lang w:eastAsia="x-none"/>
        </w:rPr>
      </w:pPr>
    </w:p>
    <w:p w:rsidR="005B4780" w:rsidRPr="005B4780" w:rsidRDefault="005B4780" w:rsidP="00D27103">
      <w:r w:rsidRPr="005B4780">
        <w:t xml:space="preserve">Por lo tanto, de los 2 casos de sospecha, uno ha sido descartado al haberse finalizado el estudio, quedando pendiente por concluir el estudio del segundo. En ningún caso se ha confirmado la sospecha de IVTT.  </w:t>
      </w:r>
    </w:p>
    <w:p w:rsidR="005B4780" w:rsidRPr="005B4780" w:rsidRDefault="005B4780" w:rsidP="00D27103"/>
    <w:p w:rsidR="005B4780" w:rsidRPr="005B4780" w:rsidRDefault="005B4780" w:rsidP="00D27103">
      <w:r w:rsidRPr="005B4780">
        <w:t xml:space="preserve">Durante el año 2020 se han notificado 2 casos de sospecha de </w:t>
      </w:r>
      <w:r w:rsidRPr="00D27103">
        <w:rPr>
          <w:b/>
        </w:rPr>
        <w:t>infección bacteriana transmitida</w:t>
      </w:r>
      <w:r w:rsidRPr="005B4780">
        <w:t xml:space="preserve"> por transfusión, 1 de ellos por transfusión de concentrados de hematíes y uno por transfusión de un pool de plaquetas de 5 buffy-coats, ambos casos considerados de gravedad 1 (posible, pudiera estar relacionado o no a una causa no transfusional). En la tabla 8 se muestran los detalles.</w:t>
      </w:r>
    </w:p>
    <w:p w:rsidR="005B4780" w:rsidRPr="005B4780" w:rsidRDefault="005B4780" w:rsidP="00D27103"/>
    <w:p w:rsidR="005B4780" w:rsidRPr="005B4780" w:rsidRDefault="005B4780" w:rsidP="00D27103">
      <w:r w:rsidRPr="005B4780">
        <w:t>Tabla 8.</w:t>
      </w:r>
    </w:p>
    <w:tbl>
      <w:tblPr>
        <w:tblStyle w:val="Tabladecuadrcula5oscura-nfasis1"/>
        <w:tblW w:w="0" w:type="auto"/>
        <w:tblLook w:val="0620" w:firstRow="1" w:lastRow="0" w:firstColumn="0" w:lastColumn="0" w:noHBand="1" w:noVBand="1"/>
      </w:tblPr>
      <w:tblGrid>
        <w:gridCol w:w="355"/>
        <w:gridCol w:w="894"/>
        <w:gridCol w:w="1176"/>
        <w:gridCol w:w="2852"/>
        <w:gridCol w:w="1898"/>
        <w:gridCol w:w="752"/>
      </w:tblGrid>
      <w:tr w:rsidR="005B4780" w:rsidRPr="005B4780" w:rsidTr="00D27103">
        <w:trPr>
          <w:cnfStyle w:val="100000000000" w:firstRow="1" w:lastRow="0" w:firstColumn="0" w:lastColumn="0" w:oddVBand="0" w:evenVBand="0" w:oddHBand="0" w:evenHBand="0" w:firstRowFirstColumn="0" w:firstRowLastColumn="0" w:lastRowFirstColumn="0" w:lastRowLastColumn="0"/>
        </w:trPr>
        <w:tc>
          <w:tcPr>
            <w:tcW w:w="333" w:type="dxa"/>
          </w:tcPr>
          <w:p w:rsidR="005B4780" w:rsidRPr="005B4780" w:rsidRDefault="005B4780" w:rsidP="005B4780">
            <w:pPr>
              <w:spacing w:after="160" w:line="259" w:lineRule="auto"/>
              <w:rPr>
                <w:szCs w:val="20"/>
                <w:lang w:eastAsia="x-none"/>
              </w:rPr>
            </w:pPr>
            <w:r w:rsidRPr="005B4780">
              <w:rPr>
                <w:szCs w:val="20"/>
                <w:lang w:eastAsia="x-none"/>
              </w:rPr>
              <w:t>n</w:t>
            </w:r>
          </w:p>
        </w:tc>
        <w:tc>
          <w:tcPr>
            <w:tcW w:w="801" w:type="dxa"/>
          </w:tcPr>
          <w:p w:rsidR="005B4780" w:rsidRPr="005B4780" w:rsidRDefault="005B4780" w:rsidP="005B4780">
            <w:pPr>
              <w:spacing w:after="160" w:line="259" w:lineRule="auto"/>
              <w:rPr>
                <w:szCs w:val="20"/>
                <w:lang w:eastAsia="x-none"/>
              </w:rPr>
            </w:pPr>
            <w:r w:rsidRPr="005B4780">
              <w:rPr>
                <w:szCs w:val="20"/>
                <w:lang w:eastAsia="x-none"/>
              </w:rPr>
              <w:t>Comp.</w:t>
            </w:r>
          </w:p>
        </w:tc>
        <w:tc>
          <w:tcPr>
            <w:tcW w:w="1134" w:type="dxa"/>
          </w:tcPr>
          <w:p w:rsidR="005B4780" w:rsidRPr="005B4780" w:rsidRDefault="005B4780" w:rsidP="005B4780">
            <w:pPr>
              <w:spacing w:after="160" w:line="259" w:lineRule="auto"/>
              <w:rPr>
                <w:szCs w:val="20"/>
                <w:lang w:eastAsia="x-none"/>
              </w:rPr>
            </w:pPr>
            <w:r w:rsidRPr="005B4780">
              <w:rPr>
                <w:szCs w:val="20"/>
                <w:lang w:eastAsia="x-none"/>
              </w:rPr>
              <w:t>Receptor</w:t>
            </w:r>
          </w:p>
        </w:tc>
        <w:tc>
          <w:tcPr>
            <w:tcW w:w="3289" w:type="dxa"/>
          </w:tcPr>
          <w:p w:rsidR="005B4780" w:rsidRPr="005B4780" w:rsidRDefault="005B4780" w:rsidP="005B4780">
            <w:pPr>
              <w:spacing w:after="160" w:line="259" w:lineRule="auto"/>
              <w:rPr>
                <w:szCs w:val="20"/>
                <w:lang w:eastAsia="x-none"/>
              </w:rPr>
            </w:pPr>
            <w:r w:rsidRPr="005B4780">
              <w:rPr>
                <w:szCs w:val="20"/>
                <w:lang w:eastAsia="x-none"/>
              </w:rPr>
              <w:t>Microorganismo implic.</w:t>
            </w:r>
          </w:p>
        </w:tc>
        <w:tc>
          <w:tcPr>
            <w:tcW w:w="2099" w:type="dxa"/>
          </w:tcPr>
          <w:p w:rsidR="005B4780" w:rsidRPr="005B4780" w:rsidRDefault="005B4780" w:rsidP="005B4780">
            <w:pPr>
              <w:spacing w:after="160" w:line="259" w:lineRule="auto"/>
              <w:rPr>
                <w:szCs w:val="20"/>
                <w:lang w:eastAsia="x-none"/>
              </w:rPr>
            </w:pPr>
            <w:r w:rsidRPr="005B4780">
              <w:rPr>
                <w:szCs w:val="20"/>
                <w:lang w:eastAsia="x-none"/>
              </w:rPr>
              <w:t>Aislamiento</w:t>
            </w:r>
          </w:p>
        </w:tc>
        <w:tc>
          <w:tcPr>
            <w:tcW w:w="730" w:type="dxa"/>
          </w:tcPr>
          <w:p w:rsidR="005B4780" w:rsidRPr="005B4780" w:rsidRDefault="005B4780" w:rsidP="005B4780">
            <w:pPr>
              <w:spacing w:after="160" w:line="259" w:lineRule="auto"/>
              <w:rPr>
                <w:szCs w:val="20"/>
                <w:lang w:eastAsia="x-none"/>
              </w:rPr>
            </w:pPr>
            <w:r w:rsidRPr="005B4780">
              <w:rPr>
                <w:szCs w:val="20"/>
                <w:lang w:eastAsia="x-none"/>
              </w:rPr>
              <w:t>Grav.</w:t>
            </w:r>
          </w:p>
        </w:tc>
      </w:tr>
      <w:tr w:rsidR="005B4780" w:rsidRPr="005B4780" w:rsidTr="00D27103">
        <w:tc>
          <w:tcPr>
            <w:tcW w:w="333" w:type="dxa"/>
          </w:tcPr>
          <w:p w:rsidR="005B4780" w:rsidRPr="005B4780" w:rsidRDefault="005B4780" w:rsidP="005B4780">
            <w:pPr>
              <w:spacing w:after="160" w:line="259" w:lineRule="auto"/>
              <w:rPr>
                <w:szCs w:val="20"/>
                <w:lang w:eastAsia="x-none"/>
              </w:rPr>
            </w:pPr>
            <w:r w:rsidRPr="005B4780">
              <w:rPr>
                <w:szCs w:val="20"/>
                <w:lang w:eastAsia="x-none"/>
              </w:rPr>
              <w:t>1</w:t>
            </w:r>
          </w:p>
        </w:tc>
        <w:tc>
          <w:tcPr>
            <w:tcW w:w="801" w:type="dxa"/>
          </w:tcPr>
          <w:p w:rsidR="005B4780" w:rsidRPr="005B4780" w:rsidRDefault="005B4780" w:rsidP="005B4780">
            <w:pPr>
              <w:spacing w:after="160" w:line="259" w:lineRule="auto"/>
              <w:rPr>
                <w:szCs w:val="20"/>
                <w:lang w:eastAsia="x-none"/>
              </w:rPr>
            </w:pPr>
            <w:r w:rsidRPr="005B4780">
              <w:rPr>
                <w:szCs w:val="20"/>
                <w:lang w:eastAsia="x-none"/>
              </w:rPr>
              <w:t>CH</w:t>
            </w:r>
          </w:p>
        </w:tc>
        <w:tc>
          <w:tcPr>
            <w:tcW w:w="1134" w:type="dxa"/>
          </w:tcPr>
          <w:p w:rsidR="005B4780" w:rsidRPr="005B4780" w:rsidRDefault="005B4780" w:rsidP="005B4780">
            <w:pPr>
              <w:spacing w:after="160" w:line="259" w:lineRule="auto"/>
              <w:rPr>
                <w:szCs w:val="20"/>
                <w:lang w:eastAsia="x-none"/>
              </w:rPr>
            </w:pPr>
            <w:r w:rsidRPr="005B4780">
              <w:rPr>
                <w:szCs w:val="20"/>
                <w:lang w:eastAsia="x-none"/>
              </w:rPr>
              <w:t xml:space="preserve">Varón, 81 </w:t>
            </w:r>
          </w:p>
        </w:tc>
        <w:tc>
          <w:tcPr>
            <w:tcW w:w="3289" w:type="dxa"/>
          </w:tcPr>
          <w:p w:rsidR="005B4780" w:rsidRPr="005B4780" w:rsidRDefault="005B4780" w:rsidP="005B4780">
            <w:pPr>
              <w:spacing w:after="160" w:line="259" w:lineRule="auto"/>
              <w:rPr>
                <w:szCs w:val="20"/>
                <w:lang w:eastAsia="x-none"/>
              </w:rPr>
            </w:pPr>
            <w:r w:rsidRPr="005B4780">
              <w:rPr>
                <w:szCs w:val="20"/>
                <w:lang w:eastAsia="x-none"/>
              </w:rPr>
              <w:t>erysipelothrix rhusiopathiae</w:t>
            </w:r>
          </w:p>
        </w:tc>
        <w:tc>
          <w:tcPr>
            <w:tcW w:w="2099" w:type="dxa"/>
          </w:tcPr>
          <w:p w:rsidR="005B4780" w:rsidRPr="005B4780" w:rsidRDefault="005B4780" w:rsidP="005B4780">
            <w:pPr>
              <w:spacing w:after="160" w:line="259" w:lineRule="auto"/>
              <w:rPr>
                <w:szCs w:val="20"/>
                <w:lang w:eastAsia="x-none"/>
              </w:rPr>
            </w:pPr>
            <w:r w:rsidRPr="005B4780">
              <w:rPr>
                <w:szCs w:val="20"/>
                <w:lang w:eastAsia="x-none"/>
              </w:rPr>
              <w:t>Bolsa</w:t>
            </w:r>
          </w:p>
          <w:p w:rsidR="005B4780" w:rsidRPr="005B4780" w:rsidRDefault="005B4780" w:rsidP="005B4780">
            <w:pPr>
              <w:spacing w:after="160" w:line="259" w:lineRule="auto"/>
              <w:rPr>
                <w:szCs w:val="20"/>
                <w:lang w:eastAsia="x-none"/>
              </w:rPr>
            </w:pPr>
            <w:r w:rsidRPr="005B4780">
              <w:rPr>
                <w:szCs w:val="20"/>
                <w:lang w:eastAsia="x-none"/>
              </w:rPr>
              <w:t>Paciente Negativo</w:t>
            </w:r>
          </w:p>
        </w:tc>
        <w:tc>
          <w:tcPr>
            <w:tcW w:w="730" w:type="dxa"/>
          </w:tcPr>
          <w:p w:rsidR="005B4780" w:rsidRPr="005B4780" w:rsidRDefault="005B4780" w:rsidP="005B4780">
            <w:pPr>
              <w:spacing w:after="160" w:line="259" w:lineRule="auto"/>
              <w:rPr>
                <w:szCs w:val="20"/>
                <w:lang w:eastAsia="x-none"/>
              </w:rPr>
            </w:pPr>
            <w:r w:rsidRPr="005B4780">
              <w:rPr>
                <w:szCs w:val="20"/>
                <w:lang w:eastAsia="x-none"/>
              </w:rPr>
              <w:t>1</w:t>
            </w:r>
          </w:p>
        </w:tc>
      </w:tr>
      <w:tr w:rsidR="005B4780" w:rsidRPr="005B4780" w:rsidTr="00D27103">
        <w:tc>
          <w:tcPr>
            <w:tcW w:w="333" w:type="dxa"/>
          </w:tcPr>
          <w:p w:rsidR="005B4780" w:rsidRPr="005B4780" w:rsidRDefault="005B4780" w:rsidP="005B4780">
            <w:pPr>
              <w:spacing w:after="160" w:line="259" w:lineRule="auto"/>
              <w:rPr>
                <w:szCs w:val="20"/>
                <w:lang w:eastAsia="x-none"/>
              </w:rPr>
            </w:pPr>
            <w:r w:rsidRPr="005B4780">
              <w:rPr>
                <w:szCs w:val="20"/>
                <w:lang w:eastAsia="x-none"/>
              </w:rPr>
              <w:t>2</w:t>
            </w:r>
          </w:p>
        </w:tc>
        <w:tc>
          <w:tcPr>
            <w:tcW w:w="801" w:type="dxa"/>
          </w:tcPr>
          <w:p w:rsidR="005B4780" w:rsidRPr="005B4780" w:rsidRDefault="005B4780" w:rsidP="005B4780">
            <w:pPr>
              <w:spacing w:after="160" w:line="259" w:lineRule="auto"/>
              <w:rPr>
                <w:szCs w:val="20"/>
                <w:lang w:eastAsia="x-none"/>
              </w:rPr>
            </w:pPr>
            <w:r w:rsidRPr="005B4780">
              <w:rPr>
                <w:szCs w:val="20"/>
                <w:lang w:eastAsia="x-none"/>
              </w:rPr>
              <w:t>Pool</w:t>
            </w:r>
          </w:p>
        </w:tc>
        <w:tc>
          <w:tcPr>
            <w:tcW w:w="1134" w:type="dxa"/>
          </w:tcPr>
          <w:p w:rsidR="005B4780" w:rsidRPr="005B4780" w:rsidRDefault="005B4780" w:rsidP="005B4780">
            <w:pPr>
              <w:spacing w:after="160" w:line="259" w:lineRule="auto"/>
              <w:rPr>
                <w:szCs w:val="20"/>
                <w:lang w:eastAsia="x-none"/>
              </w:rPr>
            </w:pPr>
            <w:r w:rsidRPr="005B4780">
              <w:rPr>
                <w:szCs w:val="20"/>
                <w:lang w:eastAsia="x-none"/>
              </w:rPr>
              <w:t>Mujer, 74</w:t>
            </w:r>
          </w:p>
        </w:tc>
        <w:tc>
          <w:tcPr>
            <w:tcW w:w="3289" w:type="dxa"/>
          </w:tcPr>
          <w:p w:rsidR="005B4780" w:rsidRPr="005B4780" w:rsidRDefault="005B4780" w:rsidP="005B4780">
            <w:pPr>
              <w:spacing w:after="160" w:line="259" w:lineRule="auto"/>
              <w:rPr>
                <w:szCs w:val="20"/>
                <w:lang w:eastAsia="x-none"/>
              </w:rPr>
            </w:pPr>
            <w:r w:rsidRPr="005B4780">
              <w:rPr>
                <w:szCs w:val="20"/>
                <w:lang w:eastAsia="x-none"/>
              </w:rPr>
              <w:t>S. Hominis y S. capitis Ureolyticus</w:t>
            </w:r>
          </w:p>
        </w:tc>
        <w:tc>
          <w:tcPr>
            <w:tcW w:w="2099" w:type="dxa"/>
          </w:tcPr>
          <w:p w:rsidR="005B4780" w:rsidRPr="005B4780" w:rsidRDefault="005B4780" w:rsidP="005B4780">
            <w:pPr>
              <w:spacing w:after="160" w:line="259" w:lineRule="auto"/>
              <w:rPr>
                <w:szCs w:val="20"/>
                <w:lang w:eastAsia="x-none"/>
              </w:rPr>
            </w:pPr>
            <w:r w:rsidRPr="005B4780">
              <w:rPr>
                <w:szCs w:val="20"/>
                <w:lang w:eastAsia="x-none"/>
              </w:rPr>
              <w:t>Bolsa</w:t>
            </w:r>
          </w:p>
          <w:p w:rsidR="005B4780" w:rsidRPr="005B4780" w:rsidRDefault="005B4780" w:rsidP="005B4780">
            <w:pPr>
              <w:spacing w:after="160" w:line="259" w:lineRule="auto"/>
              <w:rPr>
                <w:szCs w:val="20"/>
                <w:lang w:eastAsia="x-none"/>
              </w:rPr>
            </w:pPr>
            <w:r w:rsidRPr="005B4780">
              <w:rPr>
                <w:szCs w:val="20"/>
                <w:lang w:eastAsia="x-none"/>
              </w:rPr>
              <w:t>Paciente negativo</w:t>
            </w:r>
          </w:p>
        </w:tc>
        <w:tc>
          <w:tcPr>
            <w:tcW w:w="730" w:type="dxa"/>
          </w:tcPr>
          <w:p w:rsidR="005B4780" w:rsidRPr="005B4780" w:rsidRDefault="005B4780" w:rsidP="005B4780">
            <w:pPr>
              <w:spacing w:after="160" w:line="259" w:lineRule="auto"/>
              <w:rPr>
                <w:szCs w:val="20"/>
                <w:lang w:eastAsia="x-none"/>
              </w:rPr>
            </w:pPr>
            <w:r w:rsidRPr="005B4780">
              <w:rPr>
                <w:szCs w:val="20"/>
                <w:lang w:eastAsia="x-none"/>
              </w:rPr>
              <w:t>1</w:t>
            </w:r>
          </w:p>
        </w:tc>
      </w:tr>
    </w:tbl>
    <w:p w:rsidR="005B4780" w:rsidRPr="005B4780" w:rsidRDefault="005B4780" w:rsidP="005B4780">
      <w:pPr>
        <w:rPr>
          <w:szCs w:val="20"/>
          <w:lang w:eastAsia="x-none"/>
        </w:rPr>
      </w:pPr>
    </w:p>
    <w:p w:rsidR="005B4780" w:rsidRPr="005B4780" w:rsidRDefault="005B4780" w:rsidP="00D27103">
      <w:r w:rsidRPr="005B4780">
        <w:t>En ambos casos el cultivo de la bolsa es positivo pero el estudio del paciente es negativo. Por ello, no podemos confirmar la sospecha de infección bacteriana transmitida por transfusión en ninguno de los casos.</w:t>
      </w:r>
    </w:p>
    <w:p w:rsidR="005B4780" w:rsidRPr="005B4780" w:rsidRDefault="005B4780" w:rsidP="00D27103"/>
    <w:p w:rsidR="005B4780" w:rsidRPr="005B4780" w:rsidRDefault="005B4780" w:rsidP="00D27103">
      <w:r w:rsidRPr="005B4780">
        <w:t xml:space="preserve">En cuanto a </w:t>
      </w:r>
      <w:r w:rsidRPr="00D27103">
        <w:rPr>
          <w:b/>
        </w:rPr>
        <w:t>infestaciones parasitarias transmitidas por transfusión</w:t>
      </w:r>
      <w:r w:rsidRPr="005B4780">
        <w:t xml:space="preserve">, no se ha comunicado ningún caso durante el año 2020. </w:t>
      </w:r>
    </w:p>
    <w:p w:rsidR="00D27103" w:rsidRDefault="00D27103">
      <w:pPr>
        <w:jc w:val="left"/>
        <w:rPr>
          <w:szCs w:val="20"/>
          <w:u w:val="single"/>
          <w:lang w:eastAsia="x-none"/>
        </w:rPr>
      </w:pPr>
    </w:p>
    <w:p w:rsidR="005B4780" w:rsidRPr="00D27103" w:rsidRDefault="005B4780" w:rsidP="00D27103">
      <w:pPr>
        <w:pStyle w:val="Ttulo3"/>
      </w:pPr>
      <w:r w:rsidRPr="00D27103">
        <w:t>Otras reacciones adversas:</w:t>
      </w:r>
    </w:p>
    <w:p w:rsidR="005B4780" w:rsidRPr="005B4780" w:rsidRDefault="005B4780" w:rsidP="00D27103"/>
    <w:p w:rsidR="005B4780" w:rsidRPr="005B4780" w:rsidRDefault="005B4780" w:rsidP="00D27103">
      <w:r w:rsidRPr="005B4780">
        <w:t>En el grupo de “otras reacciones adversas” se han registrado 19 casos, cuya distribución se muestra en el gráfico 23. Incluyen 8  casos de disnea asociada a transfusión, 5 casos de náuseas y/o vómitos, 1 cuadros de diarrea, 2 cuadros de tiritona y escalofríos, 1 cuadro de hipotensión, 1 cuadro de hipertensión y dolor torácico y 1 no clasificado. La mayoría de las reacciones fueron de gravedad 2 (12 casos, 63,15%).  15 casos se produjeron en varones y 17 en mujeres, lo que implica una ratio varón/mujer de 0.88. La edad media de presentación fue de 53,05 años, con un rango de 34 a 97. La mayoría de los incidentes se produjeron en relación con la transfusión de hematíes (14 casos, 73,68%), y con menor incidencia, plasma fresco congelado (3 casos, 15,78%), plaquetas (1 caso 5,26%) y multicomponentes (1 caso, 5,26%).</w:t>
      </w:r>
    </w:p>
    <w:p w:rsidR="005B4780" w:rsidRPr="005B4780" w:rsidRDefault="005B4780" w:rsidP="00D27103"/>
    <w:p w:rsidR="005B4780" w:rsidRPr="005B4780" w:rsidRDefault="005B4780" w:rsidP="00D27103">
      <w:r w:rsidRPr="005B4780">
        <w:t>Gráfico 23.</w:t>
      </w:r>
    </w:p>
    <w:p w:rsidR="005B4780" w:rsidRPr="005B4780" w:rsidRDefault="005B4780" w:rsidP="005B4780">
      <w:pPr>
        <w:rPr>
          <w:szCs w:val="20"/>
          <w:lang w:eastAsia="x-none"/>
        </w:rPr>
      </w:pPr>
      <w:r w:rsidRPr="005B4780">
        <w:rPr>
          <w:szCs w:val="20"/>
          <w:lang w:eastAsia="x-none"/>
        </w:rPr>
        <w:drawing>
          <wp:inline distT="0" distB="0" distL="0" distR="0" wp14:anchorId="44025B15" wp14:editId="296D0075">
            <wp:extent cx="4999511" cy="2196935"/>
            <wp:effectExtent l="0" t="0" r="10795" b="13335"/>
            <wp:docPr id="355" name="Gráfico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5B4780" w:rsidRPr="005B4780" w:rsidRDefault="005B4780" w:rsidP="005B4780">
      <w:pPr>
        <w:rPr>
          <w:szCs w:val="20"/>
          <w:lang w:eastAsia="x-none"/>
        </w:rPr>
      </w:pPr>
    </w:p>
    <w:p w:rsidR="005B4780" w:rsidRPr="005B4780" w:rsidRDefault="005B4780" w:rsidP="00D27103">
      <w:r w:rsidRPr="005B4780">
        <w:t xml:space="preserve">No se ha comunicado ningún caso de enfermedad injerto contra huésped asociada a transfusión, púrpura postransfusional ni infección parasitaria transmitida por transfusión en este mismo periodo. </w:t>
      </w:r>
    </w:p>
    <w:p w:rsidR="005B4780" w:rsidRPr="005B4780" w:rsidRDefault="005B4780" w:rsidP="00D27103"/>
    <w:p w:rsidR="005B4780" w:rsidRPr="00D27103" w:rsidRDefault="005B4780" w:rsidP="00D27103">
      <w:pPr>
        <w:pStyle w:val="Ttulo3"/>
      </w:pPr>
      <w:r w:rsidRPr="00D27103">
        <w:t xml:space="preserve">Gravedad de las reacciones adversas: </w:t>
      </w:r>
    </w:p>
    <w:p w:rsidR="005B4780" w:rsidRPr="005B4780" w:rsidRDefault="005B4780" w:rsidP="005B4780">
      <w:pPr>
        <w:rPr>
          <w:szCs w:val="20"/>
          <w:lang w:eastAsia="x-none"/>
        </w:rPr>
      </w:pPr>
    </w:p>
    <w:p w:rsidR="005B4780" w:rsidRPr="005B4780" w:rsidRDefault="005B4780" w:rsidP="00D27103">
      <w:r w:rsidRPr="005B4780">
        <w:t xml:space="preserve">El gráfico 24 muestra la distribución de las 330 reacciones adversas asociadas a la transfusión, incluyendo errores en la administración de componentes, comunicadas en la Comunidad de Madrid, en las que se ha registrado el grado de gravedad. </w:t>
      </w:r>
    </w:p>
    <w:p w:rsidR="005B4780" w:rsidRPr="005B4780" w:rsidRDefault="005B4780" w:rsidP="00D27103">
      <w:pPr>
        <w:rPr>
          <w:u w:val="single"/>
        </w:rPr>
      </w:pPr>
    </w:p>
    <w:p w:rsidR="005B4780" w:rsidRPr="005B4780" w:rsidRDefault="005B4780" w:rsidP="00D27103">
      <w:r w:rsidRPr="005B4780">
        <w:lastRenderedPageBreak/>
        <w:t xml:space="preserve">La mayoría (196 casos, 59,39%) corresponden a reacciones leves (de gravedad 0, sin signos, o gravedad 1, con signos inmediatos sin riesgo vital y resolución completa). En contrapartida, las reacciones graves (gravedad ≥ 2, incluyendo 2, signos inmediatos con riesgo vital, 3, morbilidad a largo plazo, y 4, muerte del paciente) suponen el 38,48% (127casos). Hay 7 casos en los que no se ha evaluado la gravedad. Hay que destacar que el fallecimiento del paciente se ha comunicado en el 1.21% de los casos (4 casos, 3 de ellos en relación con edema pulmonar cardiogénico, 1 caso por síndrome de distrés respiratorio). </w:t>
      </w:r>
    </w:p>
    <w:p w:rsidR="005B4780" w:rsidRPr="005B4780" w:rsidRDefault="005B4780" w:rsidP="00D27103"/>
    <w:p w:rsidR="005B4780" w:rsidRPr="005B4780" w:rsidRDefault="005B4780" w:rsidP="00D27103">
      <w:r w:rsidRPr="005B4780">
        <w:t>Gráfico 24.</w:t>
      </w:r>
    </w:p>
    <w:p w:rsidR="005B4780" w:rsidRPr="005B4780" w:rsidRDefault="005B4780" w:rsidP="005B4780">
      <w:pPr>
        <w:rPr>
          <w:szCs w:val="20"/>
          <w:u w:val="single"/>
          <w:lang w:eastAsia="x-none"/>
        </w:rPr>
      </w:pPr>
      <w:r w:rsidRPr="005B4780">
        <w:rPr>
          <w:szCs w:val="20"/>
          <w:u w:val="single"/>
          <w:lang w:eastAsia="x-none"/>
        </w:rPr>
        <w:drawing>
          <wp:inline distT="0" distB="0" distL="0" distR="0" wp14:anchorId="55B75B73" wp14:editId="763C2789">
            <wp:extent cx="5177641" cy="2434441"/>
            <wp:effectExtent l="0" t="0" r="4445" b="4445"/>
            <wp:docPr id="35"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5B4780" w:rsidRPr="005B4780" w:rsidRDefault="005B4780" w:rsidP="005B4780">
      <w:pPr>
        <w:rPr>
          <w:szCs w:val="20"/>
          <w:u w:val="single"/>
          <w:lang w:eastAsia="x-none"/>
        </w:rPr>
      </w:pPr>
    </w:p>
    <w:p w:rsidR="005B4780" w:rsidRPr="00D27103" w:rsidRDefault="005B4780" w:rsidP="00D27103">
      <w:pPr>
        <w:pStyle w:val="Ttulo3"/>
      </w:pPr>
      <w:r w:rsidRPr="00D27103">
        <w:t>Casos de muerte relacionada con transfusión:</w:t>
      </w:r>
    </w:p>
    <w:p w:rsidR="005B4780" w:rsidRPr="005B4780" w:rsidRDefault="005B4780" w:rsidP="005B4780">
      <w:pPr>
        <w:rPr>
          <w:szCs w:val="20"/>
          <w:lang w:eastAsia="x-none"/>
        </w:rPr>
      </w:pPr>
    </w:p>
    <w:p w:rsidR="005B4780" w:rsidRPr="005B4780" w:rsidRDefault="005B4780" w:rsidP="00D27103">
      <w:r w:rsidRPr="005B4780">
        <w:t>Se han producido un total de 4 fallecimientos asociados con la transfusión, cuyos datos se muestran en la tabla 10.</w:t>
      </w:r>
    </w:p>
    <w:p w:rsidR="005B4780" w:rsidRPr="005B4780" w:rsidRDefault="005B4780" w:rsidP="00D27103"/>
    <w:p w:rsidR="005B4780" w:rsidRPr="005B4780" w:rsidRDefault="005B4780" w:rsidP="00D27103">
      <w:r w:rsidRPr="005B4780">
        <w:t>Tabla 10.</w:t>
      </w:r>
    </w:p>
    <w:tbl>
      <w:tblPr>
        <w:tblStyle w:val="Tabladecuadrcula5oscura-nfasis1"/>
        <w:tblW w:w="0" w:type="auto"/>
        <w:tblLook w:val="0620" w:firstRow="1" w:lastRow="0" w:firstColumn="0" w:lastColumn="0" w:noHBand="1" w:noVBand="1"/>
      </w:tblPr>
      <w:tblGrid>
        <w:gridCol w:w="1471"/>
        <w:gridCol w:w="3349"/>
        <w:gridCol w:w="1277"/>
        <w:gridCol w:w="923"/>
        <w:gridCol w:w="907"/>
      </w:tblGrid>
      <w:tr w:rsidR="005B4780" w:rsidRPr="005B4780" w:rsidTr="00D27103">
        <w:trPr>
          <w:cnfStyle w:val="100000000000" w:firstRow="1" w:lastRow="0" w:firstColumn="0" w:lastColumn="0" w:oddVBand="0" w:evenVBand="0" w:oddHBand="0" w:evenHBand="0" w:firstRowFirstColumn="0" w:firstRowLastColumn="0" w:lastRowFirstColumn="0" w:lastRowLastColumn="0"/>
          <w:cantSplit/>
          <w:trHeight w:val="307"/>
          <w:tblHeader/>
        </w:trPr>
        <w:tc>
          <w:tcPr>
            <w:tcW w:w="1535" w:type="dxa"/>
          </w:tcPr>
          <w:p w:rsidR="005B4780" w:rsidRPr="005B4780" w:rsidRDefault="005B4780" w:rsidP="005B4780">
            <w:pPr>
              <w:spacing w:after="160" w:line="259" w:lineRule="auto"/>
              <w:rPr>
                <w:szCs w:val="20"/>
                <w:lang w:eastAsia="x-none"/>
              </w:rPr>
            </w:pPr>
            <w:r w:rsidRPr="005B4780">
              <w:rPr>
                <w:szCs w:val="20"/>
                <w:lang w:eastAsia="x-none"/>
              </w:rPr>
              <w:t>Paciente</w:t>
            </w:r>
          </w:p>
        </w:tc>
        <w:tc>
          <w:tcPr>
            <w:tcW w:w="3639" w:type="dxa"/>
          </w:tcPr>
          <w:p w:rsidR="005B4780" w:rsidRPr="005B4780" w:rsidRDefault="005B4780" w:rsidP="005B4780">
            <w:pPr>
              <w:spacing w:after="160" w:line="259" w:lineRule="auto"/>
              <w:rPr>
                <w:szCs w:val="20"/>
                <w:lang w:eastAsia="x-none"/>
              </w:rPr>
            </w:pPr>
            <w:r w:rsidRPr="005B4780">
              <w:rPr>
                <w:szCs w:val="20"/>
                <w:lang w:eastAsia="x-none"/>
              </w:rPr>
              <w:t>Diagnóstico</w:t>
            </w:r>
          </w:p>
        </w:tc>
        <w:tc>
          <w:tcPr>
            <w:tcW w:w="1400" w:type="dxa"/>
          </w:tcPr>
          <w:p w:rsidR="005B4780" w:rsidRPr="005B4780" w:rsidRDefault="005B4780" w:rsidP="005B4780">
            <w:pPr>
              <w:spacing w:after="160" w:line="259" w:lineRule="auto"/>
              <w:rPr>
                <w:szCs w:val="20"/>
                <w:lang w:eastAsia="x-none"/>
              </w:rPr>
            </w:pPr>
            <w:r w:rsidRPr="005B4780">
              <w:rPr>
                <w:szCs w:val="20"/>
                <w:lang w:eastAsia="x-none"/>
              </w:rPr>
              <w:t>CS</w:t>
            </w:r>
          </w:p>
        </w:tc>
        <w:tc>
          <w:tcPr>
            <w:tcW w:w="979" w:type="dxa"/>
          </w:tcPr>
          <w:p w:rsidR="005B4780" w:rsidRPr="005B4780" w:rsidRDefault="005B4780" w:rsidP="005B4780">
            <w:pPr>
              <w:spacing w:after="160" w:line="259" w:lineRule="auto"/>
              <w:rPr>
                <w:szCs w:val="20"/>
                <w:lang w:eastAsia="x-none"/>
              </w:rPr>
            </w:pPr>
            <w:r w:rsidRPr="005B4780">
              <w:rPr>
                <w:szCs w:val="20"/>
                <w:lang w:eastAsia="x-none"/>
              </w:rPr>
              <w:t>RAT</w:t>
            </w:r>
          </w:p>
        </w:tc>
        <w:tc>
          <w:tcPr>
            <w:tcW w:w="833" w:type="dxa"/>
          </w:tcPr>
          <w:p w:rsidR="005B4780" w:rsidRPr="005B4780" w:rsidRDefault="005B4780" w:rsidP="005B4780">
            <w:pPr>
              <w:spacing w:after="160" w:line="259" w:lineRule="auto"/>
              <w:rPr>
                <w:szCs w:val="20"/>
                <w:lang w:eastAsia="x-none"/>
              </w:rPr>
            </w:pPr>
            <w:r w:rsidRPr="005B4780">
              <w:rPr>
                <w:szCs w:val="20"/>
                <w:lang w:eastAsia="x-none"/>
              </w:rPr>
              <w:t>Imput.</w:t>
            </w:r>
          </w:p>
        </w:tc>
      </w:tr>
      <w:tr w:rsidR="005B4780" w:rsidRPr="005B4780" w:rsidTr="00D27103">
        <w:trPr>
          <w:trHeight w:val="322"/>
        </w:trPr>
        <w:tc>
          <w:tcPr>
            <w:tcW w:w="1535" w:type="dxa"/>
          </w:tcPr>
          <w:p w:rsidR="005B4780" w:rsidRPr="005B4780" w:rsidRDefault="005B4780" w:rsidP="005B4780">
            <w:pPr>
              <w:spacing w:after="160" w:line="259" w:lineRule="auto"/>
              <w:rPr>
                <w:szCs w:val="20"/>
                <w:lang w:eastAsia="x-none"/>
              </w:rPr>
            </w:pPr>
            <w:r w:rsidRPr="005B4780">
              <w:rPr>
                <w:szCs w:val="20"/>
                <w:lang w:eastAsia="x-none"/>
              </w:rPr>
              <w:t>Mujer, 85</w:t>
            </w:r>
          </w:p>
        </w:tc>
        <w:tc>
          <w:tcPr>
            <w:tcW w:w="3639" w:type="dxa"/>
          </w:tcPr>
          <w:p w:rsidR="005B4780" w:rsidRPr="005B4780" w:rsidRDefault="005B4780" w:rsidP="005B4780">
            <w:pPr>
              <w:spacing w:after="160" w:line="259" w:lineRule="auto"/>
              <w:rPr>
                <w:szCs w:val="20"/>
                <w:lang w:eastAsia="x-none"/>
              </w:rPr>
            </w:pPr>
            <w:r w:rsidRPr="005B4780">
              <w:rPr>
                <w:szCs w:val="20"/>
                <w:lang w:eastAsia="x-none"/>
              </w:rPr>
              <w:t>ICC, HTA</w:t>
            </w:r>
          </w:p>
        </w:tc>
        <w:tc>
          <w:tcPr>
            <w:tcW w:w="1400" w:type="dxa"/>
          </w:tcPr>
          <w:p w:rsidR="005B4780" w:rsidRPr="005B4780" w:rsidRDefault="005B4780" w:rsidP="005B4780">
            <w:pPr>
              <w:spacing w:after="160" w:line="259" w:lineRule="auto"/>
              <w:rPr>
                <w:szCs w:val="20"/>
                <w:lang w:eastAsia="x-none"/>
              </w:rPr>
            </w:pPr>
            <w:r w:rsidRPr="005B4780">
              <w:rPr>
                <w:szCs w:val="20"/>
                <w:lang w:eastAsia="x-none"/>
              </w:rPr>
              <w:t>1 CH</w:t>
            </w:r>
          </w:p>
        </w:tc>
        <w:tc>
          <w:tcPr>
            <w:tcW w:w="979" w:type="dxa"/>
          </w:tcPr>
          <w:p w:rsidR="005B4780" w:rsidRPr="005B4780" w:rsidRDefault="005B4780" w:rsidP="005B4780">
            <w:pPr>
              <w:spacing w:after="160" w:line="259" w:lineRule="auto"/>
              <w:rPr>
                <w:szCs w:val="20"/>
                <w:lang w:eastAsia="x-none"/>
              </w:rPr>
            </w:pPr>
            <w:r w:rsidRPr="005B4780">
              <w:rPr>
                <w:szCs w:val="20"/>
                <w:lang w:eastAsia="x-none"/>
              </w:rPr>
              <w:t>EPC</w:t>
            </w:r>
          </w:p>
        </w:tc>
        <w:tc>
          <w:tcPr>
            <w:tcW w:w="833" w:type="dxa"/>
          </w:tcPr>
          <w:p w:rsidR="005B4780" w:rsidRPr="005B4780" w:rsidRDefault="005B4780" w:rsidP="005B4780">
            <w:pPr>
              <w:spacing w:after="160" w:line="259" w:lineRule="auto"/>
              <w:rPr>
                <w:szCs w:val="20"/>
                <w:lang w:eastAsia="x-none"/>
              </w:rPr>
            </w:pPr>
            <w:r w:rsidRPr="005B4780">
              <w:rPr>
                <w:szCs w:val="20"/>
                <w:lang w:eastAsia="x-none"/>
              </w:rPr>
              <w:t>1</w:t>
            </w:r>
          </w:p>
        </w:tc>
      </w:tr>
      <w:tr w:rsidR="005B4780" w:rsidRPr="005B4780" w:rsidTr="00D27103">
        <w:trPr>
          <w:trHeight w:val="614"/>
        </w:trPr>
        <w:tc>
          <w:tcPr>
            <w:tcW w:w="1535" w:type="dxa"/>
          </w:tcPr>
          <w:p w:rsidR="005B4780" w:rsidRPr="005B4780" w:rsidRDefault="005B4780" w:rsidP="005B4780">
            <w:pPr>
              <w:spacing w:after="160" w:line="259" w:lineRule="auto"/>
              <w:rPr>
                <w:szCs w:val="20"/>
                <w:lang w:eastAsia="x-none"/>
              </w:rPr>
            </w:pPr>
            <w:r w:rsidRPr="005B4780">
              <w:rPr>
                <w:szCs w:val="20"/>
                <w:lang w:eastAsia="x-none"/>
              </w:rPr>
              <w:t xml:space="preserve">Mujer, 68 </w:t>
            </w:r>
          </w:p>
        </w:tc>
        <w:tc>
          <w:tcPr>
            <w:tcW w:w="3639" w:type="dxa"/>
          </w:tcPr>
          <w:p w:rsidR="005B4780" w:rsidRPr="005B4780" w:rsidRDefault="005B4780" w:rsidP="005B4780">
            <w:pPr>
              <w:spacing w:after="160" w:line="259" w:lineRule="auto"/>
              <w:rPr>
                <w:szCs w:val="20"/>
                <w:lang w:eastAsia="x-none"/>
              </w:rPr>
            </w:pPr>
            <w:r w:rsidRPr="005B4780">
              <w:rPr>
                <w:szCs w:val="20"/>
                <w:lang w:eastAsia="x-none"/>
              </w:rPr>
              <w:t>HTA, prótesis valvular mitral, FA, cáncer pulmonar en tratamiento</w:t>
            </w:r>
          </w:p>
        </w:tc>
        <w:tc>
          <w:tcPr>
            <w:tcW w:w="1400" w:type="dxa"/>
          </w:tcPr>
          <w:p w:rsidR="005B4780" w:rsidRPr="005B4780" w:rsidRDefault="005B4780" w:rsidP="005B4780">
            <w:pPr>
              <w:spacing w:after="160" w:line="259" w:lineRule="auto"/>
              <w:rPr>
                <w:szCs w:val="20"/>
                <w:lang w:eastAsia="x-none"/>
              </w:rPr>
            </w:pPr>
            <w:r w:rsidRPr="005B4780">
              <w:rPr>
                <w:szCs w:val="20"/>
                <w:lang w:eastAsia="x-none"/>
              </w:rPr>
              <w:t>1 CH, 1 pool</w:t>
            </w:r>
          </w:p>
        </w:tc>
        <w:tc>
          <w:tcPr>
            <w:tcW w:w="979" w:type="dxa"/>
          </w:tcPr>
          <w:p w:rsidR="005B4780" w:rsidRPr="005B4780" w:rsidRDefault="005B4780" w:rsidP="005B4780">
            <w:pPr>
              <w:spacing w:after="160" w:line="259" w:lineRule="auto"/>
              <w:rPr>
                <w:szCs w:val="20"/>
                <w:lang w:eastAsia="x-none"/>
              </w:rPr>
            </w:pPr>
            <w:r w:rsidRPr="005B4780">
              <w:rPr>
                <w:szCs w:val="20"/>
                <w:lang w:eastAsia="x-none"/>
              </w:rPr>
              <w:t>EPC</w:t>
            </w:r>
          </w:p>
        </w:tc>
        <w:tc>
          <w:tcPr>
            <w:tcW w:w="833" w:type="dxa"/>
          </w:tcPr>
          <w:p w:rsidR="005B4780" w:rsidRPr="005B4780" w:rsidRDefault="005B4780" w:rsidP="005B4780">
            <w:pPr>
              <w:spacing w:after="160" w:line="259" w:lineRule="auto"/>
              <w:rPr>
                <w:szCs w:val="20"/>
                <w:lang w:eastAsia="x-none"/>
              </w:rPr>
            </w:pPr>
            <w:r w:rsidRPr="005B4780">
              <w:rPr>
                <w:szCs w:val="20"/>
                <w:lang w:eastAsia="x-none"/>
              </w:rPr>
              <w:t>1</w:t>
            </w:r>
          </w:p>
        </w:tc>
      </w:tr>
      <w:tr w:rsidR="005B4780" w:rsidRPr="005B4780" w:rsidTr="00D27103">
        <w:trPr>
          <w:trHeight w:val="322"/>
        </w:trPr>
        <w:tc>
          <w:tcPr>
            <w:tcW w:w="1535" w:type="dxa"/>
          </w:tcPr>
          <w:p w:rsidR="005B4780" w:rsidRPr="005B4780" w:rsidRDefault="005B4780" w:rsidP="005B4780">
            <w:pPr>
              <w:spacing w:after="160" w:line="259" w:lineRule="auto"/>
              <w:rPr>
                <w:szCs w:val="20"/>
                <w:lang w:eastAsia="x-none"/>
              </w:rPr>
            </w:pPr>
            <w:r w:rsidRPr="005B4780">
              <w:rPr>
                <w:szCs w:val="20"/>
                <w:lang w:eastAsia="x-none"/>
              </w:rPr>
              <w:t>Varón, 76</w:t>
            </w:r>
          </w:p>
        </w:tc>
        <w:tc>
          <w:tcPr>
            <w:tcW w:w="3639" w:type="dxa"/>
          </w:tcPr>
          <w:p w:rsidR="005B4780" w:rsidRPr="005B4780" w:rsidRDefault="005B4780" w:rsidP="005B4780">
            <w:pPr>
              <w:spacing w:after="160" w:line="259" w:lineRule="auto"/>
              <w:rPr>
                <w:szCs w:val="20"/>
                <w:lang w:eastAsia="x-none"/>
              </w:rPr>
            </w:pPr>
            <w:r w:rsidRPr="005B4780">
              <w:rPr>
                <w:szCs w:val="20"/>
                <w:lang w:eastAsia="x-none"/>
              </w:rPr>
              <w:t>Sepsis respiratoria, ICC descompensada e ictus isquémico.</w:t>
            </w:r>
          </w:p>
        </w:tc>
        <w:tc>
          <w:tcPr>
            <w:tcW w:w="1400" w:type="dxa"/>
          </w:tcPr>
          <w:p w:rsidR="005B4780" w:rsidRPr="005B4780" w:rsidRDefault="005B4780" w:rsidP="005B4780">
            <w:pPr>
              <w:spacing w:after="160" w:line="259" w:lineRule="auto"/>
              <w:rPr>
                <w:szCs w:val="20"/>
                <w:lang w:eastAsia="x-none"/>
              </w:rPr>
            </w:pPr>
            <w:r w:rsidRPr="005B4780">
              <w:rPr>
                <w:szCs w:val="20"/>
                <w:lang w:eastAsia="x-none"/>
              </w:rPr>
              <w:t>2CH</w:t>
            </w:r>
          </w:p>
        </w:tc>
        <w:tc>
          <w:tcPr>
            <w:tcW w:w="979" w:type="dxa"/>
          </w:tcPr>
          <w:p w:rsidR="005B4780" w:rsidRPr="005B4780" w:rsidRDefault="005B4780" w:rsidP="005B4780">
            <w:pPr>
              <w:spacing w:after="160" w:line="259" w:lineRule="auto"/>
              <w:rPr>
                <w:szCs w:val="20"/>
                <w:lang w:eastAsia="x-none"/>
              </w:rPr>
            </w:pPr>
            <w:r w:rsidRPr="005B4780">
              <w:rPr>
                <w:szCs w:val="20"/>
                <w:lang w:eastAsia="x-none"/>
              </w:rPr>
              <w:t>EPC</w:t>
            </w:r>
          </w:p>
        </w:tc>
        <w:tc>
          <w:tcPr>
            <w:tcW w:w="833" w:type="dxa"/>
          </w:tcPr>
          <w:p w:rsidR="005B4780" w:rsidRPr="005B4780" w:rsidRDefault="005B4780" w:rsidP="005B4780">
            <w:pPr>
              <w:spacing w:after="160" w:line="259" w:lineRule="auto"/>
              <w:rPr>
                <w:szCs w:val="20"/>
                <w:lang w:eastAsia="x-none"/>
              </w:rPr>
            </w:pPr>
            <w:r w:rsidRPr="005B4780">
              <w:rPr>
                <w:szCs w:val="20"/>
                <w:lang w:eastAsia="x-none"/>
              </w:rPr>
              <w:t>2</w:t>
            </w:r>
          </w:p>
        </w:tc>
      </w:tr>
      <w:tr w:rsidR="005B4780" w:rsidRPr="005B4780" w:rsidTr="00D27103">
        <w:trPr>
          <w:trHeight w:val="307"/>
        </w:trPr>
        <w:tc>
          <w:tcPr>
            <w:tcW w:w="1535" w:type="dxa"/>
          </w:tcPr>
          <w:p w:rsidR="005B4780" w:rsidRPr="005B4780" w:rsidRDefault="005B4780" w:rsidP="005B4780">
            <w:pPr>
              <w:spacing w:after="160" w:line="259" w:lineRule="auto"/>
              <w:rPr>
                <w:szCs w:val="20"/>
                <w:lang w:eastAsia="x-none"/>
              </w:rPr>
            </w:pPr>
            <w:r w:rsidRPr="005B4780">
              <w:rPr>
                <w:szCs w:val="20"/>
                <w:lang w:eastAsia="x-none"/>
              </w:rPr>
              <w:lastRenderedPageBreak/>
              <w:t xml:space="preserve">Mujer. 89 </w:t>
            </w:r>
          </w:p>
        </w:tc>
        <w:tc>
          <w:tcPr>
            <w:tcW w:w="3639" w:type="dxa"/>
          </w:tcPr>
          <w:p w:rsidR="005B4780" w:rsidRPr="005B4780" w:rsidRDefault="005B4780" w:rsidP="005B4780">
            <w:pPr>
              <w:spacing w:after="160" w:line="259" w:lineRule="auto"/>
              <w:rPr>
                <w:szCs w:val="20"/>
                <w:lang w:eastAsia="x-none"/>
              </w:rPr>
            </w:pPr>
            <w:r w:rsidRPr="005B4780">
              <w:rPr>
                <w:szCs w:val="20"/>
                <w:lang w:eastAsia="x-none"/>
              </w:rPr>
              <w:t>Neumonía, infección urinaria, ICC descompensada  e insuficiencia renal</w:t>
            </w:r>
          </w:p>
        </w:tc>
        <w:tc>
          <w:tcPr>
            <w:tcW w:w="1400" w:type="dxa"/>
          </w:tcPr>
          <w:p w:rsidR="005B4780" w:rsidRPr="005B4780" w:rsidRDefault="005B4780" w:rsidP="005B4780">
            <w:pPr>
              <w:spacing w:after="160" w:line="259" w:lineRule="auto"/>
              <w:rPr>
                <w:szCs w:val="20"/>
                <w:lang w:eastAsia="x-none"/>
              </w:rPr>
            </w:pPr>
            <w:r w:rsidRPr="005B4780">
              <w:rPr>
                <w:szCs w:val="20"/>
                <w:lang w:eastAsia="x-none"/>
              </w:rPr>
              <w:t>2CH</w:t>
            </w:r>
          </w:p>
        </w:tc>
        <w:tc>
          <w:tcPr>
            <w:tcW w:w="979" w:type="dxa"/>
          </w:tcPr>
          <w:p w:rsidR="005B4780" w:rsidRPr="005B4780" w:rsidRDefault="005B4780" w:rsidP="005B4780">
            <w:pPr>
              <w:spacing w:after="160" w:line="259" w:lineRule="auto"/>
              <w:rPr>
                <w:szCs w:val="20"/>
                <w:lang w:eastAsia="x-none"/>
              </w:rPr>
            </w:pPr>
            <w:r w:rsidRPr="005B4780">
              <w:rPr>
                <w:szCs w:val="20"/>
                <w:lang w:eastAsia="x-none"/>
              </w:rPr>
              <w:t>DAT</w:t>
            </w:r>
          </w:p>
        </w:tc>
        <w:tc>
          <w:tcPr>
            <w:tcW w:w="833" w:type="dxa"/>
          </w:tcPr>
          <w:p w:rsidR="005B4780" w:rsidRPr="005B4780" w:rsidRDefault="005B4780" w:rsidP="005B4780">
            <w:pPr>
              <w:spacing w:after="160" w:line="259" w:lineRule="auto"/>
              <w:rPr>
                <w:szCs w:val="20"/>
                <w:lang w:eastAsia="x-none"/>
              </w:rPr>
            </w:pPr>
            <w:r w:rsidRPr="005B4780">
              <w:rPr>
                <w:szCs w:val="20"/>
                <w:lang w:eastAsia="x-none"/>
              </w:rPr>
              <w:t>1</w:t>
            </w:r>
          </w:p>
        </w:tc>
      </w:tr>
    </w:tbl>
    <w:p w:rsidR="005B4780" w:rsidRPr="005B4780" w:rsidRDefault="005B4780" w:rsidP="00D27103">
      <w:r w:rsidRPr="005B4780">
        <w:t>CS: componente sanguíneo. RAT: reacción adversa transfusional. Imput: imputabilidad. ICC: insuficiencia cardíaca congestiva. HTP: hipertensión pulmonar. CH: Concentrado de hematíes. EPC: Edema pulmonar cardiogénico. BC: buffy-coat. RHT: reacción hemolítica transfusional.</w:t>
      </w:r>
    </w:p>
    <w:p w:rsidR="005B4780" w:rsidRPr="005B4780" w:rsidRDefault="005B4780" w:rsidP="005B4780">
      <w:pPr>
        <w:rPr>
          <w:szCs w:val="20"/>
          <w:u w:val="single"/>
          <w:lang w:eastAsia="x-none"/>
        </w:rPr>
      </w:pPr>
    </w:p>
    <w:p w:rsidR="005B4780" w:rsidRPr="00D27103" w:rsidRDefault="005B4780" w:rsidP="00D27103">
      <w:pPr>
        <w:pStyle w:val="Ttulo3"/>
      </w:pPr>
      <w:r w:rsidRPr="00D27103">
        <w:t xml:space="preserve">Incidentes sin efecto o “casi incidentes”: </w:t>
      </w:r>
    </w:p>
    <w:p w:rsidR="005B4780" w:rsidRPr="005B4780" w:rsidRDefault="005B4780" w:rsidP="005B4780">
      <w:pPr>
        <w:rPr>
          <w:szCs w:val="20"/>
          <w:lang w:eastAsia="x-none"/>
        </w:rPr>
      </w:pPr>
    </w:p>
    <w:p w:rsidR="005B4780" w:rsidRPr="005B4780" w:rsidRDefault="005B4780" w:rsidP="00D27103">
      <w:r w:rsidRPr="005B4780">
        <w:t>Se han notificado un total de 47 “casi incidentes”, frente a 216 que se comunicaron durante 2019, lo que supone una significativa disminución, y su distribución se muestra en la tabla 11, tanto en valores absolutos como en relativos.</w:t>
      </w:r>
    </w:p>
    <w:p w:rsidR="005B4780" w:rsidRPr="005B4780" w:rsidRDefault="005B4780" w:rsidP="00D27103"/>
    <w:p w:rsidR="005B4780" w:rsidRPr="005B4780" w:rsidRDefault="005B4780" w:rsidP="005B4780">
      <w:pPr>
        <w:rPr>
          <w:szCs w:val="20"/>
          <w:lang w:eastAsia="x-none"/>
        </w:rPr>
      </w:pPr>
    </w:p>
    <w:p w:rsidR="005B4780" w:rsidRPr="005B4780" w:rsidRDefault="005B4780" w:rsidP="00D27103">
      <w:r w:rsidRPr="005B4780">
        <w:t>Tabla 11.</w:t>
      </w:r>
    </w:p>
    <w:tbl>
      <w:tblPr>
        <w:tblStyle w:val="Tabladecuadrcula5oscura-nfasis1"/>
        <w:tblW w:w="0" w:type="auto"/>
        <w:tblLook w:val="06E0" w:firstRow="1" w:lastRow="1" w:firstColumn="1" w:lastColumn="0" w:noHBand="1" w:noVBand="1"/>
      </w:tblPr>
      <w:tblGrid>
        <w:gridCol w:w="4320"/>
        <w:gridCol w:w="1860"/>
        <w:gridCol w:w="1747"/>
      </w:tblGrid>
      <w:tr w:rsidR="005B4780" w:rsidRPr="005B4780" w:rsidTr="00D27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5B4780" w:rsidRPr="005B4780" w:rsidRDefault="005B4780" w:rsidP="005B4780">
            <w:pPr>
              <w:spacing w:after="160" w:line="259" w:lineRule="auto"/>
              <w:rPr>
                <w:szCs w:val="20"/>
                <w:lang w:eastAsia="x-none"/>
              </w:rPr>
            </w:pPr>
          </w:p>
        </w:tc>
        <w:tc>
          <w:tcPr>
            <w:tcW w:w="1985" w:type="dxa"/>
          </w:tcPr>
          <w:p w:rsidR="005B4780" w:rsidRPr="005B4780" w:rsidRDefault="005B4780" w:rsidP="00D27103">
            <w:pPr>
              <w:spacing w:after="160" w:line="259" w:lineRule="auto"/>
              <w:jc w:val="center"/>
              <w:cnfStyle w:val="100000000000" w:firstRow="1"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N</w:t>
            </w:r>
          </w:p>
        </w:tc>
        <w:tc>
          <w:tcPr>
            <w:tcW w:w="1836" w:type="dxa"/>
          </w:tcPr>
          <w:p w:rsidR="005B4780" w:rsidRPr="005B4780" w:rsidRDefault="005B4780" w:rsidP="00D27103">
            <w:pPr>
              <w:spacing w:after="160" w:line="259" w:lineRule="auto"/>
              <w:jc w:val="center"/>
              <w:cnfStyle w:val="100000000000" w:firstRow="1"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w:t>
            </w:r>
          </w:p>
        </w:tc>
      </w:tr>
      <w:tr w:rsidR="005B4780" w:rsidRPr="005B4780" w:rsidTr="00D27103">
        <w:tc>
          <w:tcPr>
            <w:cnfStyle w:val="001000000000" w:firstRow="0" w:lastRow="0" w:firstColumn="1" w:lastColumn="0" w:oddVBand="0" w:evenVBand="0" w:oddHBand="0" w:evenHBand="0" w:firstRowFirstColumn="0" w:firstRowLastColumn="0" w:lastRowFirstColumn="0" w:lastRowLastColumn="0"/>
            <w:tcW w:w="4565" w:type="dxa"/>
          </w:tcPr>
          <w:p w:rsidR="005B4780" w:rsidRPr="00D27103" w:rsidRDefault="005B4780" w:rsidP="005B4780">
            <w:pPr>
              <w:spacing w:after="160" w:line="259" w:lineRule="auto"/>
              <w:rPr>
                <w:b w:val="0"/>
                <w:szCs w:val="20"/>
                <w:lang w:eastAsia="x-none"/>
              </w:rPr>
            </w:pPr>
            <w:r w:rsidRPr="00D27103">
              <w:rPr>
                <w:b w:val="0"/>
                <w:szCs w:val="20"/>
                <w:lang w:eastAsia="x-none"/>
              </w:rPr>
              <w:t>Extracción</w:t>
            </w:r>
          </w:p>
        </w:tc>
        <w:tc>
          <w:tcPr>
            <w:tcW w:w="1985"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38</w:t>
            </w:r>
          </w:p>
        </w:tc>
        <w:tc>
          <w:tcPr>
            <w:tcW w:w="1836"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80,85</w:t>
            </w:r>
          </w:p>
        </w:tc>
      </w:tr>
      <w:tr w:rsidR="005B4780" w:rsidRPr="005B4780" w:rsidTr="00D27103">
        <w:tc>
          <w:tcPr>
            <w:cnfStyle w:val="001000000000" w:firstRow="0" w:lastRow="0" w:firstColumn="1" w:lastColumn="0" w:oddVBand="0" w:evenVBand="0" w:oddHBand="0" w:evenHBand="0" w:firstRowFirstColumn="0" w:firstRowLastColumn="0" w:lastRowFirstColumn="0" w:lastRowLastColumn="0"/>
            <w:tcW w:w="4565" w:type="dxa"/>
          </w:tcPr>
          <w:p w:rsidR="005B4780" w:rsidRPr="00D27103" w:rsidRDefault="005B4780" w:rsidP="005B4780">
            <w:pPr>
              <w:spacing w:after="160" w:line="259" w:lineRule="auto"/>
              <w:rPr>
                <w:b w:val="0"/>
                <w:szCs w:val="20"/>
                <w:lang w:eastAsia="x-none"/>
              </w:rPr>
            </w:pPr>
            <w:r w:rsidRPr="00D27103">
              <w:rPr>
                <w:b w:val="0"/>
                <w:szCs w:val="20"/>
                <w:lang w:eastAsia="x-none"/>
              </w:rPr>
              <w:t>Prescripción</w:t>
            </w:r>
          </w:p>
        </w:tc>
        <w:tc>
          <w:tcPr>
            <w:tcW w:w="1985"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2</w:t>
            </w:r>
          </w:p>
        </w:tc>
        <w:tc>
          <w:tcPr>
            <w:tcW w:w="1836"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4,25</w:t>
            </w:r>
          </w:p>
        </w:tc>
      </w:tr>
      <w:tr w:rsidR="005B4780" w:rsidRPr="005B4780" w:rsidTr="00D27103">
        <w:tc>
          <w:tcPr>
            <w:cnfStyle w:val="001000000000" w:firstRow="0" w:lastRow="0" w:firstColumn="1" w:lastColumn="0" w:oddVBand="0" w:evenVBand="0" w:oddHBand="0" w:evenHBand="0" w:firstRowFirstColumn="0" w:firstRowLastColumn="0" w:lastRowFirstColumn="0" w:lastRowLastColumn="0"/>
            <w:tcW w:w="4565" w:type="dxa"/>
          </w:tcPr>
          <w:p w:rsidR="005B4780" w:rsidRPr="00D27103" w:rsidRDefault="005B4780" w:rsidP="005B4780">
            <w:pPr>
              <w:spacing w:after="160" w:line="259" w:lineRule="auto"/>
              <w:rPr>
                <w:b w:val="0"/>
                <w:szCs w:val="20"/>
                <w:lang w:eastAsia="x-none"/>
              </w:rPr>
            </w:pPr>
            <w:r w:rsidRPr="00D27103">
              <w:rPr>
                <w:b w:val="0"/>
                <w:szCs w:val="20"/>
                <w:lang w:eastAsia="x-none"/>
              </w:rPr>
              <w:t>Laboratorio</w:t>
            </w:r>
          </w:p>
        </w:tc>
        <w:tc>
          <w:tcPr>
            <w:tcW w:w="1985"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6</w:t>
            </w:r>
          </w:p>
        </w:tc>
        <w:tc>
          <w:tcPr>
            <w:tcW w:w="1836"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12,76</w:t>
            </w:r>
          </w:p>
        </w:tc>
      </w:tr>
      <w:tr w:rsidR="005B4780" w:rsidRPr="005B4780" w:rsidTr="00D27103">
        <w:tc>
          <w:tcPr>
            <w:cnfStyle w:val="001000000000" w:firstRow="0" w:lastRow="0" w:firstColumn="1" w:lastColumn="0" w:oddVBand="0" w:evenVBand="0" w:oddHBand="0" w:evenHBand="0" w:firstRowFirstColumn="0" w:firstRowLastColumn="0" w:lastRowFirstColumn="0" w:lastRowLastColumn="0"/>
            <w:tcW w:w="4565" w:type="dxa"/>
          </w:tcPr>
          <w:p w:rsidR="005B4780" w:rsidRPr="00D27103" w:rsidRDefault="005B4780" w:rsidP="005B4780">
            <w:pPr>
              <w:spacing w:after="160" w:line="259" w:lineRule="auto"/>
              <w:rPr>
                <w:b w:val="0"/>
                <w:szCs w:val="20"/>
                <w:lang w:eastAsia="x-none"/>
              </w:rPr>
            </w:pPr>
            <w:r w:rsidRPr="00D27103">
              <w:rPr>
                <w:b w:val="0"/>
                <w:szCs w:val="20"/>
                <w:lang w:eastAsia="x-none"/>
              </w:rPr>
              <w:t>Selección, manipulación y conservación</w:t>
            </w:r>
          </w:p>
        </w:tc>
        <w:tc>
          <w:tcPr>
            <w:tcW w:w="1985"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0</w:t>
            </w:r>
          </w:p>
        </w:tc>
        <w:tc>
          <w:tcPr>
            <w:tcW w:w="1836"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0</w:t>
            </w:r>
          </w:p>
        </w:tc>
      </w:tr>
      <w:tr w:rsidR="005B4780" w:rsidRPr="005B4780" w:rsidTr="00D27103">
        <w:tc>
          <w:tcPr>
            <w:cnfStyle w:val="001000000000" w:firstRow="0" w:lastRow="0" w:firstColumn="1" w:lastColumn="0" w:oddVBand="0" w:evenVBand="0" w:oddHBand="0" w:evenHBand="0" w:firstRowFirstColumn="0" w:firstRowLastColumn="0" w:lastRowFirstColumn="0" w:lastRowLastColumn="0"/>
            <w:tcW w:w="4565" w:type="dxa"/>
          </w:tcPr>
          <w:p w:rsidR="005B4780" w:rsidRPr="00D27103" w:rsidRDefault="005B4780" w:rsidP="005B4780">
            <w:pPr>
              <w:spacing w:after="160" w:line="259" w:lineRule="auto"/>
              <w:rPr>
                <w:b w:val="0"/>
                <w:szCs w:val="20"/>
                <w:lang w:eastAsia="x-none"/>
              </w:rPr>
            </w:pPr>
            <w:r w:rsidRPr="00D27103">
              <w:rPr>
                <w:b w:val="0"/>
                <w:szCs w:val="20"/>
                <w:lang w:eastAsia="x-none"/>
              </w:rPr>
              <w:t>Cabecera</w:t>
            </w:r>
          </w:p>
        </w:tc>
        <w:tc>
          <w:tcPr>
            <w:tcW w:w="1985"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1</w:t>
            </w:r>
          </w:p>
        </w:tc>
        <w:tc>
          <w:tcPr>
            <w:tcW w:w="1836" w:type="dxa"/>
          </w:tcPr>
          <w:p w:rsidR="005B4780" w:rsidRPr="005B4780" w:rsidRDefault="005B4780" w:rsidP="00D27103">
            <w:pPr>
              <w:spacing w:after="160" w:line="259" w:lineRule="auto"/>
              <w:jc w:val="center"/>
              <w:cnfStyle w:val="000000000000" w:firstRow="0" w:lastRow="0" w:firstColumn="0" w:lastColumn="0" w:oddVBand="0" w:evenVBand="0" w:oddHBand="0" w:evenHBand="0" w:firstRowFirstColumn="0" w:firstRowLastColumn="0" w:lastRowFirstColumn="0" w:lastRowLastColumn="0"/>
              <w:rPr>
                <w:szCs w:val="20"/>
                <w:lang w:eastAsia="x-none"/>
              </w:rPr>
            </w:pPr>
            <w:r w:rsidRPr="005B4780">
              <w:rPr>
                <w:szCs w:val="20"/>
                <w:lang w:eastAsia="x-none"/>
              </w:rPr>
              <w:t>2,12</w:t>
            </w:r>
          </w:p>
        </w:tc>
      </w:tr>
      <w:tr w:rsidR="005B4780" w:rsidRPr="00D27103" w:rsidTr="00D2710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5B4780" w:rsidRPr="00D27103" w:rsidRDefault="005B4780" w:rsidP="005B4780">
            <w:pPr>
              <w:spacing w:after="160" w:line="259" w:lineRule="auto"/>
              <w:rPr>
                <w:szCs w:val="20"/>
                <w:lang w:eastAsia="x-none"/>
              </w:rPr>
            </w:pPr>
            <w:r w:rsidRPr="00D27103">
              <w:rPr>
                <w:szCs w:val="20"/>
                <w:lang w:eastAsia="x-none"/>
              </w:rPr>
              <w:t>TOTAL</w:t>
            </w:r>
          </w:p>
        </w:tc>
        <w:tc>
          <w:tcPr>
            <w:tcW w:w="1985" w:type="dxa"/>
          </w:tcPr>
          <w:p w:rsidR="005B4780" w:rsidRPr="00D27103" w:rsidRDefault="005B4780" w:rsidP="00D27103">
            <w:pPr>
              <w:spacing w:after="160" w:line="259" w:lineRule="auto"/>
              <w:jc w:val="center"/>
              <w:cnfStyle w:val="010000000000" w:firstRow="0" w:lastRow="1" w:firstColumn="0" w:lastColumn="0" w:oddVBand="0" w:evenVBand="0" w:oddHBand="0" w:evenHBand="0" w:firstRowFirstColumn="0" w:firstRowLastColumn="0" w:lastRowFirstColumn="0" w:lastRowLastColumn="0"/>
              <w:rPr>
                <w:szCs w:val="20"/>
                <w:lang w:eastAsia="x-none"/>
              </w:rPr>
            </w:pPr>
            <w:r w:rsidRPr="00D27103">
              <w:rPr>
                <w:szCs w:val="20"/>
                <w:lang w:eastAsia="x-none"/>
              </w:rPr>
              <w:t>47</w:t>
            </w:r>
          </w:p>
        </w:tc>
        <w:tc>
          <w:tcPr>
            <w:tcW w:w="1836" w:type="dxa"/>
          </w:tcPr>
          <w:p w:rsidR="005B4780" w:rsidRPr="00D27103" w:rsidRDefault="005B4780" w:rsidP="00D27103">
            <w:pPr>
              <w:spacing w:after="160" w:line="259" w:lineRule="auto"/>
              <w:jc w:val="center"/>
              <w:cnfStyle w:val="010000000000" w:firstRow="0" w:lastRow="1" w:firstColumn="0" w:lastColumn="0" w:oddVBand="0" w:evenVBand="0" w:oddHBand="0" w:evenHBand="0" w:firstRowFirstColumn="0" w:firstRowLastColumn="0" w:lastRowFirstColumn="0" w:lastRowLastColumn="0"/>
              <w:rPr>
                <w:szCs w:val="20"/>
                <w:lang w:eastAsia="x-none"/>
              </w:rPr>
            </w:pPr>
            <w:r w:rsidRPr="00D27103">
              <w:rPr>
                <w:szCs w:val="20"/>
                <w:lang w:eastAsia="x-none"/>
              </w:rPr>
              <w:t>100</w:t>
            </w:r>
          </w:p>
        </w:tc>
      </w:tr>
    </w:tbl>
    <w:p w:rsidR="005B4780" w:rsidRPr="005B4780" w:rsidRDefault="005B4780" w:rsidP="005B4780">
      <w:pPr>
        <w:rPr>
          <w:szCs w:val="20"/>
          <w:u w:val="single"/>
          <w:lang w:eastAsia="x-none"/>
        </w:rPr>
      </w:pPr>
    </w:p>
    <w:p w:rsidR="005B4780" w:rsidRPr="005B4780" w:rsidRDefault="005B4780" w:rsidP="00D27103">
      <w:r w:rsidRPr="00D27103">
        <w:t>La distribución de los “casi incidentes” según el análisis de las causas se refleja en el Gráfico 25. La mayoría (39 de 47, lo que implica el 82,97%) corresponden a errores en la identificación del paciente en el momento de la extracción de muestras pretransfusionales, gran parte de ellos detectados a tiempo por el</w:t>
      </w:r>
      <w:r w:rsidRPr="005B4780">
        <w:t xml:space="preserve"> personal del Servicio de Transfusión Hospitalario. Mucho menos frecuentes son el resto de las causas. </w:t>
      </w:r>
    </w:p>
    <w:p w:rsidR="005B4780" w:rsidRPr="005B4780" w:rsidRDefault="005B4780" w:rsidP="00D27103"/>
    <w:p w:rsidR="005B4780" w:rsidRPr="005B4780" w:rsidRDefault="005B4780" w:rsidP="00D27103">
      <w:r w:rsidRPr="005B4780">
        <w:t xml:space="preserve">En general, no se registra el componente al que se refiere el “casi incidente”, pero teniendo en cuanta aquellos en los que sí se comunica, los “casi incidentes” se produjeron con la transfusión de hematíes en la mayoría de los casos (36 de </w:t>
      </w:r>
      <w:r w:rsidRPr="005B4780">
        <w:lastRenderedPageBreak/>
        <w:t>40 “casi incidentes”, lo que supone el 90%), y el resto en relación con la transfusión de plasma y plaquetas (2 casos cada uno, lo que supone el 5% respectivamente).</w:t>
      </w:r>
    </w:p>
    <w:p w:rsidR="005B4780" w:rsidRPr="005B4780" w:rsidRDefault="005B4780" w:rsidP="00D27103"/>
    <w:p w:rsidR="005B4780" w:rsidRPr="005B4780" w:rsidRDefault="005B4780" w:rsidP="00D27103">
      <w:r w:rsidRPr="005B4780">
        <w:t>Gráfico 25. Distribución de los “casi incidentes”</w:t>
      </w:r>
    </w:p>
    <w:p w:rsidR="005B4780" w:rsidRPr="005B4780" w:rsidRDefault="005B4780" w:rsidP="005B4780">
      <w:pPr>
        <w:rPr>
          <w:szCs w:val="20"/>
          <w:u w:val="single"/>
          <w:lang w:eastAsia="x-none"/>
        </w:rPr>
      </w:pPr>
      <w:r w:rsidRPr="005B4780">
        <w:rPr>
          <w:szCs w:val="20"/>
          <w:lang w:eastAsia="x-none"/>
        </w:rPr>
        <w:drawing>
          <wp:inline distT="0" distB="0" distL="0" distR="0" wp14:anchorId="7CC5AE06" wp14:editId="46B214BD">
            <wp:extent cx="4952010" cy="2505075"/>
            <wp:effectExtent l="0" t="0" r="1270" b="9525"/>
            <wp:docPr id="3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5B4780" w:rsidRPr="005B4780" w:rsidRDefault="005B4780" w:rsidP="005B4780">
      <w:pPr>
        <w:rPr>
          <w:szCs w:val="20"/>
          <w:u w:val="single"/>
          <w:lang w:eastAsia="x-none"/>
        </w:rPr>
      </w:pPr>
    </w:p>
    <w:p w:rsidR="005B4780" w:rsidRPr="005B4780" w:rsidRDefault="005B4780" w:rsidP="005B4780">
      <w:pPr>
        <w:rPr>
          <w:szCs w:val="20"/>
          <w:lang w:eastAsia="x-none"/>
        </w:rPr>
      </w:pPr>
    </w:p>
    <w:p w:rsidR="005B4780" w:rsidRPr="00D27103" w:rsidRDefault="005B4780" w:rsidP="00D27103">
      <w:pPr>
        <w:rPr>
          <w:b/>
        </w:rPr>
      </w:pPr>
      <w:r w:rsidRPr="00D27103">
        <w:rPr>
          <w:b/>
        </w:rPr>
        <w:t xml:space="preserve">Análisis detallado de las causas: </w:t>
      </w:r>
    </w:p>
    <w:p w:rsidR="005B4780" w:rsidRPr="005B4780" w:rsidRDefault="005B4780" w:rsidP="00D27103"/>
    <w:p w:rsidR="005B4780" w:rsidRPr="005B4780" w:rsidRDefault="005B4780" w:rsidP="00D27103">
      <w:r w:rsidRPr="005B4780">
        <w:t xml:space="preserve">1. En el grupo de </w:t>
      </w:r>
      <w:r w:rsidRPr="005B4780">
        <w:rPr>
          <w:b/>
          <w:bCs/>
        </w:rPr>
        <w:t xml:space="preserve">errores cometidos durante la extracción de muestras </w:t>
      </w:r>
      <w:r w:rsidRPr="005B4780">
        <w:t xml:space="preserve">destaca: </w:t>
      </w:r>
    </w:p>
    <w:p w:rsidR="005B4780" w:rsidRPr="005B4780" w:rsidRDefault="005B4780" w:rsidP="00D27103">
      <w:r w:rsidRPr="005B4780">
        <w:t>- En 11 casos en las que no se identificó activamente al receptor al efectuar la extracción de la muestra</w:t>
      </w:r>
    </w:p>
    <w:p w:rsidR="005B4780" w:rsidRPr="005B4780" w:rsidRDefault="005B4780" w:rsidP="00D27103">
      <w:r w:rsidRPr="005B4780">
        <w:t>- En 13 casos se extrajeron las muestras a otro paciente</w:t>
      </w:r>
    </w:p>
    <w:p w:rsidR="005B4780" w:rsidRPr="005B4780" w:rsidRDefault="005B4780" w:rsidP="00D27103">
      <w:r w:rsidRPr="005B4780">
        <w:t>- En 6 casos las muestras fueron extraídas de forma correcta pero los tubos se identificaron con los datos de un paciente distinto al de la petición</w:t>
      </w:r>
    </w:p>
    <w:p w:rsidR="005B4780" w:rsidRPr="005B4780" w:rsidRDefault="005B4780" w:rsidP="00D27103">
      <w:r w:rsidRPr="005B4780">
        <w:t>- En 8 casos la solicitud se cumplimentó con los datos de otro paciente.</w:t>
      </w:r>
    </w:p>
    <w:p w:rsidR="005B4780" w:rsidRPr="005B4780" w:rsidRDefault="005B4780" w:rsidP="00D27103"/>
    <w:p w:rsidR="005B4780" w:rsidRPr="005B4780" w:rsidRDefault="005B4780" w:rsidP="00D27103">
      <w:r w:rsidRPr="005B4780">
        <w:t xml:space="preserve">En el grupo de </w:t>
      </w:r>
      <w:r w:rsidRPr="005B4780">
        <w:rPr>
          <w:b/>
        </w:rPr>
        <w:t>errores de prescripción</w:t>
      </w:r>
      <w:r w:rsidRPr="005B4780">
        <w:t xml:space="preserve">: </w:t>
      </w:r>
    </w:p>
    <w:p w:rsidR="005B4780" w:rsidRPr="005B4780" w:rsidRDefault="005B4780" w:rsidP="00D27103">
      <w:r w:rsidRPr="005B4780">
        <w:t>-En 1 caso se prescribió hematíes en lugar de plaquetas.</w:t>
      </w:r>
    </w:p>
    <w:p w:rsidR="005B4780" w:rsidRPr="005B4780" w:rsidRDefault="005B4780" w:rsidP="00D27103">
      <w:r w:rsidRPr="005B4780">
        <w:t>-En 1 caso no se prescribió componente irradiado cuando estaba indicado.</w:t>
      </w:r>
    </w:p>
    <w:p w:rsidR="005B4780" w:rsidRPr="005B4780" w:rsidRDefault="005B4780" w:rsidP="00D27103"/>
    <w:p w:rsidR="005B4780" w:rsidRPr="005B4780" w:rsidRDefault="005B4780" w:rsidP="00D27103">
      <w:r w:rsidRPr="005B4780">
        <w:t xml:space="preserve">3. En el grupo de </w:t>
      </w:r>
      <w:r w:rsidRPr="005B4780">
        <w:rPr>
          <w:b/>
          <w:bCs/>
        </w:rPr>
        <w:t>errores de laboratorio</w:t>
      </w:r>
      <w:r w:rsidRPr="005B4780">
        <w:t xml:space="preserve">: </w:t>
      </w:r>
    </w:p>
    <w:p w:rsidR="005B4780" w:rsidRPr="005B4780" w:rsidRDefault="005B4780" w:rsidP="00D27103">
      <w:r w:rsidRPr="005B4780">
        <w:lastRenderedPageBreak/>
        <w:t xml:space="preserve">- En 1 caso se cometió un error en la transcripción </w:t>
      </w:r>
    </w:p>
    <w:p w:rsidR="005B4780" w:rsidRPr="005B4780" w:rsidRDefault="005B4780" w:rsidP="00D27103">
      <w:r w:rsidRPr="005B4780">
        <w:t>- En 5 casos no se siguió el protocolo</w:t>
      </w:r>
    </w:p>
    <w:p w:rsidR="005B4780" w:rsidRPr="005B4780" w:rsidRDefault="005B4780" w:rsidP="00D27103"/>
    <w:p w:rsidR="005B4780" w:rsidRPr="005B4780" w:rsidRDefault="005B4780" w:rsidP="00D27103">
      <w:r w:rsidRPr="005B4780">
        <w:t xml:space="preserve">4. En el grupo de </w:t>
      </w:r>
      <w:r w:rsidRPr="005B4780">
        <w:rPr>
          <w:b/>
          <w:bCs/>
        </w:rPr>
        <w:t xml:space="preserve">errores en la selección, manipulación y conservación </w:t>
      </w:r>
      <w:r w:rsidRPr="005B4780">
        <w:t xml:space="preserve">del componente: </w:t>
      </w:r>
    </w:p>
    <w:p w:rsidR="005B4780" w:rsidRPr="005B4780" w:rsidRDefault="005B4780" w:rsidP="00D27103">
      <w:r w:rsidRPr="005B4780">
        <w:t xml:space="preserve">- No se registró ninguno. </w:t>
      </w:r>
    </w:p>
    <w:p w:rsidR="005B4780" w:rsidRPr="005B4780" w:rsidRDefault="005B4780" w:rsidP="00D27103"/>
    <w:p w:rsidR="005B4780" w:rsidRPr="005B4780" w:rsidRDefault="005B4780" w:rsidP="00D27103">
      <w:r w:rsidRPr="005B4780">
        <w:t xml:space="preserve">5. Por último, en el grupo de </w:t>
      </w:r>
      <w:r w:rsidRPr="005B4780">
        <w:rPr>
          <w:b/>
          <w:bCs/>
        </w:rPr>
        <w:t xml:space="preserve">errores en la cabecera del paciente: </w:t>
      </w:r>
    </w:p>
    <w:p w:rsidR="005B4780" w:rsidRPr="005B4780" w:rsidRDefault="005B4780" w:rsidP="00D27103">
      <w:r w:rsidRPr="005B4780">
        <w:t xml:space="preserve">- En 1 caso no se respetaron las instrucciones de identificación del paciente con el sistema automatizado.  </w:t>
      </w:r>
    </w:p>
    <w:p w:rsidR="005B4780" w:rsidRPr="005B4780" w:rsidRDefault="005B4780" w:rsidP="00D27103"/>
    <w:p w:rsidR="005B4780" w:rsidRPr="005B4780" w:rsidRDefault="005B4780" w:rsidP="00D27103">
      <w:r w:rsidRPr="005B4780">
        <w:t xml:space="preserve">En definitiva, el momento de la extracción de la muestra continúa siendo el momento en que más casi incidentes se registran. Probablemente, las medidas de seguridad han logrado disminuir la incidencia del otro gran grupo que en el pasado tenía importancia, como es los errores en la cabecera del paciente. Sin embargo, resulta más difícil incidir en este grupo, que depende, al menos en la actualidad del error humano. </w:t>
      </w:r>
    </w:p>
    <w:p w:rsidR="005B4780" w:rsidRPr="005B4780" w:rsidRDefault="005B4780" w:rsidP="005B4780">
      <w:pPr>
        <w:rPr>
          <w:szCs w:val="20"/>
          <w:u w:val="single"/>
          <w:lang w:eastAsia="x-none"/>
        </w:rPr>
      </w:pPr>
    </w:p>
    <w:p w:rsidR="005B4780" w:rsidRPr="00D27103" w:rsidRDefault="005B4780" w:rsidP="00D27103">
      <w:pPr>
        <w:pStyle w:val="Ttulo3"/>
      </w:pPr>
      <w:r w:rsidRPr="00D27103">
        <w:t>Errores en la administración de componentes:</w:t>
      </w:r>
    </w:p>
    <w:p w:rsidR="005B4780" w:rsidRPr="005B4780" w:rsidRDefault="005B4780" w:rsidP="005B4780">
      <w:pPr>
        <w:rPr>
          <w:szCs w:val="20"/>
          <w:lang w:eastAsia="x-none"/>
        </w:rPr>
      </w:pPr>
    </w:p>
    <w:p w:rsidR="00D27103" w:rsidRDefault="005B4780" w:rsidP="00D27103">
      <w:r w:rsidRPr="005B4780">
        <w:t>Se han registrado 28 comunicaciones de EAC, lo que supone 9,15% del total de notificaciones, y una tasa de 9,71 por 100.000 componentes trasfundidos. El gráfico 26 hace referencia a la evolución tanto del porcentaje de los errores en la administración de componentes con respecto al número de incidentes relacionados con la transfusión comunicados al sistema de Hemovigilancia, y a la tasa de los mismos con respecto al total de componentes sanguíneos transfundidos.</w:t>
      </w:r>
    </w:p>
    <w:p w:rsidR="00D27103" w:rsidRPr="005B4780" w:rsidRDefault="00D27103" w:rsidP="00D27103"/>
    <w:p w:rsidR="00260936" w:rsidRDefault="00260936">
      <w:pPr>
        <w:jc w:val="left"/>
      </w:pPr>
      <w:r>
        <w:br w:type="page"/>
      </w:r>
    </w:p>
    <w:p w:rsidR="00D27103" w:rsidRDefault="00D27103" w:rsidP="00D27103">
      <w:r>
        <w:lastRenderedPageBreak/>
        <w:t>Gráfico 26.</w:t>
      </w:r>
    </w:p>
    <w:p w:rsidR="00D27103" w:rsidRDefault="00D27103" w:rsidP="00D27103">
      <w:pPr>
        <w:pStyle w:val="Prrafodelista"/>
        <w:spacing w:after="0"/>
        <w:ind w:left="0"/>
      </w:pPr>
      <w:r>
        <w:rPr>
          <w:noProof/>
          <w:lang w:eastAsia="es-ES"/>
        </w:rPr>
        <w:drawing>
          <wp:inline distT="0" distB="0" distL="0" distR="0" wp14:anchorId="05102DF4" wp14:editId="58BF8B82">
            <wp:extent cx="5058888" cy="2671948"/>
            <wp:effectExtent l="0" t="0" r="8890" b="14605"/>
            <wp:docPr id="358" name="Gráfico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D27103" w:rsidRDefault="00D27103" w:rsidP="00D27103">
      <w:pPr>
        <w:pStyle w:val="Prrafodelista"/>
        <w:spacing w:after="0"/>
        <w:ind w:left="0" w:firstLine="567"/>
        <w:rPr>
          <w:rFonts w:cs="Calibri"/>
          <w:color w:val="000000"/>
          <w:lang w:eastAsia="es-ES"/>
        </w:rPr>
      </w:pPr>
    </w:p>
    <w:p w:rsidR="00D27103" w:rsidRDefault="00D27103" w:rsidP="00D27103">
      <w:pPr>
        <w:rPr>
          <w:lang w:eastAsia="es-ES"/>
        </w:rPr>
      </w:pPr>
      <w:r>
        <w:rPr>
          <w:lang w:eastAsia="es-ES"/>
        </w:rPr>
        <w:t xml:space="preserve">En cuanto a las causas a los que se atribuyen los errores en la administración de componentes, es en la cabecera en donde se registran la mayor parte de los mismos (46,42%, 13 casos), seguidos de la selección (35,71%, 10 casos), en prescripción (10,71%, 3 casos), la extracción (3.57%, 1 caso) y laboratorio (3.57%, 1 caso). El gráfico 27 muestra la distribución de las causas. </w:t>
      </w:r>
    </w:p>
    <w:p w:rsidR="00D27103" w:rsidRDefault="00D27103" w:rsidP="00D27103">
      <w:pPr>
        <w:spacing w:after="0"/>
        <w:rPr>
          <w:rFonts w:cs="Calibri"/>
          <w:color w:val="000000"/>
          <w:lang w:eastAsia="es-ES"/>
        </w:rPr>
      </w:pPr>
    </w:p>
    <w:p w:rsidR="00D27103" w:rsidRDefault="00D27103" w:rsidP="00D27103">
      <w:pPr>
        <w:spacing w:after="0"/>
        <w:rPr>
          <w:rFonts w:cs="Calibri"/>
          <w:color w:val="000000"/>
          <w:lang w:eastAsia="es-ES"/>
        </w:rPr>
      </w:pPr>
      <w:r>
        <w:rPr>
          <w:rFonts w:cs="Calibri"/>
          <w:color w:val="000000"/>
          <w:lang w:eastAsia="es-ES"/>
        </w:rPr>
        <w:t xml:space="preserve">Gráfico 27. </w:t>
      </w:r>
    </w:p>
    <w:p w:rsidR="00260936" w:rsidRPr="00912286" w:rsidRDefault="00260936" w:rsidP="00D27103">
      <w:pPr>
        <w:spacing w:after="0"/>
        <w:rPr>
          <w:rFonts w:cs="Calibri"/>
          <w:color w:val="000000"/>
          <w:lang w:eastAsia="es-ES"/>
        </w:rPr>
      </w:pPr>
    </w:p>
    <w:p w:rsidR="00D27103" w:rsidRPr="00494001" w:rsidRDefault="00D27103" w:rsidP="00D27103">
      <w:pPr>
        <w:pStyle w:val="Prrafodelista"/>
        <w:spacing w:after="0"/>
        <w:ind w:left="0"/>
      </w:pPr>
      <w:r>
        <w:rPr>
          <w:noProof/>
          <w:lang w:eastAsia="es-ES"/>
        </w:rPr>
        <w:drawing>
          <wp:inline distT="0" distB="0" distL="0" distR="0" wp14:anchorId="4757D7F6" wp14:editId="1004DB20">
            <wp:extent cx="5058410" cy="2143125"/>
            <wp:effectExtent l="0" t="0" r="8890" b="9525"/>
            <wp:docPr id="37"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D27103" w:rsidRDefault="00D27103" w:rsidP="00D27103">
      <w:pPr>
        <w:rPr>
          <w:lang w:eastAsia="es-ES"/>
        </w:rPr>
      </w:pPr>
    </w:p>
    <w:p w:rsidR="00D27103" w:rsidRDefault="00D27103" w:rsidP="00D27103">
      <w:pPr>
        <w:rPr>
          <w:lang w:eastAsia="es-ES"/>
        </w:rPr>
      </w:pPr>
    </w:p>
    <w:p w:rsidR="00D27103" w:rsidRDefault="00D27103" w:rsidP="00D27103">
      <w:pPr>
        <w:rPr>
          <w:lang w:eastAsia="es-ES"/>
        </w:rPr>
      </w:pPr>
      <w:r>
        <w:rPr>
          <w:lang w:eastAsia="es-ES"/>
        </w:rPr>
        <w:t xml:space="preserve">Teniendo en cuenta los casos en los que se ha producido </w:t>
      </w:r>
      <w:r w:rsidRPr="004D7C1F">
        <w:rPr>
          <w:u w:val="single"/>
          <w:lang w:eastAsia="es-ES"/>
        </w:rPr>
        <w:t xml:space="preserve">error en la cabecera del paciente, </w:t>
      </w:r>
      <w:r>
        <w:rPr>
          <w:lang w:eastAsia="es-ES"/>
        </w:rPr>
        <w:t xml:space="preserve">que constituye el grupo cuantitativamente más importante (13 casos), el error en todos ellos fue que no se identificó al receptor activamente. En cuanto a errores en la selección, lo más habitual fue la entrega de un componente sanguíneo que no cumplía con la prescripción prevista (9 de los </w:t>
      </w:r>
      <w:r>
        <w:rPr>
          <w:lang w:eastAsia="es-ES"/>
        </w:rPr>
        <w:lastRenderedPageBreak/>
        <w:t xml:space="preserve">casos), seguido de la entrega de un componente distinto al previsto (1 de los casos).  </w:t>
      </w:r>
    </w:p>
    <w:p w:rsidR="00D27103" w:rsidRDefault="00D27103" w:rsidP="00D27103">
      <w:pPr>
        <w:rPr>
          <w:lang w:eastAsia="es-ES"/>
        </w:rPr>
      </w:pPr>
      <w:r>
        <w:rPr>
          <w:lang w:eastAsia="es-ES"/>
        </w:rPr>
        <w:t xml:space="preserve">Más importancia reviste el hecho de que se han comunicado </w:t>
      </w:r>
      <w:r>
        <w:rPr>
          <w:b/>
          <w:lang w:eastAsia="es-ES"/>
        </w:rPr>
        <w:t>5</w:t>
      </w:r>
      <w:r w:rsidRPr="003D7F8B">
        <w:rPr>
          <w:b/>
          <w:lang w:eastAsia="es-ES"/>
        </w:rPr>
        <w:t xml:space="preserve"> casos de transfusión con incompatibilidad ABO mayor</w:t>
      </w:r>
      <w:r>
        <w:rPr>
          <w:lang w:eastAsia="es-ES"/>
        </w:rPr>
        <w:t xml:space="preserve"> (entre ellos, uno de ellos se relaciona con transfusión de plaquetas y otro con PFC). </w:t>
      </w:r>
    </w:p>
    <w:p w:rsidR="00D27103" w:rsidRDefault="00D27103" w:rsidP="00D27103">
      <w:pPr>
        <w:rPr>
          <w:lang w:eastAsia="es-ES"/>
        </w:rPr>
      </w:pPr>
      <w:r>
        <w:rPr>
          <w:lang w:eastAsia="es-ES"/>
        </w:rPr>
        <w:t xml:space="preserve">El segundo grupo en frecuencia lo constituye el grupo de </w:t>
      </w:r>
      <w:r w:rsidRPr="00FD2997">
        <w:rPr>
          <w:u w:val="single"/>
          <w:lang w:eastAsia="es-ES"/>
        </w:rPr>
        <w:t xml:space="preserve">errores en </w:t>
      </w:r>
      <w:r>
        <w:rPr>
          <w:u w:val="single"/>
          <w:lang w:eastAsia="es-ES"/>
        </w:rPr>
        <w:t xml:space="preserve">la selección </w:t>
      </w:r>
      <w:r>
        <w:rPr>
          <w:lang w:eastAsia="es-ES"/>
        </w:rPr>
        <w:t xml:space="preserve">(10 casos), que incluye 8 casos en los que el componente no cumplía con la prescripción prevista, y dos casos en los que el procedimiento técnico fue correcto pero entregó un componente distinto al previsto. </w:t>
      </w:r>
    </w:p>
    <w:p w:rsidR="00D27103" w:rsidRDefault="00D27103" w:rsidP="00D27103">
      <w:pPr>
        <w:rPr>
          <w:lang w:eastAsia="es-ES"/>
        </w:rPr>
      </w:pPr>
      <w:r>
        <w:rPr>
          <w:lang w:eastAsia="es-ES"/>
        </w:rPr>
        <w:t xml:space="preserve"> En tercer lugar si sitúan los </w:t>
      </w:r>
      <w:r w:rsidRPr="00875C61">
        <w:rPr>
          <w:u w:val="single"/>
          <w:lang w:eastAsia="es-ES"/>
        </w:rPr>
        <w:t>errores en la prescripción</w:t>
      </w:r>
      <w:r>
        <w:rPr>
          <w:lang w:eastAsia="es-ES"/>
        </w:rPr>
        <w:t xml:space="preserve">: en dos casos la cifra de Hb no erala correcta y en 1 caso no lo era la cifra de plaquetas.  </w:t>
      </w:r>
    </w:p>
    <w:p w:rsidR="00D27103" w:rsidRDefault="00D27103" w:rsidP="00D27103">
      <w:pPr>
        <w:rPr>
          <w:lang w:eastAsia="es-ES"/>
        </w:rPr>
      </w:pPr>
      <w:r>
        <w:rPr>
          <w:lang w:eastAsia="es-ES"/>
        </w:rPr>
        <w:t xml:space="preserve">Por último, se produce un error en la extracción de muestras y otro en la identificación de muestras y solicitud. </w:t>
      </w:r>
    </w:p>
    <w:p w:rsidR="00D27103" w:rsidRDefault="00D27103" w:rsidP="00D27103">
      <w:r>
        <w:t xml:space="preserve">La tabla 12 muestra la distribución detallada de las causas de EAC. </w:t>
      </w:r>
    </w:p>
    <w:p w:rsidR="00D27103" w:rsidRDefault="00D27103" w:rsidP="00D27103"/>
    <w:p w:rsidR="00D27103" w:rsidRDefault="00D27103" w:rsidP="00D27103">
      <w:r>
        <w:t>Tabla 12.</w:t>
      </w:r>
    </w:p>
    <w:tbl>
      <w:tblPr>
        <w:tblStyle w:val="Tabladecuadrcula5oscura-nfasis1"/>
        <w:tblW w:w="0" w:type="auto"/>
        <w:tblLook w:val="0620" w:firstRow="1" w:lastRow="0" w:firstColumn="0" w:lastColumn="0" w:noHBand="1" w:noVBand="1"/>
      </w:tblPr>
      <w:tblGrid>
        <w:gridCol w:w="6501"/>
        <w:gridCol w:w="667"/>
        <w:gridCol w:w="759"/>
      </w:tblGrid>
      <w:tr w:rsidR="00D27103" w:rsidTr="00D27103">
        <w:trPr>
          <w:cnfStyle w:val="100000000000" w:firstRow="1" w:lastRow="0" w:firstColumn="0" w:lastColumn="0" w:oddVBand="0" w:evenVBand="0" w:oddHBand="0" w:evenHBand="0" w:firstRowFirstColumn="0" w:firstRowLastColumn="0" w:lastRowFirstColumn="0" w:lastRowLastColumn="0"/>
          <w:cantSplit/>
          <w:tblHeader/>
        </w:trPr>
        <w:tc>
          <w:tcPr>
            <w:tcW w:w="7055" w:type="dxa"/>
          </w:tcPr>
          <w:p w:rsidR="00D27103" w:rsidRPr="001F1526" w:rsidRDefault="00D27103" w:rsidP="00F30515">
            <w:pPr>
              <w:rPr>
                <w:b w:val="0"/>
              </w:rPr>
            </w:pPr>
            <w:r w:rsidRPr="001F1526">
              <w:t>Tipo de error</w:t>
            </w:r>
          </w:p>
        </w:tc>
        <w:tc>
          <w:tcPr>
            <w:tcW w:w="701" w:type="dxa"/>
          </w:tcPr>
          <w:p w:rsidR="00D27103" w:rsidRPr="001F1526" w:rsidRDefault="00D27103" w:rsidP="00F30515">
            <w:pPr>
              <w:jc w:val="center"/>
              <w:rPr>
                <w:b w:val="0"/>
              </w:rPr>
            </w:pPr>
            <w:r w:rsidRPr="001F1526">
              <w:t>n</w:t>
            </w:r>
          </w:p>
        </w:tc>
        <w:tc>
          <w:tcPr>
            <w:tcW w:w="738" w:type="dxa"/>
          </w:tcPr>
          <w:p w:rsidR="00D27103" w:rsidRPr="001F1526" w:rsidRDefault="00D27103" w:rsidP="00F30515">
            <w:pPr>
              <w:jc w:val="center"/>
              <w:rPr>
                <w:b w:val="0"/>
              </w:rPr>
            </w:pPr>
            <w:r w:rsidRPr="001F1526">
              <w:t>%</w:t>
            </w:r>
          </w:p>
        </w:tc>
      </w:tr>
      <w:tr w:rsidR="00D27103" w:rsidTr="00D27103">
        <w:tc>
          <w:tcPr>
            <w:tcW w:w="7055" w:type="dxa"/>
          </w:tcPr>
          <w:p w:rsidR="00D27103" w:rsidRDefault="00D27103" w:rsidP="00F30515">
            <w:r>
              <w:t>Extracción de las muestras</w:t>
            </w:r>
          </w:p>
          <w:p w:rsidR="00D27103" w:rsidRDefault="00D27103" w:rsidP="00846064">
            <w:pPr>
              <w:pStyle w:val="Prrafodelista"/>
              <w:numPr>
                <w:ilvl w:val="0"/>
                <w:numId w:val="31"/>
              </w:numPr>
              <w:spacing w:line="276" w:lineRule="auto"/>
              <w:jc w:val="left"/>
            </w:pPr>
            <w:r>
              <w:t>Extracción de muestras a otro paciente</w:t>
            </w:r>
          </w:p>
        </w:tc>
        <w:tc>
          <w:tcPr>
            <w:tcW w:w="701" w:type="dxa"/>
          </w:tcPr>
          <w:p w:rsidR="00D27103" w:rsidRPr="007E0985" w:rsidRDefault="00D27103" w:rsidP="00F30515">
            <w:pPr>
              <w:jc w:val="center"/>
              <w:rPr>
                <w:b/>
              </w:rPr>
            </w:pPr>
            <w:r>
              <w:rPr>
                <w:b/>
              </w:rPr>
              <w:t>1</w:t>
            </w:r>
          </w:p>
          <w:p w:rsidR="00D27103" w:rsidRPr="007E0985" w:rsidRDefault="00D27103" w:rsidP="00F30515">
            <w:pPr>
              <w:jc w:val="center"/>
            </w:pPr>
            <w:r>
              <w:rPr>
                <w:b/>
              </w:rPr>
              <w:t>1</w:t>
            </w:r>
          </w:p>
        </w:tc>
        <w:tc>
          <w:tcPr>
            <w:tcW w:w="738" w:type="dxa"/>
          </w:tcPr>
          <w:p w:rsidR="00D27103" w:rsidRPr="007E0985" w:rsidRDefault="00D27103" w:rsidP="00F30515">
            <w:pPr>
              <w:jc w:val="center"/>
            </w:pPr>
            <w:r>
              <w:t>3,57</w:t>
            </w:r>
          </w:p>
        </w:tc>
      </w:tr>
      <w:tr w:rsidR="00D27103" w:rsidTr="00D27103">
        <w:tc>
          <w:tcPr>
            <w:tcW w:w="7055" w:type="dxa"/>
          </w:tcPr>
          <w:p w:rsidR="00D27103" w:rsidRDefault="00D27103" w:rsidP="00F30515">
            <w:r>
              <w:t>Prescripción</w:t>
            </w:r>
          </w:p>
          <w:p w:rsidR="00D27103" w:rsidRDefault="00D27103" w:rsidP="00846064">
            <w:pPr>
              <w:pStyle w:val="Prrafodelista"/>
              <w:numPr>
                <w:ilvl w:val="0"/>
                <w:numId w:val="30"/>
              </w:numPr>
              <w:spacing w:line="276" w:lineRule="auto"/>
              <w:jc w:val="left"/>
            </w:pPr>
            <w:r>
              <w:t>La cifra de Hb no era la correcta</w:t>
            </w:r>
          </w:p>
          <w:p w:rsidR="00D27103" w:rsidRDefault="00D27103" w:rsidP="00846064">
            <w:pPr>
              <w:pStyle w:val="Prrafodelista"/>
              <w:numPr>
                <w:ilvl w:val="0"/>
                <w:numId w:val="30"/>
              </w:numPr>
              <w:spacing w:line="276" w:lineRule="auto"/>
              <w:jc w:val="left"/>
            </w:pPr>
            <w:r>
              <w:t>La cifra de plaquetas no era la correcta</w:t>
            </w:r>
          </w:p>
        </w:tc>
        <w:tc>
          <w:tcPr>
            <w:tcW w:w="701" w:type="dxa"/>
          </w:tcPr>
          <w:p w:rsidR="00D27103" w:rsidRPr="007E0985" w:rsidRDefault="00D27103" w:rsidP="00F30515">
            <w:pPr>
              <w:jc w:val="center"/>
              <w:rPr>
                <w:b/>
              </w:rPr>
            </w:pPr>
            <w:r>
              <w:rPr>
                <w:b/>
              </w:rPr>
              <w:t>3</w:t>
            </w:r>
          </w:p>
          <w:p w:rsidR="00D27103" w:rsidRPr="007E0985" w:rsidRDefault="00D27103" w:rsidP="00F30515">
            <w:pPr>
              <w:jc w:val="center"/>
            </w:pPr>
            <w:r>
              <w:t>2</w:t>
            </w:r>
          </w:p>
          <w:p w:rsidR="00D27103" w:rsidRPr="007E0985" w:rsidRDefault="00D27103" w:rsidP="00F30515">
            <w:pPr>
              <w:jc w:val="center"/>
            </w:pPr>
            <w:r w:rsidRPr="007E0985">
              <w:t>1</w:t>
            </w:r>
          </w:p>
        </w:tc>
        <w:tc>
          <w:tcPr>
            <w:tcW w:w="738" w:type="dxa"/>
          </w:tcPr>
          <w:p w:rsidR="00D27103" w:rsidRPr="007E0985" w:rsidRDefault="00D27103" w:rsidP="00F30515">
            <w:pPr>
              <w:jc w:val="center"/>
            </w:pPr>
            <w:r>
              <w:t>10,71</w:t>
            </w:r>
          </w:p>
        </w:tc>
      </w:tr>
      <w:tr w:rsidR="00D27103" w:rsidTr="00D27103">
        <w:tc>
          <w:tcPr>
            <w:tcW w:w="7055" w:type="dxa"/>
          </w:tcPr>
          <w:p w:rsidR="00D27103" w:rsidRDefault="00D27103" w:rsidP="00F30515">
            <w:r>
              <w:t>Laboratorio</w:t>
            </w:r>
          </w:p>
          <w:p w:rsidR="00D27103" w:rsidRDefault="00D27103" w:rsidP="00846064">
            <w:pPr>
              <w:pStyle w:val="Prrafodelista"/>
              <w:numPr>
                <w:ilvl w:val="0"/>
                <w:numId w:val="30"/>
              </w:numPr>
              <w:spacing w:line="276" w:lineRule="auto"/>
              <w:jc w:val="left"/>
            </w:pPr>
            <w:r>
              <w:t xml:space="preserve">Se identificaron incorrectamente las muestras y la solicitud </w:t>
            </w:r>
          </w:p>
        </w:tc>
        <w:tc>
          <w:tcPr>
            <w:tcW w:w="701" w:type="dxa"/>
          </w:tcPr>
          <w:p w:rsidR="00D27103" w:rsidRPr="007E0985" w:rsidRDefault="00D27103" w:rsidP="00F30515">
            <w:pPr>
              <w:jc w:val="center"/>
              <w:rPr>
                <w:b/>
              </w:rPr>
            </w:pPr>
            <w:r>
              <w:rPr>
                <w:b/>
              </w:rPr>
              <w:t>1</w:t>
            </w:r>
          </w:p>
        </w:tc>
        <w:tc>
          <w:tcPr>
            <w:tcW w:w="738" w:type="dxa"/>
          </w:tcPr>
          <w:p w:rsidR="00D27103" w:rsidRPr="007E0985" w:rsidRDefault="00D27103" w:rsidP="00F30515">
            <w:pPr>
              <w:jc w:val="center"/>
            </w:pPr>
            <w:r>
              <w:t>3,57</w:t>
            </w:r>
          </w:p>
        </w:tc>
      </w:tr>
      <w:tr w:rsidR="00D27103" w:rsidTr="00D27103">
        <w:tc>
          <w:tcPr>
            <w:tcW w:w="7055" w:type="dxa"/>
          </w:tcPr>
          <w:p w:rsidR="00D27103" w:rsidRDefault="00D27103" w:rsidP="00F30515">
            <w:r>
              <w:t>Selección</w:t>
            </w:r>
          </w:p>
          <w:p w:rsidR="00D27103" w:rsidRDefault="00D27103" w:rsidP="00846064">
            <w:pPr>
              <w:pStyle w:val="Prrafodelista"/>
              <w:numPr>
                <w:ilvl w:val="0"/>
                <w:numId w:val="30"/>
              </w:numPr>
              <w:spacing w:line="276" w:lineRule="auto"/>
              <w:jc w:val="left"/>
            </w:pPr>
            <w:r>
              <w:t>El componente no cumple prescripción: no irradiado</w:t>
            </w:r>
          </w:p>
          <w:p w:rsidR="00D27103" w:rsidRDefault="00D27103" w:rsidP="00846064">
            <w:pPr>
              <w:pStyle w:val="Prrafodelista"/>
              <w:numPr>
                <w:ilvl w:val="0"/>
                <w:numId w:val="30"/>
              </w:numPr>
              <w:spacing w:line="276" w:lineRule="auto"/>
              <w:jc w:val="left"/>
            </w:pPr>
            <w:r>
              <w:t>El componente no cumple prescripción: no fenotipado</w:t>
            </w:r>
          </w:p>
          <w:p w:rsidR="00D27103" w:rsidRDefault="00D27103" w:rsidP="00846064">
            <w:pPr>
              <w:pStyle w:val="Prrafodelista"/>
              <w:numPr>
                <w:ilvl w:val="0"/>
                <w:numId w:val="30"/>
              </w:numPr>
              <w:spacing w:line="276" w:lineRule="auto"/>
              <w:jc w:val="left"/>
            </w:pPr>
            <w:r>
              <w:t>El componente no cumple prescripción: no desplasmatizado</w:t>
            </w:r>
          </w:p>
          <w:p w:rsidR="00D27103" w:rsidRDefault="00D27103" w:rsidP="00846064">
            <w:pPr>
              <w:pStyle w:val="Prrafodelista"/>
              <w:numPr>
                <w:ilvl w:val="0"/>
                <w:numId w:val="30"/>
              </w:numPr>
              <w:spacing w:line="276" w:lineRule="auto"/>
              <w:jc w:val="left"/>
            </w:pPr>
            <w:r>
              <w:t>Incompatibilidad AB0 mayor</w:t>
            </w:r>
          </w:p>
          <w:p w:rsidR="00D27103" w:rsidRDefault="00D27103" w:rsidP="00846064">
            <w:pPr>
              <w:pStyle w:val="Prrafodelista"/>
              <w:numPr>
                <w:ilvl w:val="0"/>
                <w:numId w:val="30"/>
              </w:numPr>
              <w:spacing w:line="276" w:lineRule="auto"/>
              <w:jc w:val="left"/>
            </w:pPr>
            <w:r>
              <w:t>Incompatibilidad Rh</w:t>
            </w:r>
          </w:p>
          <w:p w:rsidR="00D27103" w:rsidRDefault="00D27103" w:rsidP="00846064">
            <w:pPr>
              <w:pStyle w:val="Prrafodelista"/>
              <w:numPr>
                <w:ilvl w:val="0"/>
                <w:numId w:val="30"/>
              </w:numPr>
              <w:spacing w:line="276" w:lineRule="auto"/>
              <w:jc w:val="left"/>
            </w:pPr>
            <w:r>
              <w:t>Otros</w:t>
            </w:r>
          </w:p>
        </w:tc>
        <w:tc>
          <w:tcPr>
            <w:tcW w:w="701" w:type="dxa"/>
          </w:tcPr>
          <w:p w:rsidR="00D27103" w:rsidRPr="007E0985" w:rsidRDefault="00D27103" w:rsidP="00F30515">
            <w:pPr>
              <w:jc w:val="center"/>
              <w:rPr>
                <w:b/>
              </w:rPr>
            </w:pPr>
            <w:r>
              <w:rPr>
                <w:b/>
              </w:rPr>
              <w:t>10</w:t>
            </w:r>
          </w:p>
          <w:p w:rsidR="00D27103" w:rsidRPr="007E0985" w:rsidRDefault="00D27103" w:rsidP="00F30515">
            <w:pPr>
              <w:jc w:val="center"/>
            </w:pPr>
            <w:r>
              <w:t>2</w:t>
            </w:r>
          </w:p>
          <w:p w:rsidR="00D27103" w:rsidRPr="007E0985" w:rsidRDefault="00D27103" w:rsidP="00F30515">
            <w:pPr>
              <w:jc w:val="center"/>
            </w:pPr>
            <w:r>
              <w:t>1</w:t>
            </w:r>
          </w:p>
          <w:p w:rsidR="00D27103" w:rsidRPr="007E0985" w:rsidRDefault="00D27103" w:rsidP="00F30515">
            <w:pPr>
              <w:jc w:val="center"/>
            </w:pPr>
            <w:r w:rsidRPr="007E0985">
              <w:t>1</w:t>
            </w:r>
          </w:p>
          <w:p w:rsidR="00D27103" w:rsidRPr="007E0985" w:rsidRDefault="00D27103" w:rsidP="00F30515">
            <w:pPr>
              <w:jc w:val="center"/>
            </w:pPr>
            <w:r w:rsidRPr="007E0985">
              <w:t>1</w:t>
            </w:r>
          </w:p>
          <w:p w:rsidR="00D27103" w:rsidRPr="007E0985" w:rsidRDefault="00D27103" w:rsidP="00F30515">
            <w:pPr>
              <w:jc w:val="center"/>
            </w:pPr>
            <w:r>
              <w:t>1</w:t>
            </w:r>
          </w:p>
          <w:p w:rsidR="00D27103" w:rsidRPr="007E0985" w:rsidRDefault="00D27103" w:rsidP="00F30515">
            <w:pPr>
              <w:jc w:val="center"/>
            </w:pPr>
            <w:r>
              <w:t>4</w:t>
            </w:r>
          </w:p>
        </w:tc>
        <w:tc>
          <w:tcPr>
            <w:tcW w:w="738" w:type="dxa"/>
          </w:tcPr>
          <w:p w:rsidR="00D27103" w:rsidRPr="007E0985" w:rsidRDefault="00D27103" w:rsidP="00F30515">
            <w:pPr>
              <w:jc w:val="center"/>
            </w:pPr>
            <w:r>
              <w:t>35,71</w:t>
            </w:r>
          </w:p>
        </w:tc>
      </w:tr>
      <w:tr w:rsidR="00D27103" w:rsidTr="00D27103">
        <w:tc>
          <w:tcPr>
            <w:tcW w:w="7055" w:type="dxa"/>
          </w:tcPr>
          <w:p w:rsidR="00D27103" w:rsidRDefault="00D27103" w:rsidP="00F30515">
            <w:r>
              <w:t>Manipulación</w:t>
            </w:r>
          </w:p>
        </w:tc>
        <w:tc>
          <w:tcPr>
            <w:tcW w:w="701" w:type="dxa"/>
          </w:tcPr>
          <w:p w:rsidR="00D27103" w:rsidRPr="007E0985" w:rsidRDefault="00D27103" w:rsidP="00F30515">
            <w:pPr>
              <w:jc w:val="center"/>
              <w:rPr>
                <w:b/>
              </w:rPr>
            </w:pPr>
            <w:r w:rsidRPr="007E0985">
              <w:rPr>
                <w:b/>
              </w:rPr>
              <w:t>0</w:t>
            </w:r>
          </w:p>
        </w:tc>
        <w:tc>
          <w:tcPr>
            <w:tcW w:w="738" w:type="dxa"/>
          </w:tcPr>
          <w:p w:rsidR="00D27103" w:rsidRPr="007E0985" w:rsidRDefault="00D27103" w:rsidP="00F30515">
            <w:pPr>
              <w:jc w:val="center"/>
            </w:pPr>
            <w:r w:rsidRPr="007E0985">
              <w:t>0</w:t>
            </w:r>
          </w:p>
        </w:tc>
      </w:tr>
      <w:tr w:rsidR="00D27103" w:rsidTr="00D27103">
        <w:tc>
          <w:tcPr>
            <w:tcW w:w="7055" w:type="dxa"/>
          </w:tcPr>
          <w:p w:rsidR="00D27103" w:rsidRDefault="00D27103" w:rsidP="00F30515">
            <w:r>
              <w:t>Conservación</w:t>
            </w:r>
          </w:p>
        </w:tc>
        <w:tc>
          <w:tcPr>
            <w:tcW w:w="701" w:type="dxa"/>
          </w:tcPr>
          <w:p w:rsidR="00D27103" w:rsidRPr="007E0985" w:rsidRDefault="00D27103" w:rsidP="00F30515">
            <w:pPr>
              <w:jc w:val="center"/>
              <w:rPr>
                <w:b/>
              </w:rPr>
            </w:pPr>
            <w:r w:rsidRPr="007E0985">
              <w:rPr>
                <w:b/>
              </w:rPr>
              <w:t>0</w:t>
            </w:r>
          </w:p>
        </w:tc>
        <w:tc>
          <w:tcPr>
            <w:tcW w:w="738" w:type="dxa"/>
          </w:tcPr>
          <w:p w:rsidR="00D27103" w:rsidRPr="007E0985" w:rsidRDefault="00D27103" w:rsidP="00F30515">
            <w:pPr>
              <w:jc w:val="center"/>
            </w:pPr>
            <w:r w:rsidRPr="007E0985">
              <w:t>0</w:t>
            </w:r>
          </w:p>
        </w:tc>
      </w:tr>
      <w:tr w:rsidR="00D27103" w:rsidTr="00D27103">
        <w:tc>
          <w:tcPr>
            <w:tcW w:w="7055" w:type="dxa"/>
          </w:tcPr>
          <w:p w:rsidR="00D27103" w:rsidRDefault="00D27103" w:rsidP="00F30515">
            <w:r>
              <w:t>Cabecera</w:t>
            </w:r>
          </w:p>
          <w:p w:rsidR="00D27103" w:rsidRDefault="00D27103" w:rsidP="00846064">
            <w:pPr>
              <w:pStyle w:val="Prrafodelista"/>
              <w:numPr>
                <w:ilvl w:val="0"/>
                <w:numId w:val="30"/>
              </w:numPr>
              <w:spacing w:line="276" w:lineRule="auto"/>
              <w:jc w:val="left"/>
            </w:pPr>
            <w:r>
              <w:t>Administración a paciente distinto a previsto</w:t>
            </w:r>
          </w:p>
          <w:p w:rsidR="00D27103" w:rsidRDefault="00D27103" w:rsidP="00846064">
            <w:pPr>
              <w:pStyle w:val="Prrafodelista"/>
              <w:numPr>
                <w:ilvl w:val="0"/>
                <w:numId w:val="30"/>
              </w:numPr>
              <w:spacing w:line="276" w:lineRule="auto"/>
              <w:jc w:val="left"/>
            </w:pPr>
            <w:r>
              <w:t>Errores en la administración de la gammaglobulina anti-D</w:t>
            </w:r>
          </w:p>
        </w:tc>
        <w:tc>
          <w:tcPr>
            <w:tcW w:w="701" w:type="dxa"/>
          </w:tcPr>
          <w:p w:rsidR="00D27103" w:rsidRPr="007E0985" w:rsidRDefault="00D27103" w:rsidP="00F30515">
            <w:pPr>
              <w:jc w:val="center"/>
              <w:rPr>
                <w:b/>
              </w:rPr>
            </w:pPr>
            <w:r>
              <w:rPr>
                <w:b/>
              </w:rPr>
              <w:t>13</w:t>
            </w:r>
          </w:p>
          <w:p w:rsidR="00D27103" w:rsidRDefault="00D27103" w:rsidP="00F30515">
            <w:pPr>
              <w:jc w:val="center"/>
            </w:pPr>
            <w:r>
              <w:t>12</w:t>
            </w:r>
          </w:p>
          <w:p w:rsidR="00D27103" w:rsidRPr="007E0985" w:rsidRDefault="00D27103" w:rsidP="00F30515">
            <w:pPr>
              <w:jc w:val="center"/>
            </w:pPr>
            <w:r>
              <w:t>1</w:t>
            </w:r>
          </w:p>
        </w:tc>
        <w:tc>
          <w:tcPr>
            <w:tcW w:w="738" w:type="dxa"/>
          </w:tcPr>
          <w:p w:rsidR="00D27103" w:rsidRPr="007E0985" w:rsidRDefault="00D27103" w:rsidP="00F30515">
            <w:pPr>
              <w:jc w:val="center"/>
            </w:pPr>
            <w:r>
              <w:t>46,42</w:t>
            </w:r>
          </w:p>
        </w:tc>
      </w:tr>
    </w:tbl>
    <w:p w:rsidR="00D27103" w:rsidRDefault="00D27103" w:rsidP="00D27103">
      <w:pPr>
        <w:spacing w:after="0"/>
        <w:rPr>
          <w:b/>
          <w:sz w:val="28"/>
          <w:szCs w:val="28"/>
        </w:rPr>
      </w:pPr>
    </w:p>
    <w:p w:rsidR="00D27103" w:rsidRDefault="00D27103" w:rsidP="00D27103">
      <w:pPr>
        <w:spacing w:after="0"/>
        <w:ind w:firstLine="567"/>
        <w:rPr>
          <w:b/>
          <w:sz w:val="28"/>
          <w:szCs w:val="28"/>
        </w:rPr>
      </w:pPr>
    </w:p>
    <w:p w:rsidR="00D27103" w:rsidRPr="008433F3" w:rsidRDefault="00D27103" w:rsidP="00D27103">
      <w:pPr>
        <w:pStyle w:val="Ttulo3"/>
      </w:pPr>
      <w:r w:rsidRPr="008433F3">
        <w:t xml:space="preserve">CONCLUSIONES </w:t>
      </w:r>
    </w:p>
    <w:p w:rsidR="00D27103" w:rsidRDefault="00D27103" w:rsidP="00D27103"/>
    <w:p w:rsidR="00D27103" w:rsidRPr="00D73626" w:rsidRDefault="00D27103" w:rsidP="00D27103">
      <w:r w:rsidRPr="00541D7E">
        <w:rPr>
          <w:rFonts w:cs="Calibri"/>
          <w:color w:val="000000"/>
          <w:lang w:eastAsia="es-ES"/>
        </w:rPr>
        <w:t xml:space="preserve">Respecto a los </w:t>
      </w:r>
      <w:r w:rsidRPr="00D049FE">
        <w:rPr>
          <w:rFonts w:cs="Calibri"/>
          <w:color w:val="000000"/>
          <w:lang w:eastAsia="es-ES"/>
        </w:rPr>
        <w:t>incidentes relacionados con la donación</w:t>
      </w:r>
      <w:r w:rsidRPr="00541D7E">
        <w:rPr>
          <w:rFonts w:cs="Calibri"/>
          <w:color w:val="000000"/>
          <w:lang w:eastAsia="es-ES"/>
        </w:rPr>
        <w:t xml:space="preserve"> se </w:t>
      </w:r>
      <w:r>
        <w:rPr>
          <w:rFonts w:cs="Calibri"/>
          <w:color w:val="000000"/>
          <w:lang w:eastAsia="es-ES"/>
        </w:rPr>
        <w:t>evidencia un descenso de notificaciones, justificado por la interferencia de la pandemia por SARS-CoV-2 en la actividad hospitalaria, afectando de manera directa al funcionamiento de los puntos de donación sobre todo hospitalarios. Sin embargo, la mayoría de los incidentes comunicados son leves, y realmente es excepcional la aparición de incidentes graves.</w:t>
      </w:r>
    </w:p>
    <w:p w:rsidR="00D27103" w:rsidRPr="005C03C6" w:rsidRDefault="00D27103" w:rsidP="00D27103"/>
    <w:p w:rsidR="00D27103" w:rsidRPr="00D87885" w:rsidRDefault="00D27103" w:rsidP="00D27103">
      <w:r>
        <w:t xml:space="preserve">Otro aspecto afectado por el motivo señalado anteriormente sería el descenso de la notificación de los </w:t>
      </w:r>
      <w:r w:rsidRPr="00D87885">
        <w:t xml:space="preserve">incidentes transfusionales, </w:t>
      </w:r>
      <w:r>
        <w:t xml:space="preserve">dada la afectación de la actividad hospitalaria habitual y a la menor disponibilidad del personal implicado en la notificación de las mismas durante este periodo de tiempo. </w:t>
      </w:r>
    </w:p>
    <w:p w:rsidR="00D27103" w:rsidRPr="00D87885" w:rsidRDefault="00D27103" w:rsidP="00D27103"/>
    <w:p w:rsidR="00D27103" w:rsidRPr="00E637A0" w:rsidRDefault="00D27103" w:rsidP="00D27103">
      <w:r w:rsidRPr="00E637A0">
        <w:t xml:space="preserve">Lo mismo ocurre en el caso de la comunicación de incidentes sin efecto o “casi incidentes”, cuyo descenso de notificaciones también ha sido llamativo. </w:t>
      </w:r>
    </w:p>
    <w:p w:rsidR="00D27103" w:rsidRDefault="00D27103" w:rsidP="00D27103"/>
    <w:p w:rsidR="00D27103" w:rsidRDefault="00D27103" w:rsidP="00D27103">
      <w:pPr>
        <w:rPr>
          <w:rFonts w:cs="Calibri"/>
          <w:color w:val="000000"/>
          <w:lang w:eastAsia="es-ES"/>
        </w:rPr>
      </w:pPr>
      <w:r w:rsidRPr="0076067A">
        <w:t xml:space="preserve"> </w:t>
      </w:r>
      <w:r w:rsidRPr="0076067A">
        <w:rPr>
          <w:rFonts w:cs="Calibri"/>
          <w:color w:val="000000"/>
          <w:lang w:eastAsia="es-ES"/>
        </w:rPr>
        <w:t xml:space="preserve">El análisis global de las reacciones adversas transfusionales muestra que </w:t>
      </w:r>
      <w:r>
        <w:rPr>
          <w:rFonts w:cs="Calibri"/>
          <w:color w:val="000000"/>
          <w:lang w:eastAsia="es-ES"/>
        </w:rPr>
        <w:t xml:space="preserve">la mayoría de ellas </w:t>
      </w:r>
      <w:r w:rsidRPr="0076067A">
        <w:rPr>
          <w:rFonts w:cs="Calibri"/>
          <w:color w:val="000000"/>
          <w:lang w:eastAsia="es-ES"/>
        </w:rPr>
        <w:t>son leves (gravedad 0 ó 1). S</w:t>
      </w:r>
      <w:r>
        <w:rPr>
          <w:rFonts w:cs="Calibri"/>
          <w:color w:val="000000"/>
          <w:lang w:eastAsia="es-ES"/>
        </w:rPr>
        <w:t>in embargo, s</w:t>
      </w:r>
      <w:r w:rsidRPr="0076067A">
        <w:rPr>
          <w:rFonts w:cs="Calibri"/>
          <w:color w:val="000000"/>
          <w:lang w:eastAsia="es-ES"/>
        </w:rPr>
        <w:t xml:space="preserve">e han notificado </w:t>
      </w:r>
      <w:r>
        <w:rPr>
          <w:rFonts w:cs="Calibri"/>
          <w:color w:val="000000"/>
          <w:lang w:eastAsia="es-ES"/>
        </w:rPr>
        <w:t xml:space="preserve">4 </w:t>
      </w:r>
      <w:r w:rsidRPr="0076067A">
        <w:rPr>
          <w:rFonts w:cs="Calibri"/>
          <w:color w:val="000000"/>
          <w:lang w:eastAsia="es-ES"/>
        </w:rPr>
        <w:t>casos con desenlace mortal (</w:t>
      </w:r>
      <w:r>
        <w:rPr>
          <w:rFonts w:cs="Calibri"/>
          <w:color w:val="000000"/>
          <w:lang w:eastAsia="es-ES"/>
        </w:rPr>
        <w:t>3</w:t>
      </w:r>
      <w:r w:rsidRPr="0076067A">
        <w:rPr>
          <w:rFonts w:cs="Calibri"/>
          <w:color w:val="000000"/>
          <w:lang w:eastAsia="es-ES"/>
        </w:rPr>
        <w:t xml:space="preserve"> de ellos por edema pulmonar cardiogénico, </w:t>
      </w:r>
      <w:r>
        <w:rPr>
          <w:rFonts w:cs="Calibri"/>
          <w:color w:val="000000"/>
          <w:lang w:eastAsia="es-ES"/>
        </w:rPr>
        <w:t xml:space="preserve">y uno por distrés respiratorio). </w:t>
      </w:r>
    </w:p>
    <w:p w:rsidR="00D27103" w:rsidRPr="0076067A" w:rsidRDefault="00D27103" w:rsidP="00D27103">
      <w:pPr>
        <w:rPr>
          <w:rFonts w:cs="Calibri"/>
          <w:color w:val="000000"/>
          <w:lang w:eastAsia="es-ES"/>
        </w:rPr>
      </w:pPr>
    </w:p>
    <w:p w:rsidR="00D27103" w:rsidRDefault="00D27103" w:rsidP="00D27103">
      <w:pPr>
        <w:spacing w:after="0" w:line="240" w:lineRule="auto"/>
        <w:rPr>
          <w:rFonts w:cs="Calibri"/>
          <w:color w:val="000000"/>
          <w:lang w:eastAsia="es-ES"/>
        </w:rPr>
      </w:pPr>
    </w:p>
    <w:p w:rsidR="00D27103" w:rsidRPr="008433F3" w:rsidRDefault="00D27103" w:rsidP="00F30515">
      <w:pPr>
        <w:pStyle w:val="Ttulo3"/>
        <w:rPr>
          <w:lang w:eastAsia="es-ES"/>
        </w:rPr>
      </w:pPr>
      <w:r w:rsidRPr="008433F3">
        <w:rPr>
          <w:lang w:eastAsia="es-ES"/>
        </w:rPr>
        <w:t>OBJETIVOS PARA EL AÑO 20</w:t>
      </w:r>
      <w:r>
        <w:rPr>
          <w:lang w:eastAsia="es-ES"/>
        </w:rPr>
        <w:t>21</w:t>
      </w:r>
    </w:p>
    <w:p w:rsidR="00D27103" w:rsidRPr="007E0DB3" w:rsidRDefault="00D27103" w:rsidP="00D27103">
      <w:pPr>
        <w:pStyle w:val="Prrafodelista"/>
        <w:spacing w:after="0"/>
        <w:ind w:left="927"/>
        <w:rPr>
          <w:rFonts w:cs="Calibri"/>
          <w:color w:val="000000"/>
          <w:lang w:eastAsia="es-ES"/>
        </w:rPr>
      </w:pPr>
    </w:p>
    <w:p w:rsidR="00D27103" w:rsidRDefault="00D27103" w:rsidP="00F30515">
      <w:pPr>
        <w:rPr>
          <w:lang w:eastAsia="es-ES"/>
        </w:rPr>
      </w:pPr>
      <w:r>
        <w:rPr>
          <w:lang w:eastAsia="es-ES"/>
        </w:rPr>
        <w:t>Los objetivos para este año ya se hicieron mención en la memoria anual previa. En este sentido, destacamos:</w:t>
      </w:r>
    </w:p>
    <w:p w:rsidR="00D27103" w:rsidRPr="00F57F8F" w:rsidRDefault="00D27103" w:rsidP="00F30515">
      <w:pPr>
        <w:rPr>
          <w:sz w:val="28"/>
          <w:szCs w:val="28"/>
        </w:rPr>
      </w:pPr>
    </w:p>
    <w:p w:rsidR="00D27103" w:rsidRPr="00F30515" w:rsidRDefault="00D27103" w:rsidP="00846064">
      <w:pPr>
        <w:pStyle w:val="Prrafodelista"/>
        <w:numPr>
          <w:ilvl w:val="0"/>
          <w:numId w:val="32"/>
        </w:numPr>
        <w:rPr>
          <w:sz w:val="28"/>
          <w:szCs w:val="28"/>
        </w:rPr>
      </w:pPr>
      <w:r>
        <w:t>Mejorar el empleo de la Aplicación de Hemovigilancia desarrollada por el Ministerio de Sanidad, Consumo y Bienestar Social, instaurada a principios de 2019.</w:t>
      </w:r>
    </w:p>
    <w:p w:rsidR="00D27103" w:rsidRPr="002F1528" w:rsidRDefault="00D27103" w:rsidP="00F30515">
      <w:pPr>
        <w:rPr>
          <w:sz w:val="28"/>
          <w:szCs w:val="28"/>
        </w:rPr>
      </w:pPr>
    </w:p>
    <w:p w:rsidR="00D27103" w:rsidRPr="00E637A0" w:rsidRDefault="00D27103" w:rsidP="00846064">
      <w:pPr>
        <w:pStyle w:val="Prrafodelista"/>
        <w:numPr>
          <w:ilvl w:val="0"/>
          <w:numId w:val="32"/>
        </w:numPr>
      </w:pPr>
      <w:r>
        <w:rPr>
          <w:lang w:eastAsia="es-ES"/>
        </w:rPr>
        <w:t>Continuar con la comunicación de incidentes relacionados con la donación a través de la Aplicación informática mencionada anteriormente, dando fin al empleo del papel.</w:t>
      </w:r>
    </w:p>
    <w:p w:rsidR="00D27103" w:rsidRPr="00F57F8F" w:rsidRDefault="00D27103" w:rsidP="00F30515"/>
    <w:p w:rsidR="00D27103" w:rsidRPr="00B11FD6" w:rsidRDefault="00D27103" w:rsidP="00846064">
      <w:pPr>
        <w:pStyle w:val="Prrafodelista"/>
        <w:numPr>
          <w:ilvl w:val="0"/>
          <w:numId w:val="32"/>
        </w:numPr>
      </w:pPr>
      <w:r>
        <w:lastRenderedPageBreak/>
        <w:t>Gestionar la accesibilidad de los profesionales a la aplicación informática.</w:t>
      </w:r>
    </w:p>
    <w:p w:rsidR="00D27103" w:rsidRDefault="00D27103" w:rsidP="00F30515"/>
    <w:p w:rsidR="00D27103" w:rsidRDefault="00D27103" w:rsidP="00846064">
      <w:pPr>
        <w:pStyle w:val="Prrafodelista"/>
        <w:numPr>
          <w:ilvl w:val="0"/>
          <w:numId w:val="32"/>
        </w:numPr>
      </w:pPr>
      <w:r>
        <w:t>Mantener el creciente interés de los profesionales de nuestra comunidad por la Hemovigilancia, como herramienta para asegurar un elevado nivel de calidad en la actividad transfusional.</w:t>
      </w:r>
    </w:p>
    <w:p w:rsidR="00D27103" w:rsidRDefault="00D27103" w:rsidP="00F30515"/>
    <w:p w:rsidR="00D27103" w:rsidRDefault="00D27103" w:rsidP="00846064">
      <w:pPr>
        <w:pStyle w:val="Prrafodelista"/>
        <w:numPr>
          <w:ilvl w:val="0"/>
          <w:numId w:val="32"/>
        </w:numPr>
      </w:pPr>
      <w:r>
        <w:t>Promover entre los hospitales la “hemovigilancia activa” y la figura del “enfermero de Hemovigilancia” como medios para optimizar la seguridad transfusional, lo que ha demostrado su eficacia en los hospitales que se han aplicado estas mejoras.</w:t>
      </w:r>
    </w:p>
    <w:p w:rsidR="00827AB1" w:rsidRPr="00A71B61" w:rsidRDefault="00827AB1" w:rsidP="00F30515">
      <w:pPr>
        <w:rPr>
          <w:szCs w:val="20"/>
          <w:lang w:val="x-none"/>
        </w:rPr>
      </w:pPr>
    </w:p>
    <w:p w:rsidR="00827AB1" w:rsidRPr="00A71B61" w:rsidRDefault="00827AB1" w:rsidP="00827AB1">
      <w:pPr>
        <w:rPr>
          <w:szCs w:val="20"/>
          <w:lang w:val="x-none" w:eastAsia="x-none"/>
        </w:rPr>
      </w:pPr>
    </w:p>
    <w:p w:rsidR="00827AB1" w:rsidRPr="00A71B61" w:rsidRDefault="00827AB1" w:rsidP="00827AB1">
      <w:pPr>
        <w:rPr>
          <w:szCs w:val="20"/>
          <w:lang w:val="x-none" w:eastAsia="x-none"/>
        </w:rPr>
      </w:pPr>
    </w:p>
    <w:p w:rsidR="00827AB1" w:rsidRPr="00A71B61" w:rsidRDefault="00827AB1" w:rsidP="00827AB1">
      <w:pPr>
        <w:rPr>
          <w:szCs w:val="20"/>
          <w:lang w:val="x-none" w:eastAsia="x-none"/>
        </w:rPr>
      </w:pPr>
    </w:p>
    <w:p w:rsidR="00827AB1" w:rsidRPr="00A71B61" w:rsidRDefault="00827AB1" w:rsidP="00827AB1">
      <w:pPr>
        <w:rPr>
          <w:szCs w:val="20"/>
          <w:lang w:val="x-none" w:eastAsia="x-none"/>
        </w:rPr>
      </w:pPr>
    </w:p>
    <w:p w:rsidR="00827AB1" w:rsidRPr="00A71B61" w:rsidRDefault="00827AB1" w:rsidP="00827AB1">
      <w:pPr>
        <w:rPr>
          <w:szCs w:val="20"/>
          <w:lang w:val="x-none" w:eastAsia="x-none"/>
        </w:rPr>
      </w:pPr>
    </w:p>
    <w:p w:rsidR="00827AB1" w:rsidRPr="00A71B61" w:rsidRDefault="00827AB1">
      <w:pPr>
        <w:rPr>
          <w:szCs w:val="20"/>
          <w:lang w:val="x-none" w:eastAsia="x-none"/>
        </w:rPr>
      </w:pPr>
      <w:r w:rsidRPr="00A71B61">
        <w:rPr>
          <w:szCs w:val="20"/>
          <w:lang w:val="x-none" w:eastAsia="x-none"/>
        </w:rPr>
        <w:br w:type="page"/>
      </w:r>
    </w:p>
    <w:p w:rsidR="00E83196" w:rsidRPr="003D5581" w:rsidRDefault="004E0812" w:rsidP="003D5581">
      <w:pPr>
        <w:pStyle w:val="Ttulo1"/>
      </w:pPr>
      <w:bookmarkStart w:id="81" w:name="_Toc488919148"/>
      <w:bookmarkStart w:id="82" w:name="_Toc56606648"/>
      <w:bookmarkStart w:id="83" w:name="_Toc90584900"/>
      <w:r w:rsidRPr="003D5581">
        <w:lastRenderedPageBreak/>
        <w:t>Histocompatibilidad, HLA de alta resolución y biología molecular</w:t>
      </w:r>
      <w:bookmarkEnd w:id="83"/>
    </w:p>
    <w:bookmarkEnd w:id="81"/>
    <w:bookmarkEnd w:id="82"/>
    <w:p w:rsidR="003D5581" w:rsidRDefault="003D5581" w:rsidP="003D5581">
      <w:pPr>
        <w:pStyle w:val="Ttulo2"/>
      </w:pPr>
    </w:p>
    <w:p w:rsidR="00771E00" w:rsidRPr="00A71B61" w:rsidRDefault="00771E00" w:rsidP="00771E00">
      <w:pPr>
        <w:rPr>
          <w:szCs w:val="20"/>
          <w:lang w:val="x-none" w:eastAsia="x-none"/>
        </w:rPr>
      </w:pPr>
    </w:p>
    <w:p w:rsidR="00771E00" w:rsidRPr="003D5581" w:rsidRDefault="00771E00" w:rsidP="00306B60">
      <w:pPr>
        <w:pStyle w:val="Ttulo3"/>
      </w:pPr>
      <w:r w:rsidRPr="003D5581">
        <w:t>Unidades de donación (UD) habilitadas para la toma de muestra para estudio HLA del candidato a donante de médula</w:t>
      </w:r>
    </w:p>
    <w:p w:rsidR="00771E00" w:rsidRPr="00A71B61" w:rsidRDefault="00771E00" w:rsidP="00846064">
      <w:pPr>
        <w:pStyle w:val="Prrafodelista"/>
        <w:numPr>
          <w:ilvl w:val="0"/>
          <w:numId w:val="8"/>
        </w:numPr>
        <w:spacing w:before="120" w:after="120" w:line="276" w:lineRule="auto"/>
        <w:ind w:left="714" w:hanging="357"/>
        <w:contextualSpacing w:val="0"/>
        <w:rPr>
          <w:rFonts w:cs="Lucida Sans Unicode"/>
          <w:szCs w:val="20"/>
        </w:rPr>
      </w:pPr>
      <w:r w:rsidRPr="00A71B61">
        <w:rPr>
          <w:rFonts w:cs="Lucida Sans Unicode"/>
          <w:szCs w:val="20"/>
        </w:rPr>
        <w:t>Centro de Transfusión de la Comunidad de Madrid.</w:t>
      </w:r>
    </w:p>
    <w:p w:rsidR="00771E00" w:rsidRPr="00A71B61" w:rsidRDefault="00771E00" w:rsidP="00846064">
      <w:pPr>
        <w:pStyle w:val="Prrafodelista"/>
        <w:numPr>
          <w:ilvl w:val="0"/>
          <w:numId w:val="8"/>
        </w:numPr>
        <w:spacing w:before="120" w:after="120" w:line="276" w:lineRule="auto"/>
        <w:ind w:left="714" w:hanging="357"/>
        <w:contextualSpacing w:val="0"/>
        <w:rPr>
          <w:rFonts w:cs="Lucida Sans Unicode"/>
          <w:szCs w:val="20"/>
        </w:rPr>
      </w:pPr>
      <w:r w:rsidRPr="00A71B61">
        <w:rPr>
          <w:rFonts w:cs="Lucida Sans Unicode"/>
          <w:szCs w:val="20"/>
        </w:rPr>
        <w:t>UD del  Hospital U. Doce de Octubre.</w:t>
      </w:r>
    </w:p>
    <w:p w:rsidR="00771E00" w:rsidRPr="00A71B61" w:rsidRDefault="00771E00" w:rsidP="00846064">
      <w:pPr>
        <w:pStyle w:val="Prrafodelista"/>
        <w:numPr>
          <w:ilvl w:val="0"/>
          <w:numId w:val="8"/>
        </w:numPr>
        <w:spacing w:before="120" w:after="120" w:line="276" w:lineRule="auto"/>
        <w:ind w:left="714" w:hanging="357"/>
        <w:contextualSpacing w:val="0"/>
        <w:rPr>
          <w:rFonts w:cs="Lucida Sans Unicode"/>
          <w:szCs w:val="20"/>
        </w:rPr>
      </w:pPr>
      <w:r w:rsidRPr="00A71B61">
        <w:rPr>
          <w:rFonts w:cs="Lucida Sans Unicode"/>
          <w:szCs w:val="20"/>
        </w:rPr>
        <w:t>UD del Hospital U. La Paz.</w:t>
      </w:r>
    </w:p>
    <w:p w:rsidR="00771E00" w:rsidRPr="00A71B61" w:rsidRDefault="00771E00" w:rsidP="00846064">
      <w:pPr>
        <w:pStyle w:val="Prrafodelista"/>
        <w:numPr>
          <w:ilvl w:val="0"/>
          <w:numId w:val="8"/>
        </w:numPr>
        <w:spacing w:before="120" w:after="120" w:line="276" w:lineRule="auto"/>
        <w:ind w:left="714" w:hanging="357"/>
        <w:contextualSpacing w:val="0"/>
        <w:rPr>
          <w:rFonts w:cs="Lucida Sans Unicode"/>
          <w:szCs w:val="20"/>
        </w:rPr>
      </w:pPr>
      <w:r w:rsidRPr="00A71B61">
        <w:rPr>
          <w:rFonts w:cs="Lucida Sans Unicode"/>
          <w:szCs w:val="20"/>
        </w:rPr>
        <w:t>UD del Hospital U. de Móstoles.</w:t>
      </w:r>
    </w:p>
    <w:p w:rsidR="00771E00" w:rsidRPr="00A71B61" w:rsidRDefault="00771E00" w:rsidP="00846064">
      <w:pPr>
        <w:pStyle w:val="Prrafodelista"/>
        <w:numPr>
          <w:ilvl w:val="0"/>
          <w:numId w:val="8"/>
        </w:numPr>
        <w:spacing w:before="120" w:after="120" w:line="276" w:lineRule="auto"/>
        <w:ind w:left="714" w:hanging="357"/>
        <w:contextualSpacing w:val="0"/>
        <w:rPr>
          <w:rFonts w:cs="Lucida Sans Unicode"/>
          <w:szCs w:val="20"/>
        </w:rPr>
      </w:pPr>
      <w:r w:rsidRPr="00A71B61">
        <w:rPr>
          <w:rFonts w:cs="Lucida Sans Unicode"/>
          <w:szCs w:val="20"/>
        </w:rPr>
        <w:t>UD del Hospital U. Fundación Jiménez Díaz.</w:t>
      </w:r>
    </w:p>
    <w:p w:rsidR="00771E00" w:rsidRPr="00A71B61" w:rsidRDefault="00771E00" w:rsidP="00846064">
      <w:pPr>
        <w:pStyle w:val="Prrafodelista"/>
        <w:numPr>
          <w:ilvl w:val="0"/>
          <w:numId w:val="8"/>
        </w:numPr>
        <w:spacing w:before="120" w:after="120" w:line="276" w:lineRule="auto"/>
        <w:ind w:left="714" w:hanging="357"/>
        <w:contextualSpacing w:val="0"/>
        <w:rPr>
          <w:rFonts w:cs="Lucida Sans Unicode"/>
          <w:szCs w:val="20"/>
        </w:rPr>
      </w:pPr>
      <w:r w:rsidRPr="00A71B61">
        <w:rPr>
          <w:rFonts w:cs="Lucida Sans Unicode"/>
          <w:szCs w:val="20"/>
        </w:rPr>
        <w:t>UD del Hospital U. Fundación Alcorcón.</w:t>
      </w:r>
    </w:p>
    <w:p w:rsidR="00771E00" w:rsidRPr="00A71B61" w:rsidRDefault="00771E00" w:rsidP="00846064">
      <w:pPr>
        <w:pStyle w:val="Prrafodelista"/>
        <w:numPr>
          <w:ilvl w:val="0"/>
          <w:numId w:val="8"/>
        </w:numPr>
        <w:spacing w:before="120" w:after="120" w:line="276" w:lineRule="auto"/>
        <w:ind w:left="714" w:hanging="357"/>
        <w:contextualSpacing w:val="0"/>
        <w:rPr>
          <w:szCs w:val="20"/>
        </w:rPr>
      </w:pPr>
      <w:r w:rsidRPr="00A71B61">
        <w:rPr>
          <w:rFonts w:cs="Lucida Sans Unicode"/>
          <w:szCs w:val="20"/>
        </w:rPr>
        <w:t>UD del Hospital U. Puerta de Hierro Majadahonda.</w:t>
      </w:r>
    </w:p>
    <w:p w:rsidR="00771E00" w:rsidRPr="00A71B61" w:rsidRDefault="00771E00" w:rsidP="00846064">
      <w:pPr>
        <w:pStyle w:val="Prrafodelista"/>
        <w:numPr>
          <w:ilvl w:val="0"/>
          <w:numId w:val="8"/>
        </w:numPr>
        <w:spacing w:before="120" w:after="120" w:line="276" w:lineRule="auto"/>
        <w:ind w:left="714" w:hanging="357"/>
        <w:contextualSpacing w:val="0"/>
        <w:rPr>
          <w:szCs w:val="20"/>
        </w:rPr>
      </w:pPr>
      <w:r w:rsidRPr="00A71B61">
        <w:rPr>
          <w:rFonts w:cs="Lucida Sans Unicode"/>
          <w:szCs w:val="20"/>
        </w:rPr>
        <w:t xml:space="preserve">UD del Hospital U. La Princesa. </w:t>
      </w:r>
    </w:p>
    <w:p w:rsidR="00771E00" w:rsidRPr="00A71B61" w:rsidRDefault="00771E00" w:rsidP="00846064">
      <w:pPr>
        <w:pStyle w:val="Prrafodelista"/>
        <w:numPr>
          <w:ilvl w:val="0"/>
          <w:numId w:val="8"/>
        </w:numPr>
        <w:spacing w:before="120" w:after="120" w:line="276" w:lineRule="auto"/>
        <w:ind w:left="714" w:hanging="357"/>
        <w:contextualSpacing w:val="0"/>
        <w:rPr>
          <w:szCs w:val="20"/>
        </w:rPr>
      </w:pPr>
      <w:r w:rsidRPr="00A71B61">
        <w:rPr>
          <w:rFonts w:cs="Lucida Sans Unicode"/>
          <w:szCs w:val="20"/>
        </w:rPr>
        <w:t>UD del Hospital el Escorial.</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de Getafe.</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Infanta Cristina.</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del Tajo.</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Gregorio Marañón.</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Clínico de San Carlos.</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de Fuenlabrada.</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Ramón y Cajal.</w:t>
      </w:r>
    </w:p>
    <w:p w:rsidR="00771E00" w:rsidRPr="00A71B61" w:rsidRDefault="00771E00" w:rsidP="00846064">
      <w:pPr>
        <w:pStyle w:val="Prrafodelista"/>
        <w:numPr>
          <w:ilvl w:val="0"/>
          <w:numId w:val="8"/>
        </w:numPr>
        <w:spacing w:before="120" w:after="120" w:line="276" w:lineRule="auto"/>
        <w:contextualSpacing w:val="0"/>
        <w:rPr>
          <w:szCs w:val="20"/>
        </w:rPr>
      </w:pPr>
      <w:r w:rsidRPr="00A71B61">
        <w:rPr>
          <w:rFonts w:cs="Lucida Sans Unicode"/>
          <w:szCs w:val="20"/>
        </w:rPr>
        <w:t>UD del Hospital U. Príncipe de Asturias.</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 del Henares.</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 Infanta Sofía.</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 Infanta Leonor.</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Universitario Infanta Elena.</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Universitario Rey Juan Carlos.</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 del Sureste.</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 Severo Ochoa.</w:t>
      </w:r>
    </w:p>
    <w:p w:rsidR="00771E00" w:rsidRPr="00A71B61" w:rsidRDefault="00771E00" w:rsidP="00846064">
      <w:pPr>
        <w:pStyle w:val="Prrafodelista"/>
        <w:numPr>
          <w:ilvl w:val="0"/>
          <w:numId w:val="10"/>
        </w:numPr>
        <w:spacing w:before="120" w:after="120" w:line="276" w:lineRule="auto"/>
        <w:contextualSpacing w:val="0"/>
        <w:rPr>
          <w:szCs w:val="20"/>
        </w:rPr>
      </w:pPr>
      <w:r w:rsidRPr="00A71B61">
        <w:rPr>
          <w:rFonts w:cs="Lucida Sans Unicode"/>
          <w:szCs w:val="20"/>
        </w:rPr>
        <w:t>UD del Hospital U. General de Villalba.</w:t>
      </w:r>
    </w:p>
    <w:p w:rsidR="006A0CA8" w:rsidRPr="00A71B61" w:rsidRDefault="006A0CA8">
      <w:pPr>
        <w:rPr>
          <w:rFonts w:cs="Lucida Sans Unicode"/>
          <w:szCs w:val="20"/>
        </w:rPr>
      </w:pPr>
      <w:r w:rsidRPr="00A71B61">
        <w:rPr>
          <w:rFonts w:cs="Lucida Sans Unicode"/>
          <w:szCs w:val="20"/>
        </w:rPr>
        <w:br w:type="page"/>
      </w:r>
    </w:p>
    <w:p w:rsidR="00771E00" w:rsidRPr="00A71B61" w:rsidRDefault="00771E00" w:rsidP="00771E00">
      <w:pPr>
        <w:pStyle w:val="Prrafodelista"/>
        <w:spacing w:before="120" w:after="120"/>
        <w:contextualSpacing w:val="0"/>
        <w:rPr>
          <w:rFonts w:cs="Lucida Sans Unicode"/>
          <w:szCs w:val="20"/>
        </w:rPr>
      </w:pPr>
    </w:p>
    <w:p w:rsidR="00771E00" w:rsidRPr="003D5581" w:rsidRDefault="00771E00" w:rsidP="00306B60">
      <w:pPr>
        <w:pStyle w:val="Ttulo3"/>
      </w:pPr>
      <w:r w:rsidRPr="003D5581">
        <w:t>Comparativa del número de donantes de Madrid HLA tipados e inscritos en REDMO con el total nacional</w:t>
      </w:r>
    </w:p>
    <w:tbl>
      <w:tblPr>
        <w:tblStyle w:val="Tabladecuadrcula5oscura-nfasis1"/>
        <w:tblW w:w="5000" w:type="pct"/>
        <w:tblLook w:val="0620" w:firstRow="1" w:lastRow="0" w:firstColumn="0" w:lastColumn="0" w:noHBand="1" w:noVBand="1"/>
      </w:tblPr>
      <w:tblGrid>
        <w:gridCol w:w="1977"/>
        <w:gridCol w:w="1481"/>
        <w:gridCol w:w="1517"/>
        <w:gridCol w:w="1413"/>
        <w:gridCol w:w="1539"/>
      </w:tblGrid>
      <w:tr w:rsidR="00771E00" w:rsidRPr="00A71B61" w:rsidTr="00D324BE">
        <w:trPr>
          <w:cnfStyle w:val="100000000000" w:firstRow="1" w:lastRow="0" w:firstColumn="0" w:lastColumn="0" w:oddVBand="0" w:evenVBand="0" w:oddHBand="0" w:evenHBand="0" w:firstRowFirstColumn="0" w:firstRowLastColumn="0" w:lastRowFirstColumn="0" w:lastRowLastColumn="0"/>
          <w:trHeight w:val="498"/>
        </w:trPr>
        <w:tc>
          <w:tcPr>
            <w:tcW w:w="1247" w:type="pct"/>
          </w:tcPr>
          <w:p w:rsidR="00771E00" w:rsidRPr="00A71B61" w:rsidRDefault="00771E00" w:rsidP="006A0CA8">
            <w:pPr>
              <w:rPr>
                <w:rFonts w:ascii="Cambria" w:eastAsia="Times New Roman" w:hAnsi="Cambria"/>
                <w:b w:val="0"/>
                <w:bCs w:val="0"/>
                <w:szCs w:val="20"/>
              </w:rPr>
            </w:pPr>
          </w:p>
        </w:tc>
        <w:tc>
          <w:tcPr>
            <w:tcW w:w="1891" w:type="pct"/>
            <w:gridSpan w:val="2"/>
          </w:tcPr>
          <w:p w:rsidR="00771E00" w:rsidRPr="00306B60" w:rsidRDefault="00771E00" w:rsidP="006A0CA8">
            <w:pPr>
              <w:jc w:val="center"/>
              <w:rPr>
                <w:rFonts w:eastAsia="Times New Roman"/>
                <w:bCs w:val="0"/>
                <w:szCs w:val="20"/>
              </w:rPr>
            </w:pPr>
            <w:r w:rsidRPr="00306B60">
              <w:rPr>
                <w:rFonts w:eastAsia="Times New Roman"/>
                <w:bCs w:val="0"/>
                <w:szCs w:val="20"/>
              </w:rPr>
              <w:t>Madrid</w:t>
            </w:r>
          </w:p>
        </w:tc>
        <w:tc>
          <w:tcPr>
            <w:tcW w:w="1862" w:type="pct"/>
            <w:gridSpan w:val="2"/>
          </w:tcPr>
          <w:p w:rsidR="00771E00" w:rsidRPr="00306B60" w:rsidRDefault="00771E00" w:rsidP="006A0CA8">
            <w:pPr>
              <w:jc w:val="center"/>
              <w:rPr>
                <w:rFonts w:eastAsia="Times New Roman"/>
                <w:bCs w:val="0"/>
                <w:szCs w:val="20"/>
              </w:rPr>
            </w:pPr>
            <w:r w:rsidRPr="00306B60">
              <w:rPr>
                <w:rFonts w:eastAsia="Times New Roman"/>
                <w:bCs w:val="0"/>
                <w:szCs w:val="20"/>
              </w:rPr>
              <w:t>Nacional</w:t>
            </w:r>
          </w:p>
        </w:tc>
      </w:tr>
      <w:tr w:rsidR="00771E00" w:rsidRPr="00A71B61" w:rsidTr="00D324BE">
        <w:trPr>
          <w:trHeight w:val="498"/>
        </w:trPr>
        <w:tc>
          <w:tcPr>
            <w:tcW w:w="1247" w:type="pct"/>
          </w:tcPr>
          <w:p w:rsidR="00771E00" w:rsidRPr="00A71B61" w:rsidRDefault="00771E00" w:rsidP="00771E00">
            <w:pPr>
              <w:rPr>
                <w:szCs w:val="20"/>
              </w:rPr>
            </w:pPr>
          </w:p>
        </w:tc>
        <w:tc>
          <w:tcPr>
            <w:tcW w:w="934" w:type="pct"/>
          </w:tcPr>
          <w:p w:rsidR="00771E00" w:rsidRPr="00A71B61" w:rsidRDefault="00771E00" w:rsidP="00771E00">
            <w:pPr>
              <w:jc w:val="center"/>
              <w:rPr>
                <w:b/>
                <w:szCs w:val="20"/>
              </w:rPr>
            </w:pPr>
            <w:r w:rsidRPr="00A71B61">
              <w:rPr>
                <w:b/>
                <w:szCs w:val="20"/>
              </w:rPr>
              <w:t>2020</w:t>
            </w:r>
          </w:p>
        </w:tc>
        <w:tc>
          <w:tcPr>
            <w:tcW w:w="957" w:type="pct"/>
          </w:tcPr>
          <w:p w:rsidR="00771E00" w:rsidRPr="00A71B61" w:rsidRDefault="00771E00" w:rsidP="00771E00">
            <w:pPr>
              <w:jc w:val="center"/>
              <w:rPr>
                <w:b/>
                <w:szCs w:val="20"/>
              </w:rPr>
            </w:pPr>
            <w:r w:rsidRPr="00A71B61">
              <w:rPr>
                <w:b/>
                <w:szCs w:val="20"/>
              </w:rPr>
              <w:t>Histórico acumulado</w:t>
            </w:r>
          </w:p>
        </w:tc>
        <w:tc>
          <w:tcPr>
            <w:tcW w:w="891" w:type="pct"/>
          </w:tcPr>
          <w:p w:rsidR="00771E00" w:rsidRPr="00A71B61" w:rsidRDefault="00771E00" w:rsidP="00771E00">
            <w:pPr>
              <w:jc w:val="center"/>
              <w:rPr>
                <w:b/>
                <w:szCs w:val="20"/>
              </w:rPr>
            </w:pPr>
            <w:r w:rsidRPr="00A71B61">
              <w:rPr>
                <w:b/>
                <w:szCs w:val="20"/>
              </w:rPr>
              <w:t>2020</w:t>
            </w:r>
          </w:p>
        </w:tc>
        <w:tc>
          <w:tcPr>
            <w:tcW w:w="971" w:type="pct"/>
          </w:tcPr>
          <w:p w:rsidR="00771E00" w:rsidRPr="00A71B61" w:rsidRDefault="00771E00" w:rsidP="00771E00">
            <w:pPr>
              <w:jc w:val="center"/>
              <w:rPr>
                <w:b/>
                <w:szCs w:val="20"/>
              </w:rPr>
            </w:pPr>
            <w:r w:rsidRPr="00A71B61">
              <w:rPr>
                <w:b/>
                <w:szCs w:val="20"/>
              </w:rPr>
              <w:t>Histórico acumulado</w:t>
            </w:r>
          </w:p>
        </w:tc>
      </w:tr>
      <w:tr w:rsidR="00771E00" w:rsidRPr="00A71B61" w:rsidTr="00D324BE">
        <w:trPr>
          <w:trHeight w:val="498"/>
        </w:trPr>
        <w:tc>
          <w:tcPr>
            <w:tcW w:w="1247" w:type="pct"/>
          </w:tcPr>
          <w:p w:rsidR="00771E00" w:rsidRPr="00A71B61" w:rsidRDefault="00771E00" w:rsidP="00306B60">
            <w:pPr>
              <w:jc w:val="left"/>
              <w:rPr>
                <w:szCs w:val="20"/>
              </w:rPr>
            </w:pPr>
            <w:r w:rsidRPr="00A71B61">
              <w:rPr>
                <w:szCs w:val="20"/>
              </w:rPr>
              <w:t>Número de donantes</w:t>
            </w:r>
          </w:p>
        </w:tc>
        <w:tc>
          <w:tcPr>
            <w:tcW w:w="934" w:type="pct"/>
          </w:tcPr>
          <w:p w:rsidR="00771E00" w:rsidRPr="00A71B61" w:rsidRDefault="006A0CA8" w:rsidP="006A0CA8">
            <w:pPr>
              <w:jc w:val="center"/>
              <w:rPr>
                <w:szCs w:val="20"/>
              </w:rPr>
            </w:pPr>
            <w:r w:rsidRPr="00A71B61">
              <w:rPr>
                <w:szCs w:val="20"/>
              </w:rPr>
              <w:t xml:space="preserve">5.834 </w:t>
            </w:r>
          </w:p>
        </w:tc>
        <w:tc>
          <w:tcPr>
            <w:tcW w:w="957" w:type="pct"/>
          </w:tcPr>
          <w:p w:rsidR="00771E00" w:rsidRPr="00A71B61" w:rsidRDefault="006A0CA8" w:rsidP="00771E00">
            <w:pPr>
              <w:jc w:val="center"/>
              <w:rPr>
                <w:szCs w:val="20"/>
              </w:rPr>
            </w:pPr>
            <w:r w:rsidRPr="00A71B61">
              <w:rPr>
                <w:szCs w:val="20"/>
              </w:rPr>
              <w:t>52.919 (+12%)</w:t>
            </w:r>
          </w:p>
        </w:tc>
        <w:tc>
          <w:tcPr>
            <w:tcW w:w="891" w:type="pct"/>
          </w:tcPr>
          <w:p w:rsidR="00771E00" w:rsidRPr="00A71B61" w:rsidRDefault="006A0CA8" w:rsidP="00771E00">
            <w:pPr>
              <w:jc w:val="center"/>
              <w:rPr>
                <w:szCs w:val="20"/>
              </w:rPr>
            </w:pPr>
            <w:r w:rsidRPr="00A71B61">
              <w:rPr>
                <w:szCs w:val="20"/>
              </w:rPr>
              <w:t>30.631</w:t>
            </w:r>
          </w:p>
          <w:p w:rsidR="006A0CA8" w:rsidRPr="00A71B61" w:rsidRDefault="006A0CA8" w:rsidP="00771E00">
            <w:pPr>
              <w:jc w:val="center"/>
              <w:rPr>
                <w:szCs w:val="20"/>
              </w:rPr>
            </w:pPr>
            <w:r w:rsidRPr="00A71B61">
              <w:rPr>
                <w:szCs w:val="20"/>
              </w:rPr>
              <w:t>(+6%)</w:t>
            </w:r>
          </w:p>
        </w:tc>
        <w:tc>
          <w:tcPr>
            <w:tcW w:w="971" w:type="pct"/>
          </w:tcPr>
          <w:p w:rsidR="00771E00" w:rsidRPr="00A71B61" w:rsidRDefault="006A0CA8" w:rsidP="00771E00">
            <w:pPr>
              <w:jc w:val="center"/>
              <w:rPr>
                <w:szCs w:val="20"/>
              </w:rPr>
            </w:pPr>
            <w:r w:rsidRPr="00A71B61">
              <w:rPr>
                <w:szCs w:val="20"/>
              </w:rPr>
              <w:t>431.703</w:t>
            </w:r>
          </w:p>
        </w:tc>
      </w:tr>
      <w:tr w:rsidR="00771E00" w:rsidRPr="00A71B61" w:rsidTr="00D324BE">
        <w:trPr>
          <w:trHeight w:val="499"/>
        </w:trPr>
        <w:tc>
          <w:tcPr>
            <w:tcW w:w="1247" w:type="pct"/>
          </w:tcPr>
          <w:p w:rsidR="00771E00" w:rsidRPr="00A71B61" w:rsidRDefault="00771E00" w:rsidP="00306B60">
            <w:pPr>
              <w:jc w:val="left"/>
              <w:rPr>
                <w:szCs w:val="20"/>
              </w:rPr>
            </w:pPr>
            <w:r w:rsidRPr="00A71B61">
              <w:rPr>
                <w:szCs w:val="20"/>
              </w:rPr>
              <w:t>% versus total REDMO</w:t>
            </w:r>
          </w:p>
        </w:tc>
        <w:tc>
          <w:tcPr>
            <w:tcW w:w="934" w:type="pct"/>
          </w:tcPr>
          <w:p w:rsidR="00771E00" w:rsidRPr="00A71B61" w:rsidRDefault="006A0CA8" w:rsidP="00771E00">
            <w:pPr>
              <w:jc w:val="center"/>
              <w:rPr>
                <w:szCs w:val="20"/>
              </w:rPr>
            </w:pPr>
            <w:r w:rsidRPr="00A71B61">
              <w:rPr>
                <w:szCs w:val="20"/>
              </w:rPr>
              <w:t>11%</w:t>
            </w:r>
          </w:p>
        </w:tc>
        <w:tc>
          <w:tcPr>
            <w:tcW w:w="957" w:type="pct"/>
          </w:tcPr>
          <w:p w:rsidR="00771E00" w:rsidRPr="00A71B61" w:rsidRDefault="006A0CA8" w:rsidP="00771E00">
            <w:pPr>
              <w:jc w:val="center"/>
              <w:rPr>
                <w:szCs w:val="20"/>
              </w:rPr>
            </w:pPr>
            <w:r w:rsidRPr="00A71B61">
              <w:rPr>
                <w:szCs w:val="20"/>
              </w:rPr>
              <w:t>12,2%</w:t>
            </w:r>
          </w:p>
        </w:tc>
        <w:tc>
          <w:tcPr>
            <w:tcW w:w="891" w:type="pct"/>
          </w:tcPr>
          <w:p w:rsidR="00771E00" w:rsidRPr="00A71B61" w:rsidRDefault="006A0CA8" w:rsidP="00771E00">
            <w:pPr>
              <w:jc w:val="center"/>
              <w:rPr>
                <w:szCs w:val="20"/>
              </w:rPr>
            </w:pPr>
            <w:r w:rsidRPr="00A71B61">
              <w:rPr>
                <w:szCs w:val="20"/>
              </w:rPr>
              <w:t>N/A</w:t>
            </w:r>
          </w:p>
        </w:tc>
        <w:tc>
          <w:tcPr>
            <w:tcW w:w="971" w:type="pct"/>
          </w:tcPr>
          <w:p w:rsidR="00771E00" w:rsidRPr="00A71B61" w:rsidRDefault="006A0CA8" w:rsidP="00771E00">
            <w:pPr>
              <w:jc w:val="center"/>
              <w:rPr>
                <w:szCs w:val="20"/>
              </w:rPr>
            </w:pPr>
            <w:r w:rsidRPr="00A71B61">
              <w:rPr>
                <w:szCs w:val="20"/>
              </w:rPr>
              <w:t>N/A</w:t>
            </w:r>
          </w:p>
        </w:tc>
      </w:tr>
    </w:tbl>
    <w:p w:rsidR="00771E00" w:rsidRPr="00A71B61" w:rsidRDefault="00771E00" w:rsidP="00306B60">
      <w:pPr>
        <w:pStyle w:val="Piedetabla"/>
        <w:numPr>
          <w:ilvl w:val="0"/>
          <w:numId w:val="0"/>
        </w:numPr>
      </w:pPr>
      <w:r w:rsidRPr="00A71B61">
        <w:rPr>
          <w:vertAlign w:val="superscript"/>
        </w:rPr>
        <w:t>1</w:t>
      </w:r>
      <w:r w:rsidRPr="00A71B61">
        <w:t xml:space="preserve"> No se contabilizan bajas ni incorporaciones de otras comunidades </w:t>
      </w:r>
    </w:p>
    <w:p w:rsidR="00771E00" w:rsidRPr="00A71B61" w:rsidRDefault="006A0CA8" w:rsidP="00771E00">
      <w:pPr>
        <w:spacing w:before="120" w:after="120"/>
        <w:rPr>
          <w:szCs w:val="20"/>
        </w:rPr>
      </w:pPr>
      <w:r w:rsidRPr="00A71B61">
        <w:rPr>
          <w:szCs w:val="20"/>
        </w:rPr>
        <w:t>Hay que resaltar que el 37</w:t>
      </w:r>
      <w:r w:rsidR="00771E00" w:rsidRPr="00A71B61">
        <w:rPr>
          <w:szCs w:val="20"/>
        </w:rPr>
        <w:t>% de los donantes de médula ósea del regist</w:t>
      </w:r>
      <w:r w:rsidRPr="00A71B61">
        <w:rPr>
          <w:szCs w:val="20"/>
        </w:rPr>
        <w:t>ro madrileño son hombres y el 63</w:t>
      </w:r>
      <w:r w:rsidR="00771E00" w:rsidRPr="00A71B61">
        <w:rPr>
          <w:szCs w:val="20"/>
        </w:rPr>
        <w:t>% mujeres, siendo menores de 40 años el 65%.</w:t>
      </w:r>
    </w:p>
    <w:p w:rsidR="00771E00" w:rsidRPr="003D5581" w:rsidRDefault="00771E00" w:rsidP="00306B60">
      <w:pPr>
        <w:pStyle w:val="Ttulo3"/>
      </w:pPr>
      <w:r w:rsidRPr="003D5581">
        <w:t xml:space="preserve">Peticiones de colecta y donaciones de médula efectivas </w:t>
      </w:r>
    </w:p>
    <w:tbl>
      <w:tblPr>
        <w:tblStyle w:val="Tabladecuadrcula5oscura-nfasis1"/>
        <w:tblW w:w="0" w:type="auto"/>
        <w:tblLook w:val="0620" w:firstRow="1" w:lastRow="0" w:firstColumn="0" w:lastColumn="0" w:noHBand="1" w:noVBand="1"/>
      </w:tblPr>
      <w:tblGrid>
        <w:gridCol w:w="2736"/>
        <w:gridCol w:w="2602"/>
        <w:gridCol w:w="2579"/>
      </w:tblGrid>
      <w:tr w:rsidR="00771E00" w:rsidRPr="00306B60" w:rsidTr="00306B60">
        <w:trPr>
          <w:cnfStyle w:val="100000000000" w:firstRow="1" w:lastRow="0" w:firstColumn="0" w:lastColumn="0" w:oddVBand="0" w:evenVBand="0" w:oddHBand="0" w:evenHBand="0" w:firstRowFirstColumn="0" w:firstRowLastColumn="0" w:lastRowFirstColumn="0" w:lastRowLastColumn="0"/>
          <w:trHeight w:val="498"/>
        </w:trPr>
        <w:tc>
          <w:tcPr>
            <w:tcW w:w="2736" w:type="dxa"/>
          </w:tcPr>
          <w:p w:rsidR="00771E00" w:rsidRPr="00306B60" w:rsidRDefault="00771E00" w:rsidP="00771E00">
            <w:pPr>
              <w:spacing w:before="120" w:after="120"/>
              <w:rPr>
                <w:rFonts w:eastAsia="Times New Roman"/>
                <w:bCs w:val="0"/>
                <w:szCs w:val="20"/>
              </w:rPr>
            </w:pPr>
          </w:p>
        </w:tc>
        <w:tc>
          <w:tcPr>
            <w:tcW w:w="2602" w:type="dxa"/>
          </w:tcPr>
          <w:p w:rsidR="00771E00" w:rsidRPr="00306B60" w:rsidRDefault="00771E00" w:rsidP="00771E00">
            <w:pPr>
              <w:spacing w:before="120" w:after="120"/>
              <w:jc w:val="center"/>
              <w:rPr>
                <w:rFonts w:eastAsia="Times New Roman"/>
                <w:bCs w:val="0"/>
                <w:szCs w:val="20"/>
              </w:rPr>
            </w:pPr>
            <w:r w:rsidRPr="00306B60">
              <w:rPr>
                <w:rFonts w:eastAsia="Times New Roman"/>
                <w:bCs w:val="0"/>
                <w:szCs w:val="20"/>
              </w:rPr>
              <w:t>Nacional</w:t>
            </w:r>
          </w:p>
        </w:tc>
        <w:tc>
          <w:tcPr>
            <w:tcW w:w="2579" w:type="dxa"/>
          </w:tcPr>
          <w:p w:rsidR="00771E00" w:rsidRPr="00306B60" w:rsidRDefault="00771E00" w:rsidP="00771E00">
            <w:pPr>
              <w:spacing w:before="120" w:after="120"/>
              <w:jc w:val="center"/>
              <w:rPr>
                <w:rFonts w:eastAsia="Times New Roman"/>
                <w:bCs w:val="0"/>
                <w:szCs w:val="20"/>
              </w:rPr>
            </w:pPr>
            <w:r w:rsidRPr="00306B60">
              <w:rPr>
                <w:rFonts w:eastAsia="Times New Roman"/>
                <w:bCs w:val="0"/>
                <w:szCs w:val="20"/>
              </w:rPr>
              <w:t>Madrid</w:t>
            </w:r>
          </w:p>
        </w:tc>
      </w:tr>
      <w:tr w:rsidR="00F30515" w:rsidRPr="00A71B61" w:rsidTr="00306B60">
        <w:trPr>
          <w:trHeight w:val="498"/>
        </w:trPr>
        <w:tc>
          <w:tcPr>
            <w:tcW w:w="2736" w:type="dxa"/>
          </w:tcPr>
          <w:p w:rsidR="00F30515" w:rsidRPr="00A71B61" w:rsidRDefault="00F30515" w:rsidP="00F30515">
            <w:pPr>
              <w:rPr>
                <w:szCs w:val="20"/>
              </w:rPr>
            </w:pPr>
            <w:r w:rsidRPr="00A71B61">
              <w:rPr>
                <w:szCs w:val="20"/>
              </w:rPr>
              <w:t>Peticiones de colecta</w:t>
            </w:r>
          </w:p>
        </w:tc>
        <w:tc>
          <w:tcPr>
            <w:tcW w:w="2602" w:type="dxa"/>
          </w:tcPr>
          <w:p w:rsidR="00F30515" w:rsidRDefault="00F30515" w:rsidP="00F30515">
            <w:pPr>
              <w:jc w:val="center"/>
            </w:pPr>
            <w:r>
              <w:t>319</w:t>
            </w:r>
          </w:p>
        </w:tc>
        <w:tc>
          <w:tcPr>
            <w:tcW w:w="2579" w:type="dxa"/>
          </w:tcPr>
          <w:p w:rsidR="00F30515" w:rsidRDefault="00F30515" w:rsidP="00F30515">
            <w:pPr>
              <w:jc w:val="center"/>
            </w:pPr>
            <w:r>
              <w:t>61 (19%)</w:t>
            </w:r>
          </w:p>
        </w:tc>
      </w:tr>
      <w:tr w:rsidR="00F30515" w:rsidRPr="00A71B61" w:rsidTr="00306B60">
        <w:trPr>
          <w:trHeight w:val="498"/>
        </w:trPr>
        <w:tc>
          <w:tcPr>
            <w:tcW w:w="2736" w:type="dxa"/>
          </w:tcPr>
          <w:p w:rsidR="00F30515" w:rsidRPr="00A71B61" w:rsidRDefault="00F30515" w:rsidP="00F30515">
            <w:pPr>
              <w:rPr>
                <w:szCs w:val="20"/>
              </w:rPr>
            </w:pPr>
            <w:r w:rsidRPr="00A71B61">
              <w:rPr>
                <w:szCs w:val="20"/>
              </w:rPr>
              <w:t>Donaciones efectivas</w:t>
            </w:r>
          </w:p>
        </w:tc>
        <w:tc>
          <w:tcPr>
            <w:tcW w:w="2602" w:type="dxa"/>
          </w:tcPr>
          <w:p w:rsidR="00F30515" w:rsidRDefault="00F30515" w:rsidP="00F30515">
            <w:pPr>
              <w:jc w:val="center"/>
            </w:pPr>
            <w:r>
              <w:t>222</w:t>
            </w:r>
          </w:p>
        </w:tc>
        <w:tc>
          <w:tcPr>
            <w:tcW w:w="2579" w:type="dxa"/>
          </w:tcPr>
          <w:p w:rsidR="00F30515" w:rsidRDefault="00F30515" w:rsidP="00F30515">
            <w:pPr>
              <w:jc w:val="center"/>
            </w:pPr>
            <w:r>
              <w:t>56 (25%)</w:t>
            </w:r>
          </w:p>
        </w:tc>
      </w:tr>
      <w:tr w:rsidR="00F30515" w:rsidRPr="00A71B61" w:rsidTr="00306B60">
        <w:trPr>
          <w:trHeight w:val="499"/>
        </w:trPr>
        <w:tc>
          <w:tcPr>
            <w:tcW w:w="2736" w:type="dxa"/>
          </w:tcPr>
          <w:p w:rsidR="00F30515" w:rsidRPr="00A71B61" w:rsidRDefault="00F30515" w:rsidP="00F30515">
            <w:pPr>
              <w:rPr>
                <w:szCs w:val="20"/>
              </w:rPr>
            </w:pPr>
            <w:r w:rsidRPr="00A71B61">
              <w:rPr>
                <w:szCs w:val="20"/>
              </w:rPr>
              <w:t>Cancelaciones</w:t>
            </w:r>
          </w:p>
        </w:tc>
        <w:tc>
          <w:tcPr>
            <w:tcW w:w="2602" w:type="dxa"/>
          </w:tcPr>
          <w:p w:rsidR="00F30515" w:rsidRDefault="00F30515" w:rsidP="00F30515">
            <w:pPr>
              <w:jc w:val="center"/>
            </w:pPr>
            <w:r>
              <w:t>111</w:t>
            </w:r>
          </w:p>
        </w:tc>
        <w:tc>
          <w:tcPr>
            <w:tcW w:w="2579" w:type="dxa"/>
          </w:tcPr>
          <w:p w:rsidR="00F30515" w:rsidRDefault="00F30515" w:rsidP="00F30515">
            <w:pPr>
              <w:jc w:val="center"/>
            </w:pPr>
            <w:r>
              <w:t>9 (8%)</w:t>
            </w:r>
          </w:p>
        </w:tc>
      </w:tr>
    </w:tbl>
    <w:p w:rsidR="00306B60" w:rsidRDefault="00306B60" w:rsidP="00306B60">
      <w:pPr>
        <w:pStyle w:val="Ttulo3"/>
      </w:pPr>
    </w:p>
    <w:p w:rsidR="00771E00" w:rsidRPr="003D5581" w:rsidRDefault="00771E00" w:rsidP="00306B60">
      <w:pPr>
        <w:pStyle w:val="Ttulo3"/>
      </w:pPr>
      <w:r w:rsidRPr="003D5581">
        <w:t>Sangre de cordón</w:t>
      </w:r>
    </w:p>
    <w:tbl>
      <w:tblPr>
        <w:tblStyle w:val="Tabladecuadrcula5oscura-nfasis1"/>
        <w:tblW w:w="7928" w:type="dxa"/>
        <w:tblLook w:val="0620" w:firstRow="1" w:lastRow="0" w:firstColumn="0" w:lastColumn="0" w:noHBand="1" w:noVBand="1"/>
      </w:tblPr>
      <w:tblGrid>
        <w:gridCol w:w="3818"/>
        <w:gridCol w:w="1275"/>
        <w:gridCol w:w="1134"/>
        <w:gridCol w:w="1701"/>
      </w:tblGrid>
      <w:tr w:rsidR="00771E00" w:rsidRPr="00306B60" w:rsidTr="00306B60">
        <w:trPr>
          <w:cnfStyle w:val="100000000000" w:firstRow="1" w:lastRow="0" w:firstColumn="0" w:lastColumn="0" w:oddVBand="0" w:evenVBand="0" w:oddHBand="0" w:evenHBand="0" w:firstRowFirstColumn="0" w:firstRowLastColumn="0" w:lastRowFirstColumn="0" w:lastRowLastColumn="0"/>
          <w:cantSplit/>
          <w:trHeight w:val="756"/>
          <w:tblHeader/>
        </w:trPr>
        <w:tc>
          <w:tcPr>
            <w:tcW w:w="3818" w:type="dxa"/>
            <w:noWrap/>
          </w:tcPr>
          <w:p w:rsidR="00771E00" w:rsidRPr="00306B60" w:rsidRDefault="00771E00" w:rsidP="00306B60">
            <w:pPr>
              <w:spacing w:before="120" w:after="120"/>
              <w:jc w:val="left"/>
              <w:rPr>
                <w:rFonts w:eastAsia="Times New Roman" w:cs="Arial"/>
                <w:bCs w:val="0"/>
                <w:szCs w:val="20"/>
              </w:rPr>
            </w:pPr>
          </w:p>
        </w:tc>
        <w:tc>
          <w:tcPr>
            <w:tcW w:w="1275" w:type="dxa"/>
          </w:tcPr>
          <w:p w:rsidR="00771E00" w:rsidRPr="00306B60" w:rsidRDefault="00771E00" w:rsidP="00771E00">
            <w:pPr>
              <w:spacing w:before="120" w:after="120"/>
              <w:jc w:val="center"/>
              <w:rPr>
                <w:rFonts w:eastAsia="Times New Roman" w:cs="Arial"/>
                <w:szCs w:val="20"/>
              </w:rPr>
            </w:pPr>
            <w:r w:rsidRPr="00306B60">
              <w:rPr>
                <w:rFonts w:eastAsia="Times New Roman" w:cs="Arial"/>
                <w:szCs w:val="20"/>
              </w:rPr>
              <w:t>2019</w:t>
            </w:r>
          </w:p>
        </w:tc>
        <w:tc>
          <w:tcPr>
            <w:tcW w:w="1134" w:type="dxa"/>
          </w:tcPr>
          <w:p w:rsidR="00771E00" w:rsidRPr="00306B60" w:rsidRDefault="00771E00" w:rsidP="002B47C1">
            <w:pPr>
              <w:spacing w:before="120" w:after="120"/>
              <w:jc w:val="center"/>
              <w:rPr>
                <w:rFonts w:eastAsia="Times New Roman" w:cs="Arial"/>
                <w:szCs w:val="20"/>
              </w:rPr>
            </w:pPr>
            <w:r w:rsidRPr="00306B60">
              <w:rPr>
                <w:rFonts w:eastAsia="Times New Roman" w:cs="Arial"/>
                <w:szCs w:val="20"/>
              </w:rPr>
              <w:t>20</w:t>
            </w:r>
            <w:r w:rsidR="002B47C1" w:rsidRPr="00306B60">
              <w:rPr>
                <w:rFonts w:eastAsia="Times New Roman" w:cs="Arial"/>
                <w:szCs w:val="20"/>
              </w:rPr>
              <w:t>20</w:t>
            </w:r>
          </w:p>
        </w:tc>
        <w:tc>
          <w:tcPr>
            <w:tcW w:w="1701" w:type="dxa"/>
            <w:noWrap/>
          </w:tcPr>
          <w:p w:rsidR="00771E00" w:rsidRPr="00306B60" w:rsidRDefault="00771E00" w:rsidP="00771E00">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Tipajes HLA Unidades de Cordón</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155</w:t>
            </w:r>
          </w:p>
        </w:tc>
        <w:tc>
          <w:tcPr>
            <w:tcW w:w="1134" w:type="dxa"/>
          </w:tcPr>
          <w:p w:rsidR="00F30515" w:rsidRDefault="00F30515" w:rsidP="00F30515">
            <w:pPr>
              <w:jc w:val="center"/>
            </w:pPr>
            <w:r>
              <w:t>40</w:t>
            </w:r>
          </w:p>
        </w:tc>
        <w:tc>
          <w:tcPr>
            <w:tcW w:w="1701" w:type="dxa"/>
            <w:noWrap/>
          </w:tcPr>
          <w:p w:rsidR="00F30515" w:rsidRDefault="00F30515" w:rsidP="00F30515">
            <w:pPr>
              <w:jc w:val="center"/>
            </w:pPr>
            <w:r>
              <w:t>-74%</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Tipaje HLA cordones dirigidos</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8</w:t>
            </w:r>
          </w:p>
        </w:tc>
        <w:tc>
          <w:tcPr>
            <w:tcW w:w="1134" w:type="dxa"/>
          </w:tcPr>
          <w:p w:rsidR="00F30515" w:rsidRDefault="00F30515" w:rsidP="00F30515">
            <w:pPr>
              <w:spacing w:before="60" w:after="60"/>
              <w:jc w:val="center"/>
              <w:rPr>
                <w:rFonts w:cs="Arial"/>
                <w:bCs/>
              </w:rPr>
            </w:pPr>
            <w:r>
              <w:rPr>
                <w:rFonts w:cs="Arial"/>
                <w:bCs/>
              </w:rPr>
              <w:t>12</w:t>
            </w:r>
          </w:p>
        </w:tc>
        <w:tc>
          <w:tcPr>
            <w:tcW w:w="1701" w:type="dxa"/>
            <w:noWrap/>
          </w:tcPr>
          <w:p w:rsidR="00F30515" w:rsidRDefault="00F30515" w:rsidP="00F30515">
            <w:pPr>
              <w:spacing w:before="60" w:after="60"/>
              <w:jc w:val="center"/>
              <w:rPr>
                <w:rFonts w:cs="Arial"/>
                <w:bCs/>
              </w:rPr>
            </w:pPr>
            <w:r>
              <w:rPr>
                <w:rFonts w:cs="Arial"/>
                <w:bCs/>
              </w:rPr>
              <w:t>+50%</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Estudios Confirmatorios Cordones (solicitudes)</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36</w:t>
            </w:r>
          </w:p>
        </w:tc>
        <w:tc>
          <w:tcPr>
            <w:tcW w:w="1134" w:type="dxa"/>
          </w:tcPr>
          <w:p w:rsidR="00F30515" w:rsidRDefault="00F30515" w:rsidP="00F30515">
            <w:pPr>
              <w:spacing w:before="60" w:after="60"/>
              <w:jc w:val="center"/>
              <w:rPr>
                <w:rFonts w:cs="Arial"/>
                <w:bCs/>
              </w:rPr>
            </w:pPr>
            <w:r>
              <w:rPr>
                <w:rFonts w:cs="Arial"/>
                <w:bCs/>
              </w:rPr>
              <w:t>26</w:t>
            </w:r>
          </w:p>
        </w:tc>
        <w:tc>
          <w:tcPr>
            <w:tcW w:w="1701" w:type="dxa"/>
            <w:noWrap/>
          </w:tcPr>
          <w:p w:rsidR="00F30515" w:rsidRDefault="00F30515" w:rsidP="00F30515">
            <w:pPr>
              <w:spacing w:before="60" w:after="60"/>
              <w:jc w:val="center"/>
              <w:rPr>
                <w:rFonts w:cs="Arial"/>
                <w:bCs/>
              </w:rPr>
            </w:pPr>
            <w:r>
              <w:rPr>
                <w:rFonts w:cs="Arial"/>
                <w:bCs/>
              </w:rPr>
              <w:t>-28%</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Confirmatorios Cordones Pacientes Extranjeros</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34</w:t>
            </w:r>
          </w:p>
        </w:tc>
        <w:tc>
          <w:tcPr>
            <w:tcW w:w="1134" w:type="dxa"/>
          </w:tcPr>
          <w:p w:rsidR="00F30515" w:rsidRDefault="00F30515" w:rsidP="00F30515">
            <w:pPr>
              <w:spacing w:before="60" w:after="60"/>
              <w:jc w:val="center"/>
              <w:rPr>
                <w:rFonts w:cs="Arial"/>
                <w:bCs/>
              </w:rPr>
            </w:pPr>
            <w:r>
              <w:rPr>
                <w:rFonts w:cs="Arial"/>
                <w:bCs/>
              </w:rPr>
              <w:t>21</w:t>
            </w:r>
          </w:p>
        </w:tc>
        <w:tc>
          <w:tcPr>
            <w:tcW w:w="1701" w:type="dxa"/>
            <w:noWrap/>
          </w:tcPr>
          <w:p w:rsidR="00F30515" w:rsidRDefault="00F30515" w:rsidP="00F30515">
            <w:pPr>
              <w:spacing w:before="60" w:after="60"/>
              <w:jc w:val="center"/>
              <w:rPr>
                <w:rFonts w:cs="Arial"/>
                <w:bCs/>
              </w:rPr>
            </w:pPr>
            <w:r>
              <w:rPr>
                <w:rFonts w:cs="Arial"/>
                <w:bCs/>
              </w:rPr>
              <w:t>-38%</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Confirmatorios Cordones Unidades 12 Octubre</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2</w:t>
            </w:r>
          </w:p>
        </w:tc>
        <w:tc>
          <w:tcPr>
            <w:tcW w:w="1134" w:type="dxa"/>
          </w:tcPr>
          <w:p w:rsidR="00F30515" w:rsidRDefault="00F30515" w:rsidP="00F30515">
            <w:pPr>
              <w:spacing w:before="60" w:after="60"/>
              <w:jc w:val="center"/>
              <w:rPr>
                <w:rFonts w:cs="Arial"/>
                <w:bCs/>
              </w:rPr>
            </w:pPr>
            <w:r>
              <w:rPr>
                <w:rFonts w:cs="Arial"/>
                <w:bCs/>
              </w:rPr>
              <w:t>6</w:t>
            </w:r>
          </w:p>
        </w:tc>
        <w:tc>
          <w:tcPr>
            <w:tcW w:w="1701" w:type="dxa"/>
            <w:noWrap/>
          </w:tcPr>
          <w:p w:rsidR="00F30515" w:rsidRDefault="00F30515" w:rsidP="00F30515">
            <w:pPr>
              <w:spacing w:before="60" w:after="60"/>
              <w:jc w:val="center"/>
              <w:rPr>
                <w:rFonts w:cs="Arial"/>
                <w:bCs/>
              </w:rPr>
            </w:pPr>
            <w:r>
              <w:rPr>
                <w:rFonts w:cs="Arial"/>
                <w:bCs/>
              </w:rPr>
              <w:t>+200%</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Confirmatorios Cordones Unidades Dirigidas</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2</w:t>
            </w:r>
          </w:p>
        </w:tc>
        <w:tc>
          <w:tcPr>
            <w:tcW w:w="1134" w:type="dxa"/>
          </w:tcPr>
          <w:p w:rsidR="00F30515" w:rsidRDefault="00F30515" w:rsidP="00F30515">
            <w:pPr>
              <w:spacing w:before="60" w:after="60"/>
              <w:jc w:val="center"/>
              <w:rPr>
                <w:rFonts w:cs="Arial"/>
                <w:bCs/>
              </w:rPr>
            </w:pPr>
            <w:r>
              <w:rPr>
                <w:rFonts w:cs="Arial"/>
                <w:bCs/>
              </w:rPr>
              <w:t>2</w:t>
            </w:r>
          </w:p>
        </w:tc>
        <w:tc>
          <w:tcPr>
            <w:tcW w:w="1701" w:type="dxa"/>
            <w:noWrap/>
          </w:tcPr>
          <w:p w:rsidR="00F30515" w:rsidRDefault="00F30515" w:rsidP="00F30515">
            <w:pPr>
              <w:spacing w:before="60" w:after="60"/>
              <w:jc w:val="center"/>
              <w:rPr>
                <w:rFonts w:cs="Arial"/>
                <w:bCs/>
              </w:rPr>
            </w:pPr>
            <w:r>
              <w:rPr>
                <w:rFonts w:cs="Arial"/>
                <w:bCs/>
              </w:rPr>
              <w:t>0%</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Confirmatorios Cordones facturables</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4</w:t>
            </w:r>
          </w:p>
        </w:tc>
        <w:tc>
          <w:tcPr>
            <w:tcW w:w="1134" w:type="dxa"/>
          </w:tcPr>
          <w:p w:rsidR="00F30515" w:rsidRDefault="00F30515" w:rsidP="00F30515">
            <w:pPr>
              <w:spacing w:before="60" w:after="60"/>
              <w:jc w:val="center"/>
              <w:rPr>
                <w:rFonts w:cs="Arial"/>
                <w:bCs/>
              </w:rPr>
            </w:pPr>
            <w:r>
              <w:rPr>
                <w:rFonts w:cs="Arial"/>
                <w:bCs/>
              </w:rPr>
              <w:t>5</w:t>
            </w:r>
          </w:p>
        </w:tc>
        <w:tc>
          <w:tcPr>
            <w:tcW w:w="1701" w:type="dxa"/>
            <w:noWrap/>
          </w:tcPr>
          <w:p w:rsidR="00F30515" w:rsidRDefault="00F30515" w:rsidP="00F30515">
            <w:pPr>
              <w:spacing w:before="60" w:after="60"/>
              <w:jc w:val="center"/>
              <w:rPr>
                <w:rFonts w:cs="Arial"/>
                <w:bCs/>
              </w:rPr>
            </w:pPr>
            <w:r>
              <w:rPr>
                <w:rFonts w:cs="Arial"/>
                <w:bCs/>
              </w:rPr>
              <w:t>-25%</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lastRenderedPageBreak/>
              <w:t xml:space="preserve">Envío Muestras DNA Cordones </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17</w:t>
            </w:r>
          </w:p>
        </w:tc>
        <w:tc>
          <w:tcPr>
            <w:tcW w:w="1134" w:type="dxa"/>
          </w:tcPr>
          <w:p w:rsidR="00F30515" w:rsidRDefault="00F30515" w:rsidP="00F30515">
            <w:pPr>
              <w:spacing w:before="60" w:after="60"/>
              <w:jc w:val="center"/>
              <w:rPr>
                <w:rFonts w:cs="Arial"/>
                <w:bCs/>
              </w:rPr>
            </w:pPr>
            <w:r>
              <w:rPr>
                <w:rFonts w:cs="Arial"/>
                <w:bCs/>
              </w:rPr>
              <w:t>13</w:t>
            </w:r>
          </w:p>
        </w:tc>
        <w:tc>
          <w:tcPr>
            <w:tcW w:w="1701" w:type="dxa"/>
            <w:noWrap/>
          </w:tcPr>
          <w:p w:rsidR="00F30515" w:rsidRDefault="00F30515" w:rsidP="00F30515">
            <w:pPr>
              <w:spacing w:before="60" w:after="60"/>
              <w:jc w:val="center"/>
              <w:rPr>
                <w:rFonts w:cs="Arial"/>
                <w:bCs/>
              </w:rPr>
            </w:pPr>
            <w:r>
              <w:rPr>
                <w:rFonts w:cs="Arial"/>
                <w:bCs/>
              </w:rPr>
              <w:t>-24%</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Envío Muestras DNA Cordones Extranjeros</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17</w:t>
            </w:r>
          </w:p>
        </w:tc>
        <w:tc>
          <w:tcPr>
            <w:tcW w:w="1134" w:type="dxa"/>
          </w:tcPr>
          <w:p w:rsidR="00F30515" w:rsidRDefault="00F30515" w:rsidP="00F30515">
            <w:pPr>
              <w:spacing w:before="60" w:after="60"/>
              <w:jc w:val="center"/>
              <w:rPr>
                <w:rFonts w:cs="Arial"/>
                <w:bCs/>
              </w:rPr>
            </w:pPr>
            <w:r>
              <w:rPr>
                <w:rFonts w:cs="Arial"/>
                <w:bCs/>
              </w:rPr>
              <w:t>13</w:t>
            </w:r>
          </w:p>
        </w:tc>
        <w:tc>
          <w:tcPr>
            <w:tcW w:w="1701" w:type="dxa"/>
            <w:noWrap/>
          </w:tcPr>
          <w:p w:rsidR="00F30515" w:rsidRDefault="00F30515" w:rsidP="00F30515">
            <w:pPr>
              <w:spacing w:before="60" w:after="60"/>
              <w:jc w:val="center"/>
              <w:rPr>
                <w:rFonts w:cs="Arial"/>
                <w:bCs/>
              </w:rPr>
            </w:pPr>
            <w:r>
              <w:rPr>
                <w:rFonts w:cs="Arial"/>
                <w:bCs/>
              </w:rPr>
              <w:t>-24%</w:t>
            </w:r>
          </w:p>
        </w:tc>
      </w:tr>
      <w:tr w:rsidR="00F30515" w:rsidRPr="00A71B61" w:rsidTr="00306B60">
        <w:trPr>
          <w:trHeight w:val="756"/>
        </w:trPr>
        <w:tc>
          <w:tcPr>
            <w:tcW w:w="3818" w:type="dxa"/>
            <w:noWrap/>
          </w:tcPr>
          <w:p w:rsidR="00F30515" w:rsidRPr="00A71B61" w:rsidRDefault="00F30515" w:rsidP="00306B60">
            <w:pPr>
              <w:spacing w:before="60" w:after="60"/>
              <w:jc w:val="left"/>
              <w:rPr>
                <w:rFonts w:cs="Arial"/>
                <w:szCs w:val="20"/>
              </w:rPr>
            </w:pPr>
            <w:r w:rsidRPr="00A71B61">
              <w:rPr>
                <w:rFonts w:cs="Arial"/>
                <w:szCs w:val="20"/>
              </w:rPr>
              <w:t>Estudios Confirmatorios Cordones (CNT&gt;10</w:t>
            </w:r>
            <w:r w:rsidRPr="00A71B61">
              <w:rPr>
                <w:rFonts w:cs="Arial"/>
                <w:szCs w:val="20"/>
                <w:vertAlign w:val="superscript"/>
              </w:rPr>
              <w:t>9</w:t>
            </w:r>
            <w:r w:rsidRPr="00A71B61">
              <w:rPr>
                <w:rFonts w:cs="Arial"/>
                <w:szCs w:val="20"/>
              </w:rPr>
              <w:t>)</w:t>
            </w:r>
          </w:p>
        </w:tc>
        <w:tc>
          <w:tcPr>
            <w:tcW w:w="1275" w:type="dxa"/>
          </w:tcPr>
          <w:p w:rsidR="00F30515" w:rsidRPr="00A71B61" w:rsidRDefault="00F30515" w:rsidP="00F30515">
            <w:pPr>
              <w:spacing w:before="60" w:after="60"/>
              <w:jc w:val="center"/>
              <w:rPr>
                <w:rFonts w:cs="Arial"/>
                <w:bCs/>
                <w:szCs w:val="20"/>
              </w:rPr>
            </w:pPr>
            <w:r w:rsidRPr="00A71B61">
              <w:rPr>
                <w:rFonts w:cs="Arial"/>
                <w:bCs/>
                <w:szCs w:val="20"/>
              </w:rPr>
              <w:t>0</w:t>
            </w:r>
          </w:p>
        </w:tc>
        <w:tc>
          <w:tcPr>
            <w:tcW w:w="1134" w:type="dxa"/>
          </w:tcPr>
          <w:p w:rsidR="00F30515" w:rsidRDefault="00F30515" w:rsidP="00F30515">
            <w:pPr>
              <w:spacing w:before="60" w:after="60"/>
              <w:jc w:val="center"/>
              <w:rPr>
                <w:rFonts w:cs="Arial"/>
                <w:bCs/>
              </w:rPr>
            </w:pPr>
            <w:r>
              <w:rPr>
                <w:rFonts w:cs="Arial"/>
                <w:bCs/>
              </w:rPr>
              <w:t>0</w:t>
            </w:r>
          </w:p>
        </w:tc>
        <w:tc>
          <w:tcPr>
            <w:tcW w:w="1701" w:type="dxa"/>
            <w:noWrap/>
          </w:tcPr>
          <w:p w:rsidR="00F30515" w:rsidRDefault="00F30515" w:rsidP="00F30515">
            <w:pPr>
              <w:spacing w:before="60" w:after="60"/>
              <w:jc w:val="center"/>
              <w:rPr>
                <w:rFonts w:cs="Arial"/>
                <w:bCs/>
              </w:rPr>
            </w:pPr>
            <w:r>
              <w:rPr>
                <w:rFonts w:cs="Arial"/>
                <w:bCs/>
              </w:rPr>
              <w:t>0%</w:t>
            </w:r>
          </w:p>
        </w:tc>
      </w:tr>
    </w:tbl>
    <w:p w:rsidR="00306B60" w:rsidRDefault="00306B60" w:rsidP="00306B60">
      <w:pPr>
        <w:pStyle w:val="Ttulo3"/>
      </w:pPr>
    </w:p>
    <w:p w:rsidR="00771E00" w:rsidRPr="003D5581" w:rsidRDefault="00771E00" w:rsidP="00306B60">
      <w:pPr>
        <w:pStyle w:val="Ttulo3"/>
      </w:pPr>
      <w:r w:rsidRPr="003D5581">
        <w:t>Donantes de aféresis HLA tipados. Estudios de refractariedad plaquetar</w:t>
      </w:r>
    </w:p>
    <w:tbl>
      <w:tblPr>
        <w:tblStyle w:val="Tabladecuadrcula5oscura-nfasis1"/>
        <w:tblW w:w="7928" w:type="dxa"/>
        <w:tblLook w:val="0620" w:firstRow="1" w:lastRow="0" w:firstColumn="0" w:lastColumn="0" w:noHBand="1" w:noVBand="1"/>
      </w:tblPr>
      <w:tblGrid>
        <w:gridCol w:w="3654"/>
        <w:gridCol w:w="1353"/>
        <w:gridCol w:w="1214"/>
        <w:gridCol w:w="1707"/>
      </w:tblGrid>
      <w:tr w:rsidR="00771E00" w:rsidRPr="00306B60" w:rsidTr="00306B60">
        <w:trPr>
          <w:cnfStyle w:val="100000000000" w:firstRow="1" w:lastRow="0" w:firstColumn="0" w:lastColumn="0" w:oddVBand="0" w:evenVBand="0" w:oddHBand="0" w:evenHBand="0" w:firstRowFirstColumn="0" w:firstRowLastColumn="0" w:lastRowFirstColumn="0" w:lastRowLastColumn="0"/>
          <w:trHeight w:val="625"/>
        </w:trPr>
        <w:tc>
          <w:tcPr>
            <w:tcW w:w="3654" w:type="dxa"/>
            <w:noWrap/>
          </w:tcPr>
          <w:p w:rsidR="00771E00" w:rsidRPr="00306B60" w:rsidRDefault="00771E00" w:rsidP="00306B60">
            <w:pPr>
              <w:jc w:val="left"/>
              <w:rPr>
                <w:rFonts w:eastAsia="Times New Roman" w:cs="Arial"/>
                <w:bCs w:val="0"/>
                <w:szCs w:val="20"/>
              </w:rPr>
            </w:pPr>
          </w:p>
          <w:p w:rsidR="00771E00" w:rsidRPr="00306B60" w:rsidRDefault="00771E00" w:rsidP="00306B60">
            <w:pPr>
              <w:jc w:val="left"/>
              <w:rPr>
                <w:rFonts w:eastAsia="Times New Roman" w:cs="Arial"/>
                <w:bCs w:val="0"/>
                <w:szCs w:val="20"/>
              </w:rPr>
            </w:pPr>
          </w:p>
        </w:tc>
        <w:tc>
          <w:tcPr>
            <w:tcW w:w="1353" w:type="dxa"/>
          </w:tcPr>
          <w:p w:rsidR="00771E00" w:rsidRPr="00306B60" w:rsidRDefault="00771E00" w:rsidP="00771E00">
            <w:pPr>
              <w:spacing w:before="120" w:after="120"/>
              <w:jc w:val="center"/>
              <w:rPr>
                <w:rFonts w:eastAsia="Times New Roman" w:cs="Arial"/>
                <w:szCs w:val="20"/>
              </w:rPr>
            </w:pPr>
            <w:r w:rsidRPr="00306B60">
              <w:rPr>
                <w:rFonts w:eastAsia="Times New Roman" w:cs="Arial"/>
                <w:szCs w:val="20"/>
              </w:rPr>
              <w:t>2019</w:t>
            </w:r>
          </w:p>
        </w:tc>
        <w:tc>
          <w:tcPr>
            <w:tcW w:w="1214" w:type="dxa"/>
          </w:tcPr>
          <w:p w:rsidR="00771E00" w:rsidRPr="00306B60" w:rsidRDefault="00771E00" w:rsidP="00771E00">
            <w:pPr>
              <w:spacing w:before="120" w:after="120"/>
              <w:jc w:val="center"/>
              <w:rPr>
                <w:rFonts w:eastAsia="Times New Roman" w:cs="Arial"/>
                <w:szCs w:val="20"/>
              </w:rPr>
            </w:pPr>
            <w:r w:rsidRPr="00306B60">
              <w:rPr>
                <w:rFonts w:eastAsia="Times New Roman" w:cs="Arial"/>
                <w:szCs w:val="20"/>
              </w:rPr>
              <w:t>2020</w:t>
            </w:r>
          </w:p>
        </w:tc>
        <w:tc>
          <w:tcPr>
            <w:tcW w:w="1707" w:type="dxa"/>
            <w:noWrap/>
          </w:tcPr>
          <w:p w:rsidR="00771E00" w:rsidRPr="00306B60" w:rsidRDefault="00771E00" w:rsidP="002B47C1">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247"/>
        </w:trPr>
        <w:tc>
          <w:tcPr>
            <w:tcW w:w="3654" w:type="dxa"/>
            <w:noWrap/>
          </w:tcPr>
          <w:p w:rsidR="00F30515" w:rsidRPr="00A71B61" w:rsidRDefault="00F30515" w:rsidP="00306B60">
            <w:pPr>
              <w:jc w:val="left"/>
              <w:rPr>
                <w:rFonts w:cs="Arial"/>
                <w:szCs w:val="20"/>
              </w:rPr>
            </w:pPr>
            <w:r w:rsidRPr="00A71B61">
              <w:rPr>
                <w:rFonts w:cs="Arial"/>
                <w:szCs w:val="20"/>
              </w:rPr>
              <w:t>Donantes Aféresis Tipados HLA</w:t>
            </w:r>
          </w:p>
        </w:tc>
        <w:tc>
          <w:tcPr>
            <w:tcW w:w="1353" w:type="dxa"/>
          </w:tcPr>
          <w:p w:rsidR="00F30515" w:rsidRPr="00A71B61" w:rsidRDefault="00F30515" w:rsidP="00F30515">
            <w:pPr>
              <w:jc w:val="center"/>
              <w:rPr>
                <w:rFonts w:cs="Arial"/>
                <w:bCs/>
                <w:szCs w:val="20"/>
              </w:rPr>
            </w:pPr>
            <w:r w:rsidRPr="00A71B61">
              <w:rPr>
                <w:rFonts w:cs="Arial"/>
                <w:bCs/>
                <w:szCs w:val="20"/>
              </w:rPr>
              <w:t>281</w:t>
            </w:r>
          </w:p>
        </w:tc>
        <w:tc>
          <w:tcPr>
            <w:tcW w:w="1214" w:type="dxa"/>
          </w:tcPr>
          <w:p w:rsidR="00F30515" w:rsidRDefault="00F30515" w:rsidP="00F30515">
            <w:pPr>
              <w:jc w:val="center"/>
              <w:rPr>
                <w:rFonts w:cs="Arial"/>
                <w:bCs/>
              </w:rPr>
            </w:pPr>
            <w:r>
              <w:rPr>
                <w:rFonts w:cs="Arial"/>
                <w:bCs/>
              </w:rPr>
              <w:t>318</w:t>
            </w:r>
          </w:p>
        </w:tc>
        <w:tc>
          <w:tcPr>
            <w:tcW w:w="1707" w:type="dxa"/>
            <w:noWrap/>
          </w:tcPr>
          <w:p w:rsidR="00F30515" w:rsidRDefault="00F30515" w:rsidP="00F30515">
            <w:pPr>
              <w:jc w:val="center"/>
              <w:rPr>
                <w:rFonts w:cs="Arial"/>
                <w:bCs/>
              </w:rPr>
            </w:pPr>
            <w:r>
              <w:rPr>
                <w:rFonts w:cs="Arial"/>
                <w:bCs/>
              </w:rPr>
              <w:t>+13%</w:t>
            </w:r>
          </w:p>
        </w:tc>
      </w:tr>
      <w:tr w:rsidR="00F30515" w:rsidRPr="00A71B61" w:rsidTr="00306B60">
        <w:trPr>
          <w:trHeight w:val="247"/>
        </w:trPr>
        <w:tc>
          <w:tcPr>
            <w:tcW w:w="3654" w:type="dxa"/>
            <w:noWrap/>
          </w:tcPr>
          <w:p w:rsidR="00F30515" w:rsidRPr="00A71B61" w:rsidRDefault="00F30515" w:rsidP="00306B60">
            <w:pPr>
              <w:jc w:val="left"/>
              <w:rPr>
                <w:rFonts w:cs="Arial"/>
                <w:szCs w:val="20"/>
              </w:rPr>
            </w:pPr>
            <w:r w:rsidRPr="00A71B61">
              <w:rPr>
                <w:rFonts w:cs="Arial"/>
                <w:szCs w:val="20"/>
              </w:rPr>
              <w:t>Donantes Sangre Tipados HLA (REDMO)</w:t>
            </w:r>
          </w:p>
        </w:tc>
        <w:tc>
          <w:tcPr>
            <w:tcW w:w="1353" w:type="dxa"/>
          </w:tcPr>
          <w:p w:rsidR="00F30515" w:rsidRPr="00A71B61" w:rsidRDefault="00F30515" w:rsidP="00F30515">
            <w:pPr>
              <w:jc w:val="center"/>
              <w:rPr>
                <w:rFonts w:cs="Arial"/>
                <w:bCs/>
                <w:szCs w:val="20"/>
              </w:rPr>
            </w:pPr>
            <w:r w:rsidRPr="00A71B61">
              <w:rPr>
                <w:rFonts w:cs="Arial"/>
                <w:bCs/>
                <w:szCs w:val="20"/>
              </w:rPr>
              <w:t>4.956</w:t>
            </w:r>
          </w:p>
        </w:tc>
        <w:tc>
          <w:tcPr>
            <w:tcW w:w="1214" w:type="dxa"/>
          </w:tcPr>
          <w:p w:rsidR="00F30515" w:rsidRDefault="00F30515" w:rsidP="00F30515">
            <w:pPr>
              <w:jc w:val="center"/>
              <w:rPr>
                <w:rFonts w:cs="Arial"/>
                <w:bCs/>
              </w:rPr>
            </w:pPr>
            <w:r>
              <w:rPr>
                <w:rFonts w:cs="Arial"/>
                <w:bCs/>
              </w:rPr>
              <w:t>4.533</w:t>
            </w:r>
          </w:p>
        </w:tc>
        <w:tc>
          <w:tcPr>
            <w:tcW w:w="1707" w:type="dxa"/>
            <w:noWrap/>
          </w:tcPr>
          <w:p w:rsidR="00F30515" w:rsidRDefault="00F30515" w:rsidP="00F30515">
            <w:pPr>
              <w:jc w:val="center"/>
              <w:rPr>
                <w:rFonts w:cs="Arial"/>
                <w:bCs/>
              </w:rPr>
            </w:pPr>
            <w:r>
              <w:rPr>
                <w:rFonts w:cs="Arial"/>
                <w:bCs/>
              </w:rPr>
              <w:t>-9%</w:t>
            </w:r>
          </w:p>
        </w:tc>
      </w:tr>
      <w:tr w:rsidR="00F30515" w:rsidRPr="00A71B61" w:rsidTr="00306B60">
        <w:trPr>
          <w:trHeight w:val="247"/>
        </w:trPr>
        <w:tc>
          <w:tcPr>
            <w:tcW w:w="3654" w:type="dxa"/>
            <w:noWrap/>
          </w:tcPr>
          <w:p w:rsidR="00F30515" w:rsidRPr="00A71B61" w:rsidRDefault="00F30515" w:rsidP="00306B60">
            <w:pPr>
              <w:jc w:val="left"/>
              <w:rPr>
                <w:rFonts w:cs="Arial"/>
                <w:szCs w:val="20"/>
              </w:rPr>
            </w:pPr>
            <w:r w:rsidRPr="00A71B61">
              <w:rPr>
                <w:rFonts w:cs="Arial"/>
                <w:szCs w:val="20"/>
              </w:rPr>
              <w:t xml:space="preserve">Donaciones Aféresis dirigidas HLA </w:t>
            </w:r>
          </w:p>
        </w:tc>
        <w:tc>
          <w:tcPr>
            <w:tcW w:w="1353" w:type="dxa"/>
          </w:tcPr>
          <w:p w:rsidR="00F30515" w:rsidRPr="00A71B61" w:rsidRDefault="00F30515" w:rsidP="00F30515">
            <w:pPr>
              <w:jc w:val="center"/>
              <w:rPr>
                <w:rFonts w:cs="Arial"/>
                <w:bCs/>
                <w:szCs w:val="20"/>
              </w:rPr>
            </w:pPr>
            <w:r w:rsidRPr="00A71B61">
              <w:rPr>
                <w:rFonts w:cs="Arial"/>
                <w:bCs/>
                <w:szCs w:val="20"/>
              </w:rPr>
              <w:t>964</w:t>
            </w:r>
          </w:p>
        </w:tc>
        <w:tc>
          <w:tcPr>
            <w:tcW w:w="1214" w:type="dxa"/>
          </w:tcPr>
          <w:p w:rsidR="00F30515" w:rsidRDefault="00F30515" w:rsidP="00F30515">
            <w:pPr>
              <w:jc w:val="center"/>
              <w:rPr>
                <w:rFonts w:cs="Arial"/>
                <w:bCs/>
              </w:rPr>
            </w:pPr>
            <w:r>
              <w:rPr>
                <w:rFonts w:cs="Arial"/>
                <w:bCs/>
              </w:rPr>
              <w:t>818</w:t>
            </w:r>
          </w:p>
        </w:tc>
        <w:tc>
          <w:tcPr>
            <w:tcW w:w="1707" w:type="dxa"/>
            <w:noWrap/>
          </w:tcPr>
          <w:p w:rsidR="00F30515" w:rsidRDefault="00F30515" w:rsidP="00F30515">
            <w:pPr>
              <w:jc w:val="center"/>
              <w:rPr>
                <w:rFonts w:cs="Arial"/>
                <w:bCs/>
              </w:rPr>
            </w:pPr>
            <w:r>
              <w:rPr>
                <w:rFonts w:cs="Arial"/>
                <w:bCs/>
              </w:rPr>
              <w:t>-15%</w:t>
            </w:r>
          </w:p>
        </w:tc>
      </w:tr>
      <w:tr w:rsidR="00F30515" w:rsidRPr="00A71B61" w:rsidTr="00306B60">
        <w:trPr>
          <w:trHeight w:val="247"/>
        </w:trPr>
        <w:tc>
          <w:tcPr>
            <w:tcW w:w="3654" w:type="dxa"/>
            <w:noWrap/>
          </w:tcPr>
          <w:p w:rsidR="00F30515" w:rsidRPr="00A71B61" w:rsidRDefault="00F30515" w:rsidP="00306B60">
            <w:pPr>
              <w:jc w:val="left"/>
              <w:rPr>
                <w:rFonts w:cs="Arial"/>
                <w:szCs w:val="20"/>
              </w:rPr>
            </w:pPr>
            <w:r w:rsidRPr="00A71B61">
              <w:rPr>
                <w:rFonts w:cs="Arial"/>
                <w:szCs w:val="20"/>
              </w:rPr>
              <w:t xml:space="preserve">Pacientes con Donaciones Aféresis dirigidas </w:t>
            </w:r>
          </w:p>
        </w:tc>
        <w:tc>
          <w:tcPr>
            <w:tcW w:w="1353" w:type="dxa"/>
          </w:tcPr>
          <w:p w:rsidR="00F30515" w:rsidRPr="00A71B61" w:rsidRDefault="00F30515" w:rsidP="00F30515">
            <w:pPr>
              <w:jc w:val="center"/>
              <w:rPr>
                <w:rFonts w:cs="Arial"/>
                <w:bCs/>
                <w:szCs w:val="20"/>
              </w:rPr>
            </w:pPr>
            <w:r w:rsidRPr="00A71B61">
              <w:rPr>
                <w:rFonts w:cs="Arial"/>
                <w:bCs/>
                <w:szCs w:val="20"/>
              </w:rPr>
              <w:t>187</w:t>
            </w:r>
          </w:p>
        </w:tc>
        <w:tc>
          <w:tcPr>
            <w:tcW w:w="1214" w:type="dxa"/>
          </w:tcPr>
          <w:p w:rsidR="00F30515" w:rsidRDefault="00F30515" w:rsidP="00F30515">
            <w:pPr>
              <w:jc w:val="center"/>
              <w:rPr>
                <w:rFonts w:cs="Arial"/>
                <w:bCs/>
              </w:rPr>
            </w:pPr>
            <w:r>
              <w:rPr>
                <w:rFonts w:cs="Arial"/>
                <w:bCs/>
              </w:rPr>
              <w:t>95</w:t>
            </w:r>
          </w:p>
        </w:tc>
        <w:tc>
          <w:tcPr>
            <w:tcW w:w="1707" w:type="dxa"/>
            <w:noWrap/>
          </w:tcPr>
          <w:p w:rsidR="00F30515" w:rsidRDefault="00F30515" w:rsidP="00F30515">
            <w:pPr>
              <w:jc w:val="center"/>
              <w:rPr>
                <w:rFonts w:cs="Arial"/>
                <w:bCs/>
              </w:rPr>
            </w:pPr>
            <w:r>
              <w:rPr>
                <w:rFonts w:cs="Arial"/>
                <w:bCs/>
              </w:rPr>
              <w:t>-49%</w:t>
            </w:r>
          </w:p>
        </w:tc>
      </w:tr>
      <w:tr w:rsidR="00F30515" w:rsidRPr="00A71B61" w:rsidTr="00306B60">
        <w:trPr>
          <w:trHeight w:val="247"/>
        </w:trPr>
        <w:tc>
          <w:tcPr>
            <w:tcW w:w="3654" w:type="dxa"/>
            <w:noWrap/>
          </w:tcPr>
          <w:p w:rsidR="00F30515" w:rsidRPr="00A71B61" w:rsidRDefault="00F30515" w:rsidP="00306B60">
            <w:pPr>
              <w:jc w:val="left"/>
              <w:rPr>
                <w:rFonts w:cs="Arial"/>
                <w:szCs w:val="20"/>
              </w:rPr>
            </w:pPr>
            <w:r w:rsidRPr="00A71B61">
              <w:rPr>
                <w:rFonts w:cs="Arial"/>
                <w:szCs w:val="20"/>
              </w:rPr>
              <w:t>Estudios Refractariedad Positivos</w:t>
            </w:r>
          </w:p>
        </w:tc>
        <w:tc>
          <w:tcPr>
            <w:tcW w:w="1353" w:type="dxa"/>
          </w:tcPr>
          <w:p w:rsidR="00F30515" w:rsidRPr="00A71B61" w:rsidRDefault="00F30515" w:rsidP="00F30515">
            <w:pPr>
              <w:jc w:val="center"/>
              <w:rPr>
                <w:rFonts w:cs="Arial"/>
                <w:bCs/>
                <w:szCs w:val="20"/>
              </w:rPr>
            </w:pPr>
            <w:r w:rsidRPr="00A71B61">
              <w:rPr>
                <w:rFonts w:cs="Arial"/>
                <w:bCs/>
                <w:szCs w:val="20"/>
              </w:rPr>
              <w:t>44</w:t>
            </w:r>
          </w:p>
        </w:tc>
        <w:tc>
          <w:tcPr>
            <w:tcW w:w="1214" w:type="dxa"/>
          </w:tcPr>
          <w:p w:rsidR="00F30515" w:rsidRDefault="00F30515" w:rsidP="00F30515">
            <w:pPr>
              <w:jc w:val="center"/>
              <w:rPr>
                <w:rFonts w:cs="Arial"/>
                <w:bCs/>
              </w:rPr>
            </w:pPr>
            <w:r>
              <w:rPr>
                <w:rFonts w:cs="Arial"/>
                <w:bCs/>
              </w:rPr>
              <w:t>49</w:t>
            </w:r>
          </w:p>
        </w:tc>
        <w:tc>
          <w:tcPr>
            <w:tcW w:w="1707" w:type="dxa"/>
            <w:noWrap/>
          </w:tcPr>
          <w:p w:rsidR="00F30515" w:rsidRDefault="00F30515" w:rsidP="00F30515">
            <w:pPr>
              <w:jc w:val="center"/>
              <w:rPr>
                <w:rFonts w:cs="Arial"/>
                <w:bCs/>
              </w:rPr>
            </w:pPr>
            <w:r>
              <w:rPr>
                <w:rFonts w:cs="Arial"/>
                <w:bCs/>
              </w:rPr>
              <w:t>+11%</w:t>
            </w:r>
          </w:p>
        </w:tc>
      </w:tr>
      <w:tr w:rsidR="00F30515" w:rsidRPr="00A71B61" w:rsidTr="00306B60">
        <w:trPr>
          <w:trHeight w:val="247"/>
        </w:trPr>
        <w:tc>
          <w:tcPr>
            <w:tcW w:w="3654" w:type="dxa"/>
            <w:noWrap/>
          </w:tcPr>
          <w:p w:rsidR="00F30515" w:rsidRPr="00A71B61" w:rsidRDefault="00F30515" w:rsidP="00306B60">
            <w:pPr>
              <w:jc w:val="left"/>
              <w:rPr>
                <w:rFonts w:cs="Arial"/>
                <w:szCs w:val="20"/>
              </w:rPr>
            </w:pPr>
            <w:r w:rsidRPr="00A71B61">
              <w:rPr>
                <w:rFonts w:cs="Arial"/>
                <w:szCs w:val="20"/>
              </w:rPr>
              <w:t>Estudios Refractariedad Negativos</w:t>
            </w:r>
          </w:p>
        </w:tc>
        <w:tc>
          <w:tcPr>
            <w:tcW w:w="1353" w:type="dxa"/>
          </w:tcPr>
          <w:p w:rsidR="00F30515" w:rsidRPr="00A71B61" w:rsidRDefault="00F30515" w:rsidP="00F30515">
            <w:pPr>
              <w:jc w:val="center"/>
              <w:rPr>
                <w:rFonts w:cs="Arial"/>
                <w:bCs/>
                <w:szCs w:val="20"/>
              </w:rPr>
            </w:pPr>
            <w:r w:rsidRPr="00A71B61">
              <w:rPr>
                <w:rFonts w:cs="Arial"/>
                <w:bCs/>
                <w:szCs w:val="20"/>
              </w:rPr>
              <w:t>65</w:t>
            </w:r>
          </w:p>
        </w:tc>
        <w:tc>
          <w:tcPr>
            <w:tcW w:w="1214" w:type="dxa"/>
          </w:tcPr>
          <w:p w:rsidR="00F30515" w:rsidRDefault="00F30515" w:rsidP="00F30515">
            <w:pPr>
              <w:jc w:val="center"/>
              <w:rPr>
                <w:rFonts w:cs="Arial"/>
                <w:bCs/>
              </w:rPr>
            </w:pPr>
            <w:r>
              <w:rPr>
                <w:rFonts w:cs="Arial"/>
                <w:bCs/>
              </w:rPr>
              <w:t>58</w:t>
            </w:r>
          </w:p>
        </w:tc>
        <w:tc>
          <w:tcPr>
            <w:tcW w:w="1707" w:type="dxa"/>
            <w:noWrap/>
          </w:tcPr>
          <w:p w:rsidR="00F30515" w:rsidRDefault="00F30515" w:rsidP="00F30515">
            <w:pPr>
              <w:jc w:val="center"/>
              <w:rPr>
                <w:rFonts w:cs="Arial"/>
                <w:bCs/>
              </w:rPr>
            </w:pPr>
            <w:r>
              <w:rPr>
                <w:rFonts w:cs="Arial"/>
                <w:bCs/>
              </w:rPr>
              <w:t>-11%</w:t>
            </w:r>
          </w:p>
        </w:tc>
      </w:tr>
    </w:tbl>
    <w:p w:rsidR="00306B60" w:rsidRDefault="00306B60" w:rsidP="00306B60">
      <w:pPr>
        <w:pStyle w:val="Ttulo3"/>
      </w:pPr>
    </w:p>
    <w:p w:rsidR="00771E00" w:rsidRPr="003D5581" w:rsidRDefault="00771E00" w:rsidP="00306B60">
      <w:pPr>
        <w:pStyle w:val="Ttulo3"/>
      </w:pPr>
      <w:r w:rsidRPr="003D5581">
        <w:t>Estudios de sospecha de Trali</w:t>
      </w:r>
    </w:p>
    <w:tbl>
      <w:tblPr>
        <w:tblStyle w:val="Tabladecuadrcula5oscura-nfasis1"/>
        <w:tblW w:w="7920" w:type="dxa"/>
        <w:tblLook w:val="0620" w:firstRow="1" w:lastRow="0" w:firstColumn="0" w:lastColumn="0" w:noHBand="1" w:noVBand="1"/>
      </w:tblPr>
      <w:tblGrid>
        <w:gridCol w:w="3763"/>
        <w:gridCol w:w="1430"/>
        <w:gridCol w:w="1170"/>
        <w:gridCol w:w="1557"/>
      </w:tblGrid>
      <w:tr w:rsidR="002B47C1" w:rsidRPr="00306B60" w:rsidTr="00306B60">
        <w:trPr>
          <w:cnfStyle w:val="100000000000" w:firstRow="1" w:lastRow="0" w:firstColumn="0" w:lastColumn="0" w:oddVBand="0" w:evenVBand="0" w:oddHBand="0" w:evenHBand="0" w:firstRowFirstColumn="0" w:firstRowLastColumn="0" w:lastRowFirstColumn="0" w:lastRowLastColumn="0"/>
          <w:trHeight w:val="924"/>
        </w:trPr>
        <w:tc>
          <w:tcPr>
            <w:tcW w:w="3763" w:type="dxa"/>
            <w:noWrap/>
          </w:tcPr>
          <w:p w:rsidR="002B47C1" w:rsidRPr="00306B60" w:rsidRDefault="002B47C1" w:rsidP="002B47C1">
            <w:pPr>
              <w:jc w:val="right"/>
              <w:rPr>
                <w:rFonts w:eastAsia="Times New Roman" w:cs="Arial"/>
                <w:bCs w:val="0"/>
                <w:szCs w:val="20"/>
              </w:rPr>
            </w:pPr>
          </w:p>
        </w:tc>
        <w:tc>
          <w:tcPr>
            <w:tcW w:w="1430" w:type="dxa"/>
          </w:tcPr>
          <w:p w:rsidR="002B47C1" w:rsidRPr="00306B60" w:rsidRDefault="002B47C1" w:rsidP="002B47C1">
            <w:pPr>
              <w:spacing w:before="120" w:after="120"/>
              <w:jc w:val="center"/>
              <w:rPr>
                <w:rFonts w:eastAsia="Times New Roman" w:cs="Arial"/>
                <w:szCs w:val="20"/>
              </w:rPr>
            </w:pPr>
            <w:r w:rsidRPr="00306B60">
              <w:rPr>
                <w:rFonts w:eastAsia="Times New Roman" w:cs="Arial"/>
                <w:szCs w:val="20"/>
              </w:rPr>
              <w:t>2019</w:t>
            </w:r>
          </w:p>
        </w:tc>
        <w:tc>
          <w:tcPr>
            <w:tcW w:w="1170" w:type="dxa"/>
          </w:tcPr>
          <w:p w:rsidR="002B47C1" w:rsidRPr="00306B60" w:rsidRDefault="002B47C1" w:rsidP="002B47C1">
            <w:pPr>
              <w:spacing w:before="120" w:after="120"/>
              <w:jc w:val="center"/>
              <w:rPr>
                <w:rFonts w:eastAsia="Times New Roman" w:cs="Arial"/>
                <w:szCs w:val="20"/>
              </w:rPr>
            </w:pPr>
            <w:r w:rsidRPr="00306B60">
              <w:rPr>
                <w:rFonts w:eastAsia="Times New Roman" w:cs="Arial"/>
                <w:szCs w:val="20"/>
              </w:rPr>
              <w:t>2020</w:t>
            </w:r>
          </w:p>
        </w:tc>
        <w:tc>
          <w:tcPr>
            <w:tcW w:w="1557" w:type="dxa"/>
            <w:noWrap/>
          </w:tcPr>
          <w:p w:rsidR="002B47C1" w:rsidRPr="00306B60" w:rsidRDefault="002B47C1" w:rsidP="002B47C1">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349"/>
        </w:trPr>
        <w:tc>
          <w:tcPr>
            <w:tcW w:w="3763" w:type="dxa"/>
            <w:noWrap/>
          </w:tcPr>
          <w:p w:rsidR="00F30515" w:rsidRPr="00A71B61" w:rsidRDefault="00F30515" w:rsidP="00F30515">
            <w:pPr>
              <w:rPr>
                <w:rFonts w:cs="Arial"/>
                <w:szCs w:val="20"/>
              </w:rPr>
            </w:pPr>
            <w:r w:rsidRPr="00A71B61">
              <w:rPr>
                <w:rFonts w:cs="Arial"/>
                <w:szCs w:val="20"/>
              </w:rPr>
              <w:t>TRALI. Muestras estudiadas</w:t>
            </w:r>
          </w:p>
        </w:tc>
        <w:tc>
          <w:tcPr>
            <w:tcW w:w="1430" w:type="dxa"/>
          </w:tcPr>
          <w:p w:rsidR="00F30515" w:rsidRPr="00A71B61" w:rsidRDefault="00F30515" w:rsidP="00F30515">
            <w:pPr>
              <w:jc w:val="center"/>
              <w:rPr>
                <w:szCs w:val="20"/>
              </w:rPr>
            </w:pPr>
            <w:r w:rsidRPr="00A71B61">
              <w:rPr>
                <w:rFonts w:cs="Arial"/>
                <w:bCs/>
                <w:szCs w:val="20"/>
              </w:rPr>
              <w:t>66</w:t>
            </w:r>
          </w:p>
        </w:tc>
        <w:tc>
          <w:tcPr>
            <w:tcW w:w="1170" w:type="dxa"/>
          </w:tcPr>
          <w:p w:rsidR="00F30515" w:rsidRDefault="00F30515" w:rsidP="00F30515">
            <w:pPr>
              <w:jc w:val="center"/>
              <w:rPr>
                <w:rFonts w:cs="Arial"/>
              </w:rPr>
            </w:pPr>
            <w:r>
              <w:rPr>
                <w:rFonts w:cs="Arial"/>
              </w:rPr>
              <w:t>130</w:t>
            </w:r>
          </w:p>
        </w:tc>
        <w:tc>
          <w:tcPr>
            <w:tcW w:w="1557" w:type="dxa"/>
            <w:noWrap/>
          </w:tcPr>
          <w:p w:rsidR="00F30515" w:rsidRDefault="00F30515" w:rsidP="00F30515">
            <w:pPr>
              <w:jc w:val="center"/>
              <w:rPr>
                <w:rFonts w:cs="Arial"/>
              </w:rPr>
            </w:pPr>
            <w:r>
              <w:rPr>
                <w:rFonts w:cs="Arial"/>
              </w:rPr>
              <w:t>+97%</w:t>
            </w:r>
          </w:p>
        </w:tc>
      </w:tr>
    </w:tbl>
    <w:p w:rsidR="00306B60" w:rsidRDefault="00306B60" w:rsidP="00306B60">
      <w:pPr>
        <w:pStyle w:val="Ttulo3"/>
      </w:pPr>
    </w:p>
    <w:p w:rsidR="00771E00" w:rsidRPr="003D5581" w:rsidRDefault="00771E00" w:rsidP="00306B60">
      <w:pPr>
        <w:pStyle w:val="Ttulo3"/>
      </w:pPr>
      <w:r w:rsidRPr="003D5581">
        <w:t>Trasplante de órganos sólidos</w:t>
      </w:r>
    </w:p>
    <w:tbl>
      <w:tblPr>
        <w:tblStyle w:val="Tabladecuadrcula5oscura-nfasis1"/>
        <w:tblW w:w="7958" w:type="dxa"/>
        <w:tblLook w:val="0620" w:firstRow="1" w:lastRow="0" w:firstColumn="0" w:lastColumn="0" w:noHBand="1" w:noVBand="1"/>
      </w:tblPr>
      <w:tblGrid>
        <w:gridCol w:w="3847"/>
        <w:gridCol w:w="1462"/>
        <w:gridCol w:w="1064"/>
        <w:gridCol w:w="1585"/>
      </w:tblGrid>
      <w:tr w:rsidR="002B47C1" w:rsidRPr="00A71B61" w:rsidTr="00306B60">
        <w:trPr>
          <w:cnfStyle w:val="100000000000" w:firstRow="1" w:lastRow="0" w:firstColumn="0" w:lastColumn="0" w:oddVBand="0" w:evenVBand="0" w:oddHBand="0" w:evenHBand="0" w:firstRowFirstColumn="0" w:firstRowLastColumn="0" w:lastRowFirstColumn="0" w:lastRowLastColumn="0"/>
          <w:trHeight w:val="268"/>
        </w:trPr>
        <w:tc>
          <w:tcPr>
            <w:tcW w:w="3847" w:type="dxa"/>
            <w:noWrap/>
          </w:tcPr>
          <w:p w:rsidR="002B47C1" w:rsidRPr="00A71B61" w:rsidRDefault="002B47C1" w:rsidP="00306B60">
            <w:pPr>
              <w:jc w:val="left"/>
              <w:rPr>
                <w:rFonts w:eastAsia="Times New Roman" w:cs="Arial"/>
                <w:b w:val="0"/>
                <w:bCs w:val="0"/>
                <w:szCs w:val="20"/>
              </w:rPr>
            </w:pPr>
            <w:bookmarkStart w:id="84" w:name="OLE_LINK1"/>
          </w:p>
        </w:tc>
        <w:tc>
          <w:tcPr>
            <w:tcW w:w="1462" w:type="dxa"/>
          </w:tcPr>
          <w:p w:rsidR="002B47C1" w:rsidRPr="00306B60" w:rsidRDefault="002B47C1" w:rsidP="002B47C1">
            <w:pPr>
              <w:spacing w:before="120" w:after="120"/>
              <w:jc w:val="center"/>
              <w:rPr>
                <w:rFonts w:eastAsia="Times New Roman" w:cs="Arial"/>
                <w:szCs w:val="20"/>
              </w:rPr>
            </w:pPr>
            <w:r w:rsidRPr="00306B60">
              <w:rPr>
                <w:rFonts w:eastAsia="Times New Roman" w:cs="Arial"/>
                <w:szCs w:val="20"/>
              </w:rPr>
              <w:t>2019</w:t>
            </w:r>
          </w:p>
        </w:tc>
        <w:tc>
          <w:tcPr>
            <w:tcW w:w="1064" w:type="dxa"/>
          </w:tcPr>
          <w:p w:rsidR="002B47C1" w:rsidRPr="00306B60" w:rsidRDefault="002B47C1" w:rsidP="002B47C1">
            <w:pPr>
              <w:spacing w:before="120" w:after="120"/>
              <w:jc w:val="center"/>
              <w:rPr>
                <w:rFonts w:eastAsia="Times New Roman" w:cs="Arial"/>
                <w:szCs w:val="20"/>
              </w:rPr>
            </w:pPr>
            <w:r w:rsidRPr="00306B60">
              <w:rPr>
                <w:rFonts w:eastAsia="Times New Roman" w:cs="Arial"/>
                <w:szCs w:val="20"/>
              </w:rPr>
              <w:t>2020</w:t>
            </w:r>
          </w:p>
        </w:tc>
        <w:tc>
          <w:tcPr>
            <w:tcW w:w="1585" w:type="dxa"/>
            <w:noWrap/>
          </w:tcPr>
          <w:p w:rsidR="002B47C1" w:rsidRPr="00306B60" w:rsidRDefault="002B47C1" w:rsidP="002B47C1">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Pre-tx corazón</w:t>
            </w:r>
          </w:p>
        </w:tc>
        <w:tc>
          <w:tcPr>
            <w:tcW w:w="1462" w:type="dxa"/>
          </w:tcPr>
          <w:p w:rsidR="00F30515" w:rsidRPr="00A71B61" w:rsidRDefault="00F30515" w:rsidP="00F30515">
            <w:pPr>
              <w:jc w:val="center"/>
              <w:rPr>
                <w:rFonts w:cs="Arial"/>
                <w:bCs/>
                <w:szCs w:val="20"/>
              </w:rPr>
            </w:pPr>
            <w:r w:rsidRPr="00A71B61">
              <w:rPr>
                <w:rFonts w:cs="Arial"/>
                <w:bCs/>
                <w:szCs w:val="20"/>
              </w:rPr>
              <w:t>69</w:t>
            </w:r>
          </w:p>
        </w:tc>
        <w:tc>
          <w:tcPr>
            <w:tcW w:w="1064" w:type="dxa"/>
          </w:tcPr>
          <w:p w:rsidR="00F30515" w:rsidRDefault="00F30515" w:rsidP="00F30515">
            <w:pPr>
              <w:jc w:val="center"/>
              <w:rPr>
                <w:rFonts w:cs="Arial"/>
                <w:bCs/>
              </w:rPr>
            </w:pPr>
            <w:r>
              <w:rPr>
                <w:rFonts w:cs="Arial"/>
                <w:bCs/>
              </w:rPr>
              <w:t>40</w:t>
            </w:r>
          </w:p>
        </w:tc>
        <w:tc>
          <w:tcPr>
            <w:tcW w:w="1585" w:type="dxa"/>
            <w:noWrap/>
          </w:tcPr>
          <w:p w:rsidR="00F30515" w:rsidRDefault="00F30515" w:rsidP="00F30515">
            <w:pPr>
              <w:jc w:val="center"/>
              <w:rPr>
                <w:rFonts w:cs="Arial"/>
                <w:bCs/>
              </w:rPr>
            </w:pPr>
            <w:r>
              <w:rPr>
                <w:rFonts w:cs="Arial"/>
                <w:bCs/>
              </w:rPr>
              <w:t>-42%</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Tx corazón</w:t>
            </w:r>
          </w:p>
        </w:tc>
        <w:tc>
          <w:tcPr>
            <w:tcW w:w="1462" w:type="dxa"/>
          </w:tcPr>
          <w:p w:rsidR="00F30515" w:rsidRPr="00A71B61" w:rsidRDefault="00F30515" w:rsidP="00F30515">
            <w:pPr>
              <w:jc w:val="center"/>
              <w:rPr>
                <w:rFonts w:cs="Arial"/>
                <w:bCs/>
                <w:szCs w:val="20"/>
              </w:rPr>
            </w:pPr>
            <w:r w:rsidRPr="00A71B61">
              <w:rPr>
                <w:rFonts w:cs="Arial"/>
                <w:bCs/>
                <w:szCs w:val="20"/>
              </w:rPr>
              <w:t>27</w:t>
            </w:r>
          </w:p>
        </w:tc>
        <w:tc>
          <w:tcPr>
            <w:tcW w:w="1064" w:type="dxa"/>
          </w:tcPr>
          <w:p w:rsidR="00F30515" w:rsidRDefault="00F30515" w:rsidP="00F30515">
            <w:pPr>
              <w:jc w:val="center"/>
              <w:rPr>
                <w:rFonts w:cs="Arial"/>
                <w:bCs/>
              </w:rPr>
            </w:pPr>
            <w:r>
              <w:rPr>
                <w:rFonts w:cs="Arial"/>
                <w:bCs/>
              </w:rPr>
              <w:t>24</w:t>
            </w:r>
          </w:p>
        </w:tc>
        <w:tc>
          <w:tcPr>
            <w:tcW w:w="1585" w:type="dxa"/>
            <w:noWrap/>
          </w:tcPr>
          <w:p w:rsidR="00F30515" w:rsidRDefault="00F30515" w:rsidP="00F30515">
            <w:pPr>
              <w:jc w:val="center"/>
              <w:rPr>
                <w:rFonts w:cs="Arial"/>
                <w:bCs/>
              </w:rPr>
            </w:pPr>
            <w:r>
              <w:rPr>
                <w:rFonts w:cs="Arial"/>
                <w:bCs/>
              </w:rPr>
              <w:t>-11%</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Tx corazón adulto</w:t>
            </w:r>
          </w:p>
        </w:tc>
        <w:tc>
          <w:tcPr>
            <w:tcW w:w="1462" w:type="dxa"/>
          </w:tcPr>
          <w:p w:rsidR="00F30515" w:rsidRPr="00A71B61" w:rsidRDefault="00F30515" w:rsidP="00F30515">
            <w:pPr>
              <w:jc w:val="center"/>
              <w:rPr>
                <w:rFonts w:cs="Arial"/>
                <w:bCs/>
                <w:szCs w:val="20"/>
              </w:rPr>
            </w:pPr>
            <w:r w:rsidRPr="00A71B61">
              <w:rPr>
                <w:rFonts w:cs="Arial"/>
                <w:bCs/>
                <w:szCs w:val="20"/>
              </w:rPr>
              <w:t>17</w:t>
            </w:r>
          </w:p>
        </w:tc>
        <w:tc>
          <w:tcPr>
            <w:tcW w:w="1064" w:type="dxa"/>
          </w:tcPr>
          <w:p w:rsidR="00F30515" w:rsidRDefault="00F30515" w:rsidP="00F30515">
            <w:pPr>
              <w:jc w:val="center"/>
              <w:rPr>
                <w:rFonts w:cs="Arial"/>
                <w:bCs/>
              </w:rPr>
            </w:pPr>
            <w:r>
              <w:rPr>
                <w:rFonts w:cs="Arial"/>
                <w:bCs/>
              </w:rPr>
              <w:t>16</w:t>
            </w:r>
          </w:p>
        </w:tc>
        <w:tc>
          <w:tcPr>
            <w:tcW w:w="1585" w:type="dxa"/>
            <w:noWrap/>
          </w:tcPr>
          <w:p w:rsidR="00F30515" w:rsidRDefault="00F30515" w:rsidP="00F30515">
            <w:pPr>
              <w:jc w:val="center"/>
              <w:rPr>
                <w:rFonts w:cs="Arial"/>
                <w:bCs/>
              </w:rPr>
            </w:pPr>
            <w:r>
              <w:rPr>
                <w:rFonts w:cs="Arial"/>
                <w:bCs/>
              </w:rPr>
              <w:t>-6%</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Tx corazón infantil</w:t>
            </w:r>
          </w:p>
        </w:tc>
        <w:tc>
          <w:tcPr>
            <w:tcW w:w="1462" w:type="dxa"/>
          </w:tcPr>
          <w:p w:rsidR="00F30515" w:rsidRPr="00A71B61" w:rsidRDefault="00F30515" w:rsidP="00F30515">
            <w:pPr>
              <w:jc w:val="center"/>
              <w:rPr>
                <w:rFonts w:cs="Arial"/>
                <w:bCs/>
                <w:szCs w:val="20"/>
              </w:rPr>
            </w:pPr>
            <w:r w:rsidRPr="00A71B61">
              <w:rPr>
                <w:rFonts w:cs="Arial"/>
                <w:bCs/>
                <w:szCs w:val="20"/>
              </w:rPr>
              <w:t>10</w:t>
            </w:r>
          </w:p>
        </w:tc>
        <w:tc>
          <w:tcPr>
            <w:tcW w:w="1064" w:type="dxa"/>
          </w:tcPr>
          <w:p w:rsidR="00F30515" w:rsidRDefault="00F30515" w:rsidP="00F30515">
            <w:pPr>
              <w:jc w:val="center"/>
              <w:rPr>
                <w:rFonts w:cs="Arial"/>
                <w:bCs/>
              </w:rPr>
            </w:pPr>
            <w:r>
              <w:rPr>
                <w:rFonts w:cs="Arial"/>
                <w:bCs/>
              </w:rPr>
              <w:t>8</w:t>
            </w:r>
          </w:p>
        </w:tc>
        <w:tc>
          <w:tcPr>
            <w:tcW w:w="1585" w:type="dxa"/>
            <w:noWrap/>
          </w:tcPr>
          <w:p w:rsidR="00F30515" w:rsidRDefault="00F30515" w:rsidP="00F30515">
            <w:pPr>
              <w:jc w:val="center"/>
              <w:rPr>
                <w:rFonts w:cs="Arial"/>
                <w:bCs/>
              </w:rPr>
            </w:pPr>
            <w:r>
              <w:rPr>
                <w:rFonts w:cs="Arial"/>
                <w:bCs/>
              </w:rPr>
              <w:t>-20%</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Tx hígado</w:t>
            </w:r>
          </w:p>
        </w:tc>
        <w:tc>
          <w:tcPr>
            <w:tcW w:w="1462" w:type="dxa"/>
          </w:tcPr>
          <w:p w:rsidR="00F30515" w:rsidRPr="00A71B61" w:rsidRDefault="00F30515" w:rsidP="00F30515">
            <w:pPr>
              <w:jc w:val="center"/>
              <w:rPr>
                <w:rFonts w:cs="Arial"/>
                <w:bCs/>
                <w:szCs w:val="20"/>
              </w:rPr>
            </w:pPr>
            <w:r w:rsidRPr="00A71B61">
              <w:rPr>
                <w:rFonts w:cs="Arial"/>
                <w:bCs/>
                <w:szCs w:val="20"/>
              </w:rPr>
              <w:t>43</w:t>
            </w:r>
          </w:p>
        </w:tc>
        <w:tc>
          <w:tcPr>
            <w:tcW w:w="1064" w:type="dxa"/>
          </w:tcPr>
          <w:p w:rsidR="00F30515" w:rsidRDefault="00F30515" w:rsidP="00F30515">
            <w:pPr>
              <w:jc w:val="center"/>
              <w:rPr>
                <w:rFonts w:cs="Arial"/>
                <w:bCs/>
              </w:rPr>
            </w:pPr>
            <w:r>
              <w:rPr>
                <w:rFonts w:cs="Arial"/>
                <w:bCs/>
              </w:rPr>
              <w:t>29</w:t>
            </w:r>
          </w:p>
        </w:tc>
        <w:tc>
          <w:tcPr>
            <w:tcW w:w="1585" w:type="dxa"/>
            <w:noWrap/>
          </w:tcPr>
          <w:p w:rsidR="00F30515" w:rsidRDefault="00F30515" w:rsidP="00F30515">
            <w:pPr>
              <w:jc w:val="center"/>
              <w:rPr>
                <w:rFonts w:cs="Arial"/>
                <w:bCs/>
              </w:rPr>
            </w:pPr>
            <w:r>
              <w:rPr>
                <w:rFonts w:cs="Arial"/>
                <w:bCs/>
              </w:rPr>
              <w:t>-33%</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Otros Tx sólidos (Renal)</w:t>
            </w:r>
          </w:p>
        </w:tc>
        <w:tc>
          <w:tcPr>
            <w:tcW w:w="1462" w:type="dxa"/>
          </w:tcPr>
          <w:p w:rsidR="00F30515" w:rsidRPr="00A71B61" w:rsidRDefault="00F30515" w:rsidP="00F30515">
            <w:pPr>
              <w:jc w:val="center"/>
              <w:rPr>
                <w:rFonts w:cs="Arial"/>
                <w:bCs/>
                <w:szCs w:val="20"/>
              </w:rPr>
            </w:pPr>
            <w:r w:rsidRPr="00A71B61">
              <w:rPr>
                <w:rFonts w:cs="Arial"/>
                <w:bCs/>
                <w:szCs w:val="20"/>
              </w:rPr>
              <w:t>67</w:t>
            </w:r>
          </w:p>
        </w:tc>
        <w:tc>
          <w:tcPr>
            <w:tcW w:w="1064" w:type="dxa"/>
          </w:tcPr>
          <w:p w:rsidR="00F30515" w:rsidRDefault="00F30515" w:rsidP="00F30515">
            <w:pPr>
              <w:jc w:val="center"/>
              <w:rPr>
                <w:rFonts w:cs="Arial"/>
                <w:bCs/>
              </w:rPr>
            </w:pPr>
            <w:r>
              <w:rPr>
                <w:rFonts w:cs="Arial"/>
                <w:bCs/>
              </w:rPr>
              <w:t>63</w:t>
            </w:r>
          </w:p>
        </w:tc>
        <w:tc>
          <w:tcPr>
            <w:tcW w:w="1585" w:type="dxa"/>
            <w:noWrap/>
          </w:tcPr>
          <w:p w:rsidR="00F30515" w:rsidRDefault="00F30515" w:rsidP="00F30515">
            <w:pPr>
              <w:jc w:val="center"/>
              <w:rPr>
                <w:rFonts w:cs="Arial"/>
                <w:bCs/>
              </w:rPr>
            </w:pPr>
            <w:r>
              <w:rPr>
                <w:rFonts w:cs="Arial"/>
                <w:bCs/>
              </w:rPr>
              <w:t>-6%</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Anticuerpos anti-HLA</w:t>
            </w:r>
          </w:p>
        </w:tc>
        <w:tc>
          <w:tcPr>
            <w:tcW w:w="1462" w:type="dxa"/>
          </w:tcPr>
          <w:p w:rsidR="00F30515" w:rsidRPr="00A71B61" w:rsidRDefault="00F30515" w:rsidP="00F30515">
            <w:pPr>
              <w:jc w:val="center"/>
              <w:rPr>
                <w:rFonts w:cs="Arial"/>
                <w:bCs/>
                <w:szCs w:val="20"/>
              </w:rPr>
            </w:pPr>
            <w:r w:rsidRPr="00A71B61">
              <w:rPr>
                <w:rFonts w:cs="Arial"/>
                <w:bCs/>
                <w:szCs w:val="20"/>
              </w:rPr>
              <w:t>1.212</w:t>
            </w:r>
          </w:p>
        </w:tc>
        <w:tc>
          <w:tcPr>
            <w:tcW w:w="1064" w:type="dxa"/>
          </w:tcPr>
          <w:p w:rsidR="00F30515" w:rsidRDefault="00F30515" w:rsidP="00F30515">
            <w:pPr>
              <w:jc w:val="center"/>
              <w:rPr>
                <w:rFonts w:cs="Arial"/>
                <w:bCs/>
              </w:rPr>
            </w:pPr>
            <w:r>
              <w:rPr>
                <w:rFonts w:cs="Arial"/>
                <w:bCs/>
              </w:rPr>
              <w:t>1.304</w:t>
            </w:r>
          </w:p>
        </w:tc>
        <w:tc>
          <w:tcPr>
            <w:tcW w:w="1585" w:type="dxa"/>
            <w:noWrap/>
          </w:tcPr>
          <w:p w:rsidR="00F30515" w:rsidRDefault="00F30515" w:rsidP="00F30515">
            <w:pPr>
              <w:jc w:val="center"/>
              <w:rPr>
                <w:rFonts w:cs="Arial"/>
                <w:bCs/>
              </w:rPr>
            </w:pPr>
            <w:r>
              <w:rPr>
                <w:rFonts w:cs="Arial"/>
                <w:bCs/>
              </w:rPr>
              <w:t>+8%</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Prueba cruzada linfocitaria</w:t>
            </w:r>
          </w:p>
        </w:tc>
        <w:tc>
          <w:tcPr>
            <w:tcW w:w="1462" w:type="dxa"/>
          </w:tcPr>
          <w:p w:rsidR="00F30515" w:rsidRPr="00A71B61" w:rsidRDefault="00F30515" w:rsidP="00F30515">
            <w:pPr>
              <w:jc w:val="center"/>
              <w:rPr>
                <w:rFonts w:cs="Arial"/>
                <w:bCs/>
                <w:szCs w:val="20"/>
              </w:rPr>
            </w:pPr>
            <w:r w:rsidRPr="00A71B61">
              <w:rPr>
                <w:rFonts w:cs="Arial"/>
                <w:bCs/>
                <w:szCs w:val="20"/>
              </w:rPr>
              <w:t>137</w:t>
            </w:r>
          </w:p>
        </w:tc>
        <w:tc>
          <w:tcPr>
            <w:tcW w:w="1064" w:type="dxa"/>
          </w:tcPr>
          <w:p w:rsidR="00F30515" w:rsidRDefault="00F30515" w:rsidP="00F30515">
            <w:pPr>
              <w:jc w:val="center"/>
              <w:rPr>
                <w:rFonts w:cs="Arial"/>
                <w:bCs/>
              </w:rPr>
            </w:pPr>
            <w:r>
              <w:rPr>
                <w:rFonts w:cs="Arial"/>
                <w:bCs/>
              </w:rPr>
              <w:t>116</w:t>
            </w:r>
          </w:p>
        </w:tc>
        <w:tc>
          <w:tcPr>
            <w:tcW w:w="1585" w:type="dxa"/>
            <w:noWrap/>
          </w:tcPr>
          <w:p w:rsidR="00F30515" w:rsidRDefault="00F30515" w:rsidP="00F30515">
            <w:pPr>
              <w:jc w:val="center"/>
              <w:rPr>
                <w:rFonts w:cs="Arial"/>
                <w:bCs/>
              </w:rPr>
            </w:pPr>
            <w:r>
              <w:rPr>
                <w:rFonts w:cs="Arial"/>
                <w:bCs/>
              </w:rPr>
              <w:t>-15%</w:t>
            </w:r>
          </w:p>
        </w:tc>
      </w:tr>
      <w:tr w:rsidR="00F30515" w:rsidRPr="00A71B61" w:rsidTr="00306B60">
        <w:trPr>
          <w:trHeight w:val="268"/>
        </w:trPr>
        <w:tc>
          <w:tcPr>
            <w:tcW w:w="3847" w:type="dxa"/>
            <w:noWrap/>
          </w:tcPr>
          <w:p w:rsidR="00F30515" w:rsidRPr="00A71B61" w:rsidRDefault="00F30515" w:rsidP="00306B60">
            <w:pPr>
              <w:jc w:val="left"/>
              <w:rPr>
                <w:rFonts w:cs="Arial"/>
                <w:szCs w:val="20"/>
              </w:rPr>
            </w:pPr>
            <w:r w:rsidRPr="00A71B61">
              <w:rPr>
                <w:rFonts w:cs="Arial"/>
                <w:szCs w:val="20"/>
              </w:rPr>
              <w:t>Otros Anticuerpos anti-HLA</w:t>
            </w:r>
          </w:p>
          <w:p w:rsidR="00F30515" w:rsidRPr="00A71B61" w:rsidRDefault="00F30515" w:rsidP="00306B60">
            <w:pPr>
              <w:jc w:val="left"/>
              <w:rPr>
                <w:rFonts w:cs="Arial"/>
                <w:szCs w:val="20"/>
              </w:rPr>
            </w:pPr>
            <w:r w:rsidRPr="00A71B61">
              <w:rPr>
                <w:rFonts w:cs="Arial"/>
                <w:szCs w:val="20"/>
              </w:rPr>
              <w:t>(seguimiento tx sólidos, hematología)</w:t>
            </w:r>
          </w:p>
        </w:tc>
        <w:tc>
          <w:tcPr>
            <w:tcW w:w="1462" w:type="dxa"/>
          </w:tcPr>
          <w:p w:rsidR="00F30515" w:rsidRPr="00A71B61" w:rsidRDefault="00F30515" w:rsidP="00F30515">
            <w:pPr>
              <w:jc w:val="center"/>
              <w:rPr>
                <w:rFonts w:cs="Arial"/>
                <w:bCs/>
                <w:szCs w:val="20"/>
              </w:rPr>
            </w:pPr>
            <w:r w:rsidRPr="00A71B61">
              <w:rPr>
                <w:rFonts w:cs="Arial"/>
                <w:bCs/>
                <w:szCs w:val="20"/>
              </w:rPr>
              <w:t>770</w:t>
            </w:r>
          </w:p>
        </w:tc>
        <w:tc>
          <w:tcPr>
            <w:tcW w:w="1064" w:type="dxa"/>
          </w:tcPr>
          <w:p w:rsidR="00F30515" w:rsidRDefault="00F30515" w:rsidP="00F30515">
            <w:pPr>
              <w:jc w:val="center"/>
              <w:rPr>
                <w:rFonts w:cs="Arial"/>
                <w:bCs/>
              </w:rPr>
            </w:pPr>
            <w:r>
              <w:rPr>
                <w:rFonts w:cs="Arial"/>
                <w:bCs/>
              </w:rPr>
              <w:t>812</w:t>
            </w:r>
          </w:p>
        </w:tc>
        <w:tc>
          <w:tcPr>
            <w:tcW w:w="1585" w:type="dxa"/>
            <w:noWrap/>
          </w:tcPr>
          <w:p w:rsidR="00F30515" w:rsidRDefault="00F30515" w:rsidP="00F30515">
            <w:pPr>
              <w:jc w:val="center"/>
              <w:rPr>
                <w:rFonts w:cs="Arial"/>
                <w:bCs/>
              </w:rPr>
            </w:pPr>
            <w:r>
              <w:rPr>
                <w:rFonts w:cs="Arial"/>
                <w:bCs/>
              </w:rPr>
              <w:t>+5%</w:t>
            </w:r>
          </w:p>
        </w:tc>
      </w:tr>
    </w:tbl>
    <w:bookmarkEnd w:id="84"/>
    <w:p w:rsidR="00771E00" w:rsidRPr="003D5581" w:rsidRDefault="00771E00" w:rsidP="00306B60">
      <w:pPr>
        <w:pStyle w:val="Ttulo3"/>
      </w:pPr>
      <w:r w:rsidRPr="003D5581">
        <w:lastRenderedPageBreak/>
        <w:t>Seguimiento de los trasplantes de órganos sólidos</w:t>
      </w:r>
    </w:p>
    <w:tbl>
      <w:tblPr>
        <w:tblStyle w:val="Tabladecuadrcula5oscura-nfasis1"/>
        <w:tblW w:w="8014" w:type="dxa"/>
        <w:tblLook w:val="0620" w:firstRow="1" w:lastRow="0" w:firstColumn="0" w:lastColumn="0" w:noHBand="1" w:noVBand="1"/>
      </w:tblPr>
      <w:tblGrid>
        <w:gridCol w:w="3866"/>
        <w:gridCol w:w="1337"/>
        <w:gridCol w:w="1202"/>
        <w:gridCol w:w="1609"/>
      </w:tblGrid>
      <w:tr w:rsidR="008E2170" w:rsidRPr="00306B60" w:rsidTr="00306B60">
        <w:trPr>
          <w:cnfStyle w:val="100000000000" w:firstRow="1" w:lastRow="0" w:firstColumn="0" w:lastColumn="0" w:oddVBand="0" w:evenVBand="0" w:oddHBand="0" w:evenHBand="0" w:firstRowFirstColumn="0" w:firstRowLastColumn="0" w:lastRowFirstColumn="0" w:lastRowLastColumn="0"/>
          <w:trHeight w:val="390"/>
        </w:trPr>
        <w:tc>
          <w:tcPr>
            <w:tcW w:w="3866" w:type="dxa"/>
            <w:noWrap/>
          </w:tcPr>
          <w:p w:rsidR="008E2170" w:rsidRPr="00306B60" w:rsidRDefault="008E2170" w:rsidP="008E2170">
            <w:pPr>
              <w:spacing w:before="120" w:after="120"/>
              <w:rPr>
                <w:rFonts w:eastAsia="Times New Roman" w:cs="Arial"/>
                <w:bCs w:val="0"/>
                <w:szCs w:val="20"/>
              </w:rPr>
            </w:pPr>
            <w:r w:rsidRPr="00306B60">
              <w:rPr>
                <w:rFonts w:eastAsia="Times New Roman" w:cs="Arial"/>
                <w:bCs w:val="0"/>
                <w:szCs w:val="20"/>
              </w:rPr>
              <w:t>Muestras</w:t>
            </w:r>
          </w:p>
        </w:tc>
        <w:tc>
          <w:tcPr>
            <w:tcW w:w="1337" w:type="dxa"/>
          </w:tcPr>
          <w:p w:rsidR="008E2170" w:rsidRPr="00306B60" w:rsidRDefault="008E2170" w:rsidP="008E2170">
            <w:pPr>
              <w:spacing w:before="120" w:after="120"/>
              <w:jc w:val="center"/>
              <w:rPr>
                <w:rFonts w:eastAsia="Times New Roman" w:cs="Arial"/>
                <w:szCs w:val="20"/>
              </w:rPr>
            </w:pPr>
            <w:r w:rsidRPr="00306B60">
              <w:rPr>
                <w:rFonts w:eastAsia="Times New Roman" w:cs="Arial"/>
                <w:szCs w:val="20"/>
              </w:rPr>
              <w:t>2019</w:t>
            </w:r>
          </w:p>
        </w:tc>
        <w:tc>
          <w:tcPr>
            <w:tcW w:w="1202" w:type="dxa"/>
          </w:tcPr>
          <w:p w:rsidR="008E2170" w:rsidRPr="00306B60" w:rsidRDefault="008E2170" w:rsidP="008E2170">
            <w:pPr>
              <w:spacing w:before="120" w:after="120"/>
              <w:jc w:val="center"/>
              <w:rPr>
                <w:rFonts w:eastAsia="Times New Roman" w:cs="Arial"/>
                <w:szCs w:val="20"/>
              </w:rPr>
            </w:pPr>
            <w:r w:rsidRPr="00306B60">
              <w:rPr>
                <w:rFonts w:eastAsia="Times New Roman" w:cs="Arial"/>
                <w:szCs w:val="20"/>
              </w:rPr>
              <w:t>2020</w:t>
            </w:r>
          </w:p>
        </w:tc>
        <w:tc>
          <w:tcPr>
            <w:tcW w:w="1609" w:type="dxa"/>
          </w:tcPr>
          <w:p w:rsidR="008E2170" w:rsidRPr="00306B60" w:rsidRDefault="008E2170" w:rsidP="008E2170">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390"/>
        </w:trPr>
        <w:tc>
          <w:tcPr>
            <w:tcW w:w="3866" w:type="dxa"/>
            <w:noWrap/>
          </w:tcPr>
          <w:p w:rsidR="00F30515" w:rsidRPr="00A71B61" w:rsidRDefault="00F30515" w:rsidP="00F30515">
            <w:pPr>
              <w:rPr>
                <w:rFonts w:cs="Arial"/>
                <w:szCs w:val="20"/>
              </w:rPr>
            </w:pPr>
            <w:r w:rsidRPr="00A71B61">
              <w:rPr>
                <w:rFonts w:cs="Arial"/>
                <w:szCs w:val="20"/>
              </w:rPr>
              <w:t>Seguimiento trasplante cardiaco</w:t>
            </w:r>
          </w:p>
        </w:tc>
        <w:tc>
          <w:tcPr>
            <w:tcW w:w="1337" w:type="dxa"/>
          </w:tcPr>
          <w:p w:rsidR="00F30515" w:rsidRPr="00A71B61" w:rsidRDefault="00F30515" w:rsidP="00F30515">
            <w:pPr>
              <w:jc w:val="center"/>
              <w:rPr>
                <w:rFonts w:cs="Arial"/>
                <w:bCs/>
                <w:szCs w:val="20"/>
              </w:rPr>
            </w:pPr>
            <w:r w:rsidRPr="00A71B61">
              <w:rPr>
                <w:rFonts w:cs="Arial"/>
                <w:bCs/>
                <w:szCs w:val="20"/>
              </w:rPr>
              <w:t>67</w:t>
            </w:r>
          </w:p>
        </w:tc>
        <w:tc>
          <w:tcPr>
            <w:tcW w:w="1202" w:type="dxa"/>
          </w:tcPr>
          <w:p w:rsidR="00F30515" w:rsidRDefault="00F30515" w:rsidP="00F30515">
            <w:pPr>
              <w:jc w:val="center"/>
              <w:rPr>
                <w:rFonts w:cs="Arial"/>
                <w:bCs/>
              </w:rPr>
            </w:pPr>
            <w:r>
              <w:rPr>
                <w:rFonts w:cs="Arial"/>
                <w:bCs/>
              </w:rPr>
              <w:t>65</w:t>
            </w:r>
          </w:p>
        </w:tc>
        <w:tc>
          <w:tcPr>
            <w:tcW w:w="1609" w:type="dxa"/>
          </w:tcPr>
          <w:p w:rsidR="00F30515" w:rsidRDefault="00F30515" w:rsidP="00F30515">
            <w:pPr>
              <w:jc w:val="center"/>
              <w:rPr>
                <w:rFonts w:cs="Arial"/>
                <w:bCs/>
              </w:rPr>
            </w:pPr>
            <w:r>
              <w:rPr>
                <w:rFonts w:cs="Arial"/>
                <w:bCs/>
              </w:rPr>
              <w:t>-3%</w:t>
            </w:r>
          </w:p>
        </w:tc>
      </w:tr>
      <w:tr w:rsidR="00F30515" w:rsidRPr="00A71B61" w:rsidTr="00306B60">
        <w:trPr>
          <w:trHeight w:val="390"/>
        </w:trPr>
        <w:tc>
          <w:tcPr>
            <w:tcW w:w="3866" w:type="dxa"/>
            <w:noWrap/>
          </w:tcPr>
          <w:p w:rsidR="00F30515" w:rsidRPr="00A71B61" w:rsidRDefault="00F30515" w:rsidP="00F30515">
            <w:pPr>
              <w:rPr>
                <w:rFonts w:cs="Arial"/>
                <w:szCs w:val="20"/>
              </w:rPr>
            </w:pPr>
            <w:r w:rsidRPr="00A71B61">
              <w:rPr>
                <w:rFonts w:cs="Arial"/>
                <w:szCs w:val="20"/>
              </w:rPr>
              <w:t>Seguimiento trasplante hepático</w:t>
            </w:r>
          </w:p>
        </w:tc>
        <w:tc>
          <w:tcPr>
            <w:tcW w:w="1337" w:type="dxa"/>
          </w:tcPr>
          <w:p w:rsidR="00F30515" w:rsidRPr="00A71B61" w:rsidRDefault="00F30515" w:rsidP="00F30515">
            <w:pPr>
              <w:jc w:val="center"/>
              <w:rPr>
                <w:rFonts w:cs="Arial"/>
                <w:bCs/>
                <w:szCs w:val="20"/>
              </w:rPr>
            </w:pPr>
            <w:r w:rsidRPr="00A71B61">
              <w:rPr>
                <w:rFonts w:cs="Arial"/>
                <w:bCs/>
                <w:szCs w:val="20"/>
              </w:rPr>
              <w:t>27</w:t>
            </w:r>
          </w:p>
        </w:tc>
        <w:tc>
          <w:tcPr>
            <w:tcW w:w="1202" w:type="dxa"/>
          </w:tcPr>
          <w:p w:rsidR="00F30515" w:rsidRDefault="00F30515" w:rsidP="00F30515">
            <w:pPr>
              <w:jc w:val="center"/>
              <w:rPr>
                <w:rFonts w:cs="Arial"/>
                <w:bCs/>
              </w:rPr>
            </w:pPr>
            <w:r>
              <w:rPr>
                <w:rFonts w:cs="Arial"/>
                <w:bCs/>
              </w:rPr>
              <w:t>21</w:t>
            </w:r>
          </w:p>
        </w:tc>
        <w:tc>
          <w:tcPr>
            <w:tcW w:w="1609" w:type="dxa"/>
          </w:tcPr>
          <w:p w:rsidR="00F30515" w:rsidRDefault="00F30515" w:rsidP="00F30515">
            <w:pPr>
              <w:jc w:val="center"/>
              <w:rPr>
                <w:rFonts w:cs="Arial"/>
                <w:bCs/>
              </w:rPr>
            </w:pPr>
            <w:r>
              <w:rPr>
                <w:rFonts w:cs="Arial"/>
                <w:bCs/>
              </w:rPr>
              <w:t>-22%</w:t>
            </w:r>
          </w:p>
        </w:tc>
      </w:tr>
      <w:tr w:rsidR="00F30515" w:rsidRPr="00A71B61" w:rsidTr="00306B60">
        <w:trPr>
          <w:trHeight w:val="390"/>
        </w:trPr>
        <w:tc>
          <w:tcPr>
            <w:tcW w:w="3866" w:type="dxa"/>
            <w:noWrap/>
          </w:tcPr>
          <w:p w:rsidR="00F30515" w:rsidRPr="00A71B61" w:rsidRDefault="00F30515" w:rsidP="00F30515">
            <w:pPr>
              <w:rPr>
                <w:rFonts w:cs="Arial"/>
                <w:szCs w:val="20"/>
              </w:rPr>
            </w:pPr>
            <w:r w:rsidRPr="00A71B61">
              <w:rPr>
                <w:rFonts w:cs="Arial"/>
                <w:szCs w:val="20"/>
              </w:rPr>
              <w:t>Seguimiento trasplante renal</w:t>
            </w:r>
          </w:p>
        </w:tc>
        <w:tc>
          <w:tcPr>
            <w:tcW w:w="1337" w:type="dxa"/>
          </w:tcPr>
          <w:p w:rsidR="00F30515" w:rsidRPr="00A71B61" w:rsidRDefault="00F30515" w:rsidP="00F30515">
            <w:pPr>
              <w:jc w:val="center"/>
              <w:rPr>
                <w:rFonts w:cs="Arial"/>
                <w:bCs/>
                <w:szCs w:val="20"/>
              </w:rPr>
            </w:pPr>
            <w:r w:rsidRPr="00A71B61">
              <w:rPr>
                <w:rFonts w:cs="Arial"/>
                <w:bCs/>
                <w:szCs w:val="20"/>
              </w:rPr>
              <w:t>231</w:t>
            </w:r>
          </w:p>
        </w:tc>
        <w:tc>
          <w:tcPr>
            <w:tcW w:w="1202" w:type="dxa"/>
          </w:tcPr>
          <w:p w:rsidR="00F30515" w:rsidRDefault="00F30515" w:rsidP="00F30515">
            <w:pPr>
              <w:jc w:val="center"/>
              <w:rPr>
                <w:rFonts w:cs="Arial"/>
                <w:bCs/>
              </w:rPr>
            </w:pPr>
            <w:r>
              <w:rPr>
                <w:rFonts w:cs="Arial"/>
                <w:bCs/>
              </w:rPr>
              <w:t>258</w:t>
            </w:r>
          </w:p>
        </w:tc>
        <w:tc>
          <w:tcPr>
            <w:tcW w:w="1609" w:type="dxa"/>
          </w:tcPr>
          <w:p w:rsidR="00F30515" w:rsidRDefault="00F30515" w:rsidP="00F30515">
            <w:pPr>
              <w:jc w:val="center"/>
              <w:rPr>
                <w:rFonts w:cs="Arial"/>
                <w:bCs/>
              </w:rPr>
            </w:pPr>
            <w:r>
              <w:rPr>
                <w:rFonts w:cs="Arial"/>
                <w:bCs/>
              </w:rPr>
              <w:t>+12%</w:t>
            </w:r>
          </w:p>
        </w:tc>
      </w:tr>
    </w:tbl>
    <w:p w:rsidR="00306B60" w:rsidRDefault="00306B60" w:rsidP="00306B60">
      <w:pPr>
        <w:pStyle w:val="Ttulo3"/>
      </w:pPr>
    </w:p>
    <w:p w:rsidR="00771E00" w:rsidRPr="003D5581" w:rsidRDefault="00771E00" w:rsidP="00306B60">
      <w:pPr>
        <w:pStyle w:val="Ttulo3"/>
      </w:pPr>
      <w:r w:rsidRPr="003D5581">
        <w:t>Trasplante de médula</w:t>
      </w:r>
    </w:p>
    <w:tbl>
      <w:tblPr>
        <w:tblStyle w:val="Tabladecuadrcula5oscura-nfasis1"/>
        <w:tblW w:w="8045" w:type="dxa"/>
        <w:tblLook w:val="0620" w:firstRow="1" w:lastRow="0" w:firstColumn="0" w:lastColumn="0" w:noHBand="1" w:noVBand="1"/>
      </w:tblPr>
      <w:tblGrid>
        <w:gridCol w:w="3884"/>
        <w:gridCol w:w="1476"/>
        <w:gridCol w:w="1074"/>
        <w:gridCol w:w="1611"/>
      </w:tblGrid>
      <w:tr w:rsidR="008E2170" w:rsidRPr="00306B60" w:rsidTr="00306B60">
        <w:trPr>
          <w:cnfStyle w:val="100000000000" w:firstRow="1" w:lastRow="0" w:firstColumn="0" w:lastColumn="0" w:oddVBand="0" w:evenVBand="0" w:oddHBand="0" w:evenHBand="0" w:firstRowFirstColumn="0" w:firstRowLastColumn="0" w:lastRowFirstColumn="0" w:lastRowLastColumn="0"/>
          <w:trHeight w:val="431"/>
        </w:trPr>
        <w:tc>
          <w:tcPr>
            <w:tcW w:w="3884" w:type="dxa"/>
            <w:noWrap/>
          </w:tcPr>
          <w:p w:rsidR="008E2170" w:rsidRPr="00306B60" w:rsidRDefault="008E2170" w:rsidP="008E2170">
            <w:pPr>
              <w:spacing w:before="120" w:after="120"/>
              <w:jc w:val="right"/>
              <w:rPr>
                <w:rFonts w:ascii="Arial" w:eastAsia="Times New Roman" w:hAnsi="Arial" w:cs="Arial"/>
                <w:bCs w:val="0"/>
                <w:szCs w:val="20"/>
              </w:rPr>
            </w:pPr>
          </w:p>
        </w:tc>
        <w:tc>
          <w:tcPr>
            <w:tcW w:w="1476" w:type="dxa"/>
          </w:tcPr>
          <w:p w:rsidR="008E2170" w:rsidRPr="00306B60" w:rsidRDefault="008E2170" w:rsidP="008E2170">
            <w:pPr>
              <w:spacing w:before="120" w:after="120"/>
              <w:jc w:val="center"/>
              <w:rPr>
                <w:rFonts w:eastAsia="Times New Roman" w:cs="Arial"/>
                <w:szCs w:val="20"/>
              </w:rPr>
            </w:pPr>
            <w:r w:rsidRPr="00306B60">
              <w:rPr>
                <w:rFonts w:eastAsia="Times New Roman" w:cs="Arial"/>
                <w:szCs w:val="20"/>
              </w:rPr>
              <w:t>2019</w:t>
            </w:r>
          </w:p>
        </w:tc>
        <w:tc>
          <w:tcPr>
            <w:tcW w:w="1074" w:type="dxa"/>
            <w:noWrap/>
          </w:tcPr>
          <w:p w:rsidR="008E2170" w:rsidRPr="00306B60" w:rsidRDefault="008E2170" w:rsidP="008E2170">
            <w:pPr>
              <w:spacing w:before="120" w:after="120"/>
              <w:jc w:val="center"/>
              <w:rPr>
                <w:rFonts w:eastAsia="Times New Roman" w:cs="Arial"/>
                <w:szCs w:val="20"/>
              </w:rPr>
            </w:pPr>
            <w:r w:rsidRPr="00306B60">
              <w:rPr>
                <w:rFonts w:eastAsia="Times New Roman" w:cs="Arial"/>
                <w:szCs w:val="20"/>
              </w:rPr>
              <w:t>2020</w:t>
            </w:r>
          </w:p>
        </w:tc>
        <w:tc>
          <w:tcPr>
            <w:tcW w:w="1611" w:type="dxa"/>
            <w:noWrap/>
          </w:tcPr>
          <w:p w:rsidR="008E2170" w:rsidRPr="00306B60" w:rsidRDefault="008E2170" w:rsidP="008E2170">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431"/>
        </w:trPr>
        <w:tc>
          <w:tcPr>
            <w:tcW w:w="3884" w:type="dxa"/>
            <w:noWrap/>
          </w:tcPr>
          <w:p w:rsidR="00F30515" w:rsidRPr="00A71B61" w:rsidRDefault="00F30515" w:rsidP="00F30515">
            <w:pPr>
              <w:spacing w:before="120" w:after="120"/>
              <w:rPr>
                <w:rFonts w:cs="Arial"/>
                <w:szCs w:val="20"/>
              </w:rPr>
            </w:pPr>
            <w:r w:rsidRPr="00A71B61">
              <w:rPr>
                <w:rFonts w:cs="Arial"/>
                <w:szCs w:val="20"/>
              </w:rPr>
              <w:t>Familia TPH compatible</w:t>
            </w:r>
          </w:p>
        </w:tc>
        <w:tc>
          <w:tcPr>
            <w:tcW w:w="1476" w:type="dxa"/>
          </w:tcPr>
          <w:p w:rsidR="00F30515" w:rsidRPr="00A71B61" w:rsidRDefault="00F30515" w:rsidP="00F30515">
            <w:pPr>
              <w:jc w:val="center"/>
              <w:rPr>
                <w:szCs w:val="20"/>
              </w:rPr>
            </w:pPr>
            <w:r w:rsidRPr="00A71B61">
              <w:rPr>
                <w:szCs w:val="20"/>
              </w:rPr>
              <w:t>95</w:t>
            </w:r>
          </w:p>
        </w:tc>
        <w:tc>
          <w:tcPr>
            <w:tcW w:w="1074" w:type="dxa"/>
            <w:noWrap/>
          </w:tcPr>
          <w:p w:rsidR="00F30515" w:rsidRDefault="00F30515" w:rsidP="00F30515">
            <w:pPr>
              <w:jc w:val="center"/>
            </w:pPr>
            <w:r>
              <w:t>70</w:t>
            </w:r>
          </w:p>
        </w:tc>
        <w:tc>
          <w:tcPr>
            <w:tcW w:w="1611" w:type="dxa"/>
            <w:noWrap/>
          </w:tcPr>
          <w:p w:rsidR="00F30515" w:rsidRDefault="00F30515" w:rsidP="00F30515">
            <w:pPr>
              <w:spacing w:before="120" w:after="120"/>
              <w:jc w:val="center"/>
              <w:rPr>
                <w:rFonts w:cs="Arial"/>
                <w:bCs/>
              </w:rPr>
            </w:pPr>
            <w:r>
              <w:rPr>
                <w:rFonts w:cs="Arial"/>
                <w:bCs/>
              </w:rPr>
              <w:t>-26%</w:t>
            </w:r>
          </w:p>
        </w:tc>
      </w:tr>
      <w:tr w:rsidR="00F30515" w:rsidRPr="00A71B61" w:rsidTr="00306B60">
        <w:trPr>
          <w:trHeight w:val="431"/>
        </w:trPr>
        <w:tc>
          <w:tcPr>
            <w:tcW w:w="3884" w:type="dxa"/>
            <w:noWrap/>
          </w:tcPr>
          <w:p w:rsidR="00F30515" w:rsidRPr="00A71B61" w:rsidRDefault="00F30515" w:rsidP="00F30515">
            <w:pPr>
              <w:rPr>
                <w:rFonts w:cs="Arial"/>
                <w:szCs w:val="20"/>
              </w:rPr>
            </w:pPr>
            <w:r w:rsidRPr="00A71B61">
              <w:rPr>
                <w:rFonts w:cs="Arial"/>
                <w:szCs w:val="20"/>
              </w:rPr>
              <w:t>Familia TPH no compatible</w:t>
            </w:r>
          </w:p>
        </w:tc>
        <w:tc>
          <w:tcPr>
            <w:tcW w:w="1476" w:type="dxa"/>
          </w:tcPr>
          <w:p w:rsidR="00F30515" w:rsidRPr="00A71B61" w:rsidRDefault="00F30515" w:rsidP="00F30515">
            <w:pPr>
              <w:jc w:val="center"/>
              <w:rPr>
                <w:szCs w:val="20"/>
              </w:rPr>
            </w:pPr>
            <w:r w:rsidRPr="00A71B61">
              <w:rPr>
                <w:szCs w:val="20"/>
              </w:rPr>
              <w:t>396</w:t>
            </w:r>
          </w:p>
        </w:tc>
        <w:tc>
          <w:tcPr>
            <w:tcW w:w="1074" w:type="dxa"/>
            <w:noWrap/>
          </w:tcPr>
          <w:p w:rsidR="00F30515" w:rsidRDefault="00F30515" w:rsidP="00F30515">
            <w:pPr>
              <w:jc w:val="center"/>
            </w:pPr>
            <w:r>
              <w:t>327</w:t>
            </w:r>
          </w:p>
        </w:tc>
        <w:tc>
          <w:tcPr>
            <w:tcW w:w="1611" w:type="dxa"/>
            <w:noWrap/>
          </w:tcPr>
          <w:p w:rsidR="00F30515" w:rsidRDefault="00F30515" w:rsidP="00F30515">
            <w:pPr>
              <w:jc w:val="center"/>
              <w:rPr>
                <w:rFonts w:cs="Arial"/>
                <w:bCs/>
              </w:rPr>
            </w:pPr>
            <w:r>
              <w:rPr>
                <w:rFonts w:cs="Arial"/>
                <w:bCs/>
              </w:rPr>
              <w:t>-17%</w:t>
            </w:r>
          </w:p>
        </w:tc>
      </w:tr>
      <w:tr w:rsidR="00F30515" w:rsidRPr="00A71B61" w:rsidTr="00306B60">
        <w:trPr>
          <w:trHeight w:val="431"/>
        </w:trPr>
        <w:tc>
          <w:tcPr>
            <w:tcW w:w="3884" w:type="dxa"/>
            <w:noWrap/>
          </w:tcPr>
          <w:p w:rsidR="00F30515" w:rsidRPr="00A71B61" w:rsidRDefault="00F30515" w:rsidP="00F30515">
            <w:pPr>
              <w:rPr>
                <w:rFonts w:cs="Arial"/>
                <w:szCs w:val="20"/>
              </w:rPr>
            </w:pPr>
            <w:r w:rsidRPr="00A71B61">
              <w:rPr>
                <w:rFonts w:cs="Arial"/>
                <w:szCs w:val="20"/>
              </w:rPr>
              <w:t>Confirmatorios familias HLA compatible</w:t>
            </w:r>
          </w:p>
        </w:tc>
        <w:tc>
          <w:tcPr>
            <w:tcW w:w="1476" w:type="dxa"/>
          </w:tcPr>
          <w:p w:rsidR="00F30515" w:rsidRPr="00A71B61" w:rsidRDefault="00F30515" w:rsidP="00F30515">
            <w:pPr>
              <w:jc w:val="center"/>
              <w:rPr>
                <w:szCs w:val="20"/>
              </w:rPr>
            </w:pPr>
            <w:r w:rsidRPr="00A71B61">
              <w:rPr>
                <w:szCs w:val="20"/>
              </w:rPr>
              <w:t>282</w:t>
            </w:r>
          </w:p>
        </w:tc>
        <w:tc>
          <w:tcPr>
            <w:tcW w:w="1074" w:type="dxa"/>
            <w:noWrap/>
          </w:tcPr>
          <w:p w:rsidR="00F30515" w:rsidRDefault="00F30515" w:rsidP="00F30515">
            <w:pPr>
              <w:jc w:val="center"/>
            </w:pPr>
            <w:r>
              <w:t>269</w:t>
            </w:r>
          </w:p>
        </w:tc>
        <w:tc>
          <w:tcPr>
            <w:tcW w:w="1611" w:type="dxa"/>
            <w:noWrap/>
          </w:tcPr>
          <w:p w:rsidR="00F30515" w:rsidRDefault="00F30515" w:rsidP="00F30515">
            <w:pPr>
              <w:jc w:val="center"/>
              <w:rPr>
                <w:rFonts w:cs="Arial"/>
                <w:bCs/>
              </w:rPr>
            </w:pPr>
            <w:r>
              <w:rPr>
                <w:rFonts w:cs="Arial"/>
                <w:bCs/>
              </w:rPr>
              <w:t>-5%</w:t>
            </w:r>
          </w:p>
        </w:tc>
      </w:tr>
    </w:tbl>
    <w:p w:rsidR="00771E00" w:rsidRPr="00A71B61" w:rsidRDefault="00771E00" w:rsidP="00771E00">
      <w:pPr>
        <w:pStyle w:val="Ttulo2"/>
        <w:spacing w:before="120" w:after="120"/>
        <w:ind w:left="720"/>
        <w:rPr>
          <w:szCs w:val="20"/>
        </w:rPr>
      </w:pPr>
    </w:p>
    <w:p w:rsidR="00771E00" w:rsidRPr="003D5581" w:rsidRDefault="00771E00" w:rsidP="00306B60">
      <w:pPr>
        <w:pStyle w:val="Ttulo3"/>
      </w:pPr>
      <w:r w:rsidRPr="003D5581">
        <w:t>HLA y enfermedad</w:t>
      </w:r>
    </w:p>
    <w:tbl>
      <w:tblPr>
        <w:tblStyle w:val="Tabladecuadrcula5oscura-nfasis1"/>
        <w:tblW w:w="8018" w:type="dxa"/>
        <w:tblLook w:val="0620" w:firstRow="1" w:lastRow="0" w:firstColumn="0" w:lastColumn="0" w:noHBand="1" w:noVBand="1"/>
      </w:tblPr>
      <w:tblGrid>
        <w:gridCol w:w="3940"/>
        <w:gridCol w:w="1315"/>
        <w:gridCol w:w="1184"/>
        <w:gridCol w:w="1579"/>
      </w:tblGrid>
      <w:tr w:rsidR="00F50BE6" w:rsidRPr="00306B60" w:rsidTr="00306B60">
        <w:trPr>
          <w:cnfStyle w:val="100000000000" w:firstRow="1" w:lastRow="0" w:firstColumn="0" w:lastColumn="0" w:oddVBand="0" w:evenVBand="0" w:oddHBand="0" w:evenHBand="0" w:firstRowFirstColumn="0" w:firstRowLastColumn="0" w:lastRowFirstColumn="0" w:lastRowLastColumn="0"/>
          <w:trHeight w:val="494"/>
        </w:trPr>
        <w:tc>
          <w:tcPr>
            <w:tcW w:w="3940" w:type="dxa"/>
            <w:noWrap/>
          </w:tcPr>
          <w:p w:rsidR="00F50BE6" w:rsidRPr="00306B60" w:rsidRDefault="00F50BE6" w:rsidP="00F50BE6">
            <w:pPr>
              <w:spacing w:before="120" w:after="120"/>
              <w:jc w:val="right"/>
              <w:rPr>
                <w:rFonts w:ascii="Arial" w:eastAsia="Times New Roman" w:hAnsi="Arial" w:cs="Arial"/>
                <w:bCs w:val="0"/>
                <w:szCs w:val="20"/>
              </w:rPr>
            </w:pPr>
          </w:p>
        </w:tc>
        <w:tc>
          <w:tcPr>
            <w:tcW w:w="1315" w:type="dxa"/>
          </w:tcPr>
          <w:p w:rsidR="00F50BE6" w:rsidRPr="00306B60" w:rsidRDefault="00F50BE6" w:rsidP="00F50BE6">
            <w:pPr>
              <w:spacing w:before="120" w:after="120"/>
              <w:jc w:val="center"/>
              <w:rPr>
                <w:rFonts w:eastAsia="Times New Roman" w:cs="Arial"/>
                <w:szCs w:val="20"/>
              </w:rPr>
            </w:pPr>
            <w:r w:rsidRPr="00306B60">
              <w:rPr>
                <w:rFonts w:eastAsia="Times New Roman" w:cs="Arial"/>
                <w:szCs w:val="20"/>
              </w:rPr>
              <w:t>2019</w:t>
            </w:r>
          </w:p>
        </w:tc>
        <w:tc>
          <w:tcPr>
            <w:tcW w:w="1184" w:type="dxa"/>
          </w:tcPr>
          <w:p w:rsidR="00F50BE6" w:rsidRPr="00306B60" w:rsidRDefault="00F50BE6" w:rsidP="00F50BE6">
            <w:pPr>
              <w:spacing w:before="120" w:after="120"/>
              <w:jc w:val="center"/>
              <w:rPr>
                <w:rFonts w:eastAsia="Times New Roman" w:cs="Arial"/>
                <w:szCs w:val="20"/>
              </w:rPr>
            </w:pPr>
            <w:r w:rsidRPr="00306B60">
              <w:rPr>
                <w:rFonts w:eastAsia="Times New Roman" w:cs="Arial"/>
                <w:szCs w:val="20"/>
              </w:rPr>
              <w:t>2020</w:t>
            </w:r>
          </w:p>
        </w:tc>
        <w:tc>
          <w:tcPr>
            <w:tcW w:w="1579" w:type="dxa"/>
            <w:noWrap/>
          </w:tcPr>
          <w:p w:rsidR="00F50BE6" w:rsidRPr="00306B60" w:rsidRDefault="00F50BE6" w:rsidP="00F50BE6">
            <w:pPr>
              <w:spacing w:before="120" w:after="120"/>
              <w:jc w:val="center"/>
              <w:rPr>
                <w:rFonts w:eastAsia="Times New Roman" w:cs="Arial"/>
                <w:bCs w:val="0"/>
                <w:szCs w:val="20"/>
              </w:rPr>
            </w:pPr>
            <w:r w:rsidRPr="00306B60">
              <w:rPr>
                <w:rFonts w:eastAsia="Times New Roman" w:cs="Arial"/>
                <w:szCs w:val="20"/>
              </w:rPr>
              <w:t>% Variación         2020-2019</w:t>
            </w:r>
          </w:p>
        </w:tc>
      </w:tr>
      <w:tr w:rsidR="00F30515" w:rsidRPr="00A71B61" w:rsidTr="00306B60">
        <w:trPr>
          <w:trHeight w:val="494"/>
        </w:trPr>
        <w:tc>
          <w:tcPr>
            <w:tcW w:w="3940" w:type="dxa"/>
            <w:noWrap/>
          </w:tcPr>
          <w:p w:rsidR="00F30515" w:rsidRPr="00A71B61" w:rsidRDefault="00F30515" w:rsidP="00F30515">
            <w:pPr>
              <w:spacing w:before="120" w:after="120"/>
              <w:rPr>
                <w:rFonts w:cs="Arial"/>
                <w:szCs w:val="20"/>
              </w:rPr>
            </w:pPr>
            <w:r w:rsidRPr="00A71B61">
              <w:rPr>
                <w:rFonts w:cs="Arial"/>
                <w:szCs w:val="20"/>
              </w:rPr>
              <w:t>HLA enfermedad</w:t>
            </w:r>
          </w:p>
        </w:tc>
        <w:tc>
          <w:tcPr>
            <w:tcW w:w="1315" w:type="dxa"/>
          </w:tcPr>
          <w:p w:rsidR="00F30515" w:rsidRPr="00A71B61" w:rsidRDefault="00F30515" w:rsidP="00F30515">
            <w:pPr>
              <w:spacing w:before="120" w:after="120"/>
              <w:jc w:val="center"/>
              <w:rPr>
                <w:rFonts w:cs="Arial"/>
                <w:bCs/>
                <w:szCs w:val="20"/>
              </w:rPr>
            </w:pPr>
            <w:r w:rsidRPr="00A71B61">
              <w:rPr>
                <w:rFonts w:cs="Arial"/>
                <w:bCs/>
                <w:szCs w:val="20"/>
              </w:rPr>
              <w:t>396</w:t>
            </w:r>
          </w:p>
        </w:tc>
        <w:tc>
          <w:tcPr>
            <w:tcW w:w="1184" w:type="dxa"/>
          </w:tcPr>
          <w:p w:rsidR="00F30515" w:rsidRDefault="00F30515" w:rsidP="00F30515">
            <w:pPr>
              <w:spacing w:before="120" w:after="120"/>
              <w:jc w:val="center"/>
              <w:rPr>
                <w:rFonts w:cs="Arial"/>
                <w:bCs/>
              </w:rPr>
            </w:pPr>
            <w:r>
              <w:rPr>
                <w:rFonts w:cs="Arial"/>
                <w:bCs/>
              </w:rPr>
              <w:t>355</w:t>
            </w:r>
          </w:p>
        </w:tc>
        <w:tc>
          <w:tcPr>
            <w:tcW w:w="1579" w:type="dxa"/>
            <w:noWrap/>
          </w:tcPr>
          <w:p w:rsidR="00F30515" w:rsidRDefault="00F30515" w:rsidP="00F30515">
            <w:pPr>
              <w:spacing w:before="120" w:after="120"/>
              <w:jc w:val="center"/>
              <w:rPr>
                <w:rFonts w:cs="Arial"/>
                <w:bCs/>
              </w:rPr>
            </w:pPr>
            <w:r>
              <w:rPr>
                <w:rFonts w:cs="Arial"/>
                <w:bCs/>
              </w:rPr>
              <w:t>-10%</w:t>
            </w:r>
          </w:p>
        </w:tc>
      </w:tr>
      <w:tr w:rsidR="00F30515" w:rsidRPr="00A71B61" w:rsidTr="00306B60">
        <w:trPr>
          <w:trHeight w:val="494"/>
        </w:trPr>
        <w:tc>
          <w:tcPr>
            <w:tcW w:w="3940" w:type="dxa"/>
            <w:noWrap/>
          </w:tcPr>
          <w:p w:rsidR="00F30515" w:rsidRPr="00A71B61" w:rsidRDefault="00F30515" w:rsidP="00F30515">
            <w:pPr>
              <w:rPr>
                <w:rFonts w:cs="Arial"/>
                <w:szCs w:val="20"/>
              </w:rPr>
            </w:pPr>
            <w:r w:rsidRPr="00A71B61">
              <w:rPr>
                <w:rFonts w:cs="Arial"/>
                <w:szCs w:val="20"/>
              </w:rPr>
              <w:t>HLA celiaca</w:t>
            </w:r>
          </w:p>
        </w:tc>
        <w:tc>
          <w:tcPr>
            <w:tcW w:w="1315" w:type="dxa"/>
          </w:tcPr>
          <w:p w:rsidR="00F30515" w:rsidRPr="00A71B61" w:rsidRDefault="00F30515" w:rsidP="00F30515">
            <w:pPr>
              <w:jc w:val="center"/>
              <w:rPr>
                <w:rFonts w:cs="Arial"/>
                <w:bCs/>
                <w:szCs w:val="20"/>
              </w:rPr>
            </w:pPr>
            <w:r w:rsidRPr="00A71B61">
              <w:rPr>
                <w:rFonts w:cs="Arial"/>
                <w:bCs/>
                <w:szCs w:val="20"/>
              </w:rPr>
              <w:t>204</w:t>
            </w:r>
          </w:p>
        </w:tc>
        <w:tc>
          <w:tcPr>
            <w:tcW w:w="1184" w:type="dxa"/>
          </w:tcPr>
          <w:p w:rsidR="00F30515" w:rsidRDefault="00F30515" w:rsidP="00F30515">
            <w:pPr>
              <w:jc w:val="center"/>
              <w:rPr>
                <w:rFonts w:cs="Arial"/>
                <w:bCs/>
              </w:rPr>
            </w:pPr>
            <w:r>
              <w:rPr>
                <w:rFonts w:cs="Arial"/>
                <w:bCs/>
              </w:rPr>
              <w:t>210</w:t>
            </w:r>
          </w:p>
        </w:tc>
        <w:tc>
          <w:tcPr>
            <w:tcW w:w="1579" w:type="dxa"/>
            <w:noWrap/>
          </w:tcPr>
          <w:p w:rsidR="00F30515" w:rsidRDefault="00F30515" w:rsidP="00F30515">
            <w:pPr>
              <w:jc w:val="center"/>
              <w:rPr>
                <w:rFonts w:cs="Arial"/>
                <w:bCs/>
              </w:rPr>
            </w:pPr>
            <w:r>
              <w:rPr>
                <w:rFonts w:cs="Arial"/>
                <w:bCs/>
              </w:rPr>
              <w:t>+3%</w:t>
            </w:r>
          </w:p>
        </w:tc>
      </w:tr>
      <w:tr w:rsidR="00F30515" w:rsidRPr="00A71B61" w:rsidTr="00306B60">
        <w:trPr>
          <w:trHeight w:val="494"/>
        </w:trPr>
        <w:tc>
          <w:tcPr>
            <w:tcW w:w="3940" w:type="dxa"/>
            <w:noWrap/>
          </w:tcPr>
          <w:p w:rsidR="00F30515" w:rsidRPr="00A71B61" w:rsidRDefault="00F30515" w:rsidP="00F30515">
            <w:pPr>
              <w:rPr>
                <w:rFonts w:cs="Arial"/>
                <w:szCs w:val="20"/>
              </w:rPr>
            </w:pPr>
            <w:r w:rsidRPr="00A71B61">
              <w:rPr>
                <w:rFonts w:cs="Arial"/>
                <w:szCs w:val="20"/>
              </w:rPr>
              <w:t>Tipaje KIR</w:t>
            </w:r>
          </w:p>
        </w:tc>
        <w:tc>
          <w:tcPr>
            <w:tcW w:w="1315" w:type="dxa"/>
          </w:tcPr>
          <w:p w:rsidR="00F30515" w:rsidRPr="00A71B61" w:rsidRDefault="00F30515" w:rsidP="00F30515">
            <w:pPr>
              <w:jc w:val="center"/>
              <w:rPr>
                <w:rFonts w:cs="Arial"/>
                <w:bCs/>
                <w:szCs w:val="20"/>
              </w:rPr>
            </w:pPr>
            <w:r w:rsidRPr="00A71B61">
              <w:rPr>
                <w:rFonts w:cs="Arial"/>
                <w:bCs/>
                <w:szCs w:val="20"/>
              </w:rPr>
              <w:t>523</w:t>
            </w:r>
          </w:p>
        </w:tc>
        <w:tc>
          <w:tcPr>
            <w:tcW w:w="1184" w:type="dxa"/>
          </w:tcPr>
          <w:p w:rsidR="00F30515" w:rsidRDefault="00F30515" w:rsidP="00F30515">
            <w:pPr>
              <w:jc w:val="center"/>
              <w:rPr>
                <w:rFonts w:cs="Arial"/>
                <w:bCs/>
              </w:rPr>
            </w:pPr>
            <w:r>
              <w:rPr>
                <w:rFonts w:cs="Arial"/>
                <w:bCs/>
              </w:rPr>
              <w:t>498</w:t>
            </w:r>
          </w:p>
        </w:tc>
        <w:tc>
          <w:tcPr>
            <w:tcW w:w="1579" w:type="dxa"/>
            <w:noWrap/>
          </w:tcPr>
          <w:p w:rsidR="00F30515" w:rsidRDefault="00F30515" w:rsidP="00F30515">
            <w:pPr>
              <w:jc w:val="center"/>
              <w:rPr>
                <w:rFonts w:cs="Arial"/>
                <w:bCs/>
              </w:rPr>
            </w:pPr>
            <w:r>
              <w:rPr>
                <w:rFonts w:cs="Arial"/>
                <w:bCs/>
              </w:rPr>
              <w:t>-5%</w:t>
            </w:r>
          </w:p>
        </w:tc>
      </w:tr>
    </w:tbl>
    <w:p w:rsidR="00771E00" w:rsidRPr="00A71B61" w:rsidRDefault="00771E00" w:rsidP="00771E00">
      <w:pPr>
        <w:pStyle w:val="Ttulo2"/>
        <w:spacing w:before="120" w:after="120"/>
        <w:ind w:left="720"/>
        <w:rPr>
          <w:szCs w:val="20"/>
          <w:lang w:val="es-ES"/>
        </w:rPr>
      </w:pPr>
    </w:p>
    <w:p w:rsidR="00771E00" w:rsidRPr="003D5581" w:rsidRDefault="00771E00" w:rsidP="00306B60">
      <w:pPr>
        <w:pStyle w:val="Ttulo3"/>
      </w:pPr>
      <w:r w:rsidRPr="003D5581">
        <w:t>Estudio de quimerismos postrasplante de progenitores</w:t>
      </w:r>
    </w:p>
    <w:p w:rsidR="00C14C6A" w:rsidRPr="00A71B61" w:rsidRDefault="00C14C6A" w:rsidP="00C14C6A">
      <w:pPr>
        <w:rPr>
          <w:szCs w:val="20"/>
        </w:rPr>
      </w:pPr>
      <w:r w:rsidRPr="00A71B61">
        <w:rPr>
          <w:szCs w:val="20"/>
        </w:rPr>
        <w:t>La distribución de muestras que se sometieron a estudio de quimerismo post-trasplante de progenitores hematopoyéticos en el año 2020 y su comparativa con los años anteriores se refleja en la Figura 1.</w:t>
      </w:r>
    </w:p>
    <w:p w:rsidR="00C14C6A" w:rsidRPr="00A71B61" w:rsidRDefault="00C14C6A" w:rsidP="00C14C6A">
      <w:pPr>
        <w:rPr>
          <w:szCs w:val="20"/>
        </w:rPr>
      </w:pPr>
      <w:r w:rsidRPr="00A71B61">
        <w:rPr>
          <w:noProof/>
          <w:szCs w:val="20"/>
          <w:lang w:eastAsia="es-ES"/>
        </w:rPr>
        <w:lastRenderedPageBreak/>
        <w:drawing>
          <wp:anchor distT="0" distB="0" distL="114300" distR="114300" simplePos="0" relativeHeight="251667456" behindDoc="0" locked="0" layoutInCell="1" allowOverlap="1">
            <wp:simplePos x="0" y="0"/>
            <wp:positionH relativeFrom="column">
              <wp:posOffset>779145</wp:posOffset>
            </wp:positionH>
            <wp:positionV relativeFrom="paragraph">
              <wp:posOffset>897890</wp:posOffset>
            </wp:positionV>
            <wp:extent cx="4122420" cy="205740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screen">
                      <a:extLst>
                        <a:ext uri="{28A0092B-C50C-407E-A947-70E740481C1C}">
                          <a14:useLocalDpi xmlns:a14="http://schemas.microsoft.com/office/drawing/2010/main" val="0"/>
                        </a:ext>
                      </a:extLst>
                    </a:blip>
                    <a:srcRect/>
                    <a:stretch>
                      <a:fillRect/>
                    </a:stretch>
                  </pic:blipFill>
                  <pic:spPr bwMode="auto">
                    <a:xfrm>
                      <a:off x="0" y="0"/>
                      <a:ext cx="4122420" cy="2057400"/>
                    </a:xfrm>
                    <a:prstGeom prst="rect">
                      <a:avLst/>
                    </a:prstGeom>
                    <a:noFill/>
                  </pic:spPr>
                </pic:pic>
              </a:graphicData>
            </a:graphic>
            <wp14:sizeRelH relativeFrom="page">
              <wp14:pctWidth>0</wp14:pctWidth>
            </wp14:sizeRelH>
            <wp14:sizeRelV relativeFrom="page">
              <wp14:pctHeight>0</wp14:pctHeight>
            </wp14:sizeRelV>
          </wp:anchor>
        </w:drawing>
      </w:r>
      <w:r w:rsidR="00F1367D" w:rsidRPr="00A71B61">
        <w:rPr>
          <w:szCs w:val="20"/>
        </w:rPr>
        <w:t>S</w:t>
      </w:r>
      <w:r w:rsidRPr="00A71B61">
        <w:rPr>
          <w:szCs w:val="20"/>
        </w:rPr>
        <w:t>e han estudiado un total de 1942 muestras procedentes de los servicios de Hematología de los Hospitales: La Princesa, La Paz (Infantil y adulto), Ramón y Cajal, H. Donostia, Niño Jesús, H Quirón Madrid, Fundación Jiménez Díaz y Hospitales Madrid.</w:t>
      </w:r>
    </w:p>
    <w:p w:rsidR="00771E00" w:rsidRPr="00A71B61" w:rsidRDefault="00771E00" w:rsidP="00771E00">
      <w:pPr>
        <w:pStyle w:val="Sangradetextonormal"/>
        <w:spacing w:line="360" w:lineRule="auto"/>
        <w:ind w:firstLine="0"/>
        <w:rPr>
          <w:rFonts w:ascii="Calibri" w:hAnsi="Calibri"/>
          <w:sz w:val="20"/>
          <w:szCs w:val="20"/>
        </w:rPr>
      </w:pPr>
    </w:p>
    <w:p w:rsidR="00771E00" w:rsidRPr="00A71B61" w:rsidRDefault="00771E00" w:rsidP="00771E00">
      <w:pPr>
        <w:pStyle w:val="Sangradetextonormal"/>
        <w:spacing w:line="360" w:lineRule="auto"/>
        <w:ind w:firstLine="0"/>
        <w:rPr>
          <w:rFonts w:ascii="Calibri" w:hAnsi="Calibri"/>
          <w:noProof/>
          <w:sz w:val="20"/>
          <w:szCs w:val="20"/>
          <w:lang w:val="es-ES"/>
        </w:rPr>
      </w:pPr>
    </w:p>
    <w:p w:rsidR="00C14C6A" w:rsidRPr="00A71B61" w:rsidRDefault="00C14C6A" w:rsidP="00771E00">
      <w:pPr>
        <w:pStyle w:val="Sangradetextonormal"/>
        <w:spacing w:line="360" w:lineRule="auto"/>
        <w:ind w:firstLine="0"/>
        <w:rPr>
          <w:rFonts w:ascii="Calibri" w:hAnsi="Calibri"/>
          <w:noProof/>
          <w:sz w:val="20"/>
          <w:szCs w:val="20"/>
          <w:lang w:val="es-ES"/>
        </w:rPr>
      </w:pPr>
    </w:p>
    <w:p w:rsidR="00C14C6A" w:rsidRPr="00A71B61" w:rsidRDefault="00C14C6A" w:rsidP="00771E00">
      <w:pPr>
        <w:pStyle w:val="Sangradetextonormal"/>
        <w:spacing w:line="360" w:lineRule="auto"/>
        <w:ind w:firstLine="0"/>
        <w:rPr>
          <w:rFonts w:ascii="Calibri" w:hAnsi="Calibri"/>
          <w:noProof/>
          <w:sz w:val="20"/>
          <w:szCs w:val="20"/>
          <w:lang w:val="es-ES"/>
        </w:rPr>
      </w:pPr>
    </w:p>
    <w:p w:rsidR="00C14C6A" w:rsidRPr="00A71B61" w:rsidRDefault="00C14C6A" w:rsidP="00771E00">
      <w:pPr>
        <w:pStyle w:val="Sangradetextonormal"/>
        <w:spacing w:line="360" w:lineRule="auto"/>
        <w:ind w:firstLine="0"/>
        <w:rPr>
          <w:rFonts w:ascii="Calibri" w:hAnsi="Calibri"/>
          <w:noProof/>
          <w:sz w:val="20"/>
          <w:szCs w:val="20"/>
          <w:lang w:val="es-ES"/>
        </w:rPr>
      </w:pPr>
    </w:p>
    <w:p w:rsidR="00C14C6A" w:rsidRPr="00A71B61" w:rsidRDefault="00C14C6A" w:rsidP="00771E00">
      <w:pPr>
        <w:pStyle w:val="Sangradetextonormal"/>
        <w:spacing w:line="360" w:lineRule="auto"/>
        <w:ind w:firstLine="0"/>
        <w:rPr>
          <w:rFonts w:ascii="Calibri" w:hAnsi="Calibri"/>
          <w:noProof/>
          <w:sz w:val="20"/>
          <w:szCs w:val="20"/>
          <w:lang w:val="es-ES"/>
        </w:rPr>
      </w:pPr>
    </w:p>
    <w:p w:rsidR="00C14C6A" w:rsidRPr="00A71B61" w:rsidRDefault="00C14C6A" w:rsidP="00771E00">
      <w:pPr>
        <w:pStyle w:val="Sangradetextonormal"/>
        <w:spacing w:line="360" w:lineRule="auto"/>
        <w:ind w:firstLine="0"/>
        <w:rPr>
          <w:rFonts w:ascii="Calibri" w:hAnsi="Calibri"/>
          <w:noProof/>
          <w:sz w:val="20"/>
          <w:szCs w:val="20"/>
          <w:lang w:val="es-ES"/>
        </w:rPr>
      </w:pPr>
    </w:p>
    <w:p w:rsidR="00C14C6A" w:rsidRPr="00A71B61" w:rsidRDefault="00C14C6A" w:rsidP="00771E00">
      <w:pPr>
        <w:pStyle w:val="Sangradetextonormal"/>
        <w:spacing w:line="360" w:lineRule="auto"/>
        <w:ind w:firstLine="0"/>
        <w:rPr>
          <w:rFonts w:ascii="Calibri" w:hAnsi="Calibri"/>
          <w:sz w:val="20"/>
          <w:szCs w:val="20"/>
        </w:rPr>
      </w:pPr>
    </w:p>
    <w:p w:rsidR="00771E00" w:rsidRPr="00A71B61" w:rsidRDefault="00B8099B" w:rsidP="00B8099B">
      <w:pPr>
        <w:pStyle w:val="Sangradetextonormal"/>
        <w:spacing w:line="360" w:lineRule="auto"/>
        <w:ind w:left="708"/>
        <w:rPr>
          <w:rFonts w:ascii="Calibri" w:hAnsi="Calibri"/>
          <w:i/>
          <w:sz w:val="20"/>
          <w:szCs w:val="20"/>
          <w:lang w:val="es-ES"/>
        </w:rPr>
      </w:pPr>
      <w:r w:rsidRPr="00A71B61">
        <w:rPr>
          <w:rFonts w:ascii="Calibri" w:hAnsi="Calibri"/>
          <w:i/>
          <w:sz w:val="20"/>
          <w:szCs w:val="20"/>
          <w:lang w:val="es-ES"/>
        </w:rPr>
        <w:t>Figura 1.</w:t>
      </w:r>
    </w:p>
    <w:p w:rsidR="00771E00" w:rsidRPr="00A71B61" w:rsidRDefault="00771E00" w:rsidP="00771E00">
      <w:pPr>
        <w:pStyle w:val="Sangradetextonormal"/>
        <w:spacing w:line="360" w:lineRule="auto"/>
        <w:ind w:firstLine="0"/>
        <w:rPr>
          <w:rFonts w:asciiTheme="majorHAnsi" w:hAnsiTheme="majorHAnsi"/>
          <w:sz w:val="20"/>
          <w:szCs w:val="20"/>
        </w:rPr>
      </w:pPr>
      <w:r w:rsidRPr="00A71B61">
        <w:rPr>
          <w:rFonts w:asciiTheme="majorHAnsi" w:hAnsiTheme="majorHAnsi"/>
          <w:sz w:val="20"/>
          <w:szCs w:val="20"/>
        </w:rPr>
        <w:t>La distribución de muestras y porcentaje por Hospital es la siguiente:</w:t>
      </w:r>
    </w:p>
    <w:p w:rsidR="00B8099B" w:rsidRPr="00A71B61" w:rsidRDefault="00B8099B" w:rsidP="00771E00">
      <w:pPr>
        <w:pStyle w:val="Sangradetextonormal"/>
        <w:spacing w:line="360" w:lineRule="auto"/>
        <w:ind w:firstLine="0"/>
        <w:rPr>
          <w:rFonts w:asciiTheme="majorHAnsi" w:hAnsiTheme="majorHAnsi"/>
          <w:sz w:val="20"/>
          <w:szCs w:val="20"/>
        </w:rPr>
      </w:pPr>
      <w:r w:rsidRPr="00A71B61">
        <w:rPr>
          <w:rFonts w:asciiTheme="majorHAnsi" w:hAnsiTheme="majorHAnsi"/>
          <w:noProof/>
          <w:sz w:val="20"/>
          <w:szCs w:val="20"/>
          <w:lang w:val="es-ES"/>
        </w:rPr>
        <w:drawing>
          <wp:inline distT="0" distB="0" distL="0" distR="0">
            <wp:extent cx="5039995" cy="2107257"/>
            <wp:effectExtent l="0" t="0" r="8255"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6" cstate="screen">
                      <a:extLst>
                        <a:ext uri="{28A0092B-C50C-407E-A947-70E740481C1C}">
                          <a14:useLocalDpi xmlns:a14="http://schemas.microsoft.com/office/drawing/2010/main" val="0"/>
                        </a:ext>
                      </a:extLst>
                    </a:blip>
                    <a:srcRect/>
                    <a:stretch>
                      <a:fillRect/>
                    </a:stretch>
                  </pic:blipFill>
                  <pic:spPr bwMode="auto">
                    <a:xfrm>
                      <a:off x="0" y="0"/>
                      <a:ext cx="5039995" cy="2107257"/>
                    </a:xfrm>
                    <a:prstGeom prst="rect">
                      <a:avLst/>
                    </a:prstGeom>
                    <a:noFill/>
                    <a:ln>
                      <a:noFill/>
                    </a:ln>
                  </pic:spPr>
                </pic:pic>
              </a:graphicData>
            </a:graphic>
          </wp:inline>
        </w:drawing>
      </w:r>
    </w:p>
    <w:p w:rsidR="00B8099B" w:rsidRPr="00A71B61" w:rsidRDefault="00B8099B" w:rsidP="00B8099B">
      <w:pPr>
        <w:pStyle w:val="Sangradetextonormal"/>
        <w:spacing w:line="360" w:lineRule="auto"/>
        <w:ind w:firstLine="0"/>
        <w:jc w:val="left"/>
        <w:rPr>
          <w:rFonts w:asciiTheme="majorHAnsi" w:hAnsiTheme="majorHAnsi"/>
          <w:sz w:val="20"/>
          <w:szCs w:val="20"/>
        </w:rPr>
      </w:pPr>
    </w:p>
    <w:p w:rsidR="00B8099B" w:rsidRPr="00A71B61" w:rsidRDefault="00B8099B" w:rsidP="00B8099B">
      <w:pPr>
        <w:pStyle w:val="Sangradetextonormal"/>
        <w:spacing w:line="360" w:lineRule="auto"/>
        <w:ind w:firstLine="0"/>
        <w:jc w:val="left"/>
        <w:rPr>
          <w:rFonts w:asciiTheme="majorHAnsi" w:hAnsiTheme="majorHAnsi"/>
          <w:sz w:val="20"/>
          <w:szCs w:val="20"/>
        </w:rPr>
      </w:pPr>
      <w:r w:rsidRPr="00A71B61">
        <w:rPr>
          <w:rFonts w:asciiTheme="majorHAnsi" w:hAnsiTheme="majorHAnsi"/>
          <w:sz w:val="20"/>
          <w:szCs w:val="20"/>
        </w:rPr>
        <w:t>La distribución de las muestras estudiadas según el tipo de fuente celular fue el siguiente:</w:t>
      </w:r>
    </w:p>
    <w:p w:rsidR="00B8099B" w:rsidRPr="00A71B61" w:rsidRDefault="00B8099B" w:rsidP="00B8099B">
      <w:pPr>
        <w:pStyle w:val="Sangradetextonormal"/>
        <w:spacing w:line="360" w:lineRule="auto"/>
        <w:ind w:firstLine="0"/>
        <w:jc w:val="left"/>
        <w:rPr>
          <w:rFonts w:asciiTheme="majorHAnsi" w:hAnsiTheme="majorHAnsi"/>
          <w:sz w:val="20"/>
          <w:szCs w:val="20"/>
        </w:rPr>
      </w:pPr>
    </w:p>
    <w:p w:rsidR="00B8099B" w:rsidRPr="00A71B61" w:rsidRDefault="00B8099B" w:rsidP="00B8099B">
      <w:pPr>
        <w:pStyle w:val="Sangradetextonormal"/>
        <w:spacing w:line="360" w:lineRule="auto"/>
        <w:ind w:firstLine="0"/>
        <w:jc w:val="center"/>
        <w:rPr>
          <w:rFonts w:ascii="Calibri" w:hAnsi="Calibri"/>
          <w:noProof/>
          <w:sz w:val="20"/>
          <w:szCs w:val="20"/>
        </w:rPr>
      </w:pPr>
      <w:r w:rsidRPr="00A71B61">
        <w:rPr>
          <w:rFonts w:ascii="Calibri" w:hAnsi="Calibri"/>
          <w:noProof/>
          <w:sz w:val="20"/>
          <w:szCs w:val="20"/>
          <w:lang w:val="es-ES"/>
        </w:rPr>
        <w:drawing>
          <wp:inline distT="0" distB="0" distL="0" distR="0">
            <wp:extent cx="1542725" cy="1836420"/>
            <wp:effectExtent l="0" t="0" r="63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7" cstate="screen">
                      <a:extLst>
                        <a:ext uri="{28A0092B-C50C-407E-A947-70E740481C1C}">
                          <a14:useLocalDpi xmlns:a14="http://schemas.microsoft.com/office/drawing/2010/main" val="0"/>
                        </a:ext>
                      </a:extLst>
                    </a:blip>
                    <a:srcRect/>
                    <a:stretch>
                      <a:fillRect/>
                    </a:stretch>
                  </pic:blipFill>
                  <pic:spPr bwMode="auto">
                    <a:xfrm>
                      <a:off x="0" y="0"/>
                      <a:ext cx="1563276" cy="1860884"/>
                    </a:xfrm>
                    <a:prstGeom prst="rect">
                      <a:avLst/>
                    </a:prstGeom>
                    <a:noFill/>
                    <a:ln>
                      <a:noFill/>
                    </a:ln>
                  </pic:spPr>
                </pic:pic>
              </a:graphicData>
            </a:graphic>
          </wp:inline>
        </w:drawing>
      </w:r>
    </w:p>
    <w:p w:rsidR="00C14C6A" w:rsidRPr="00A71B61" w:rsidRDefault="00C14C6A" w:rsidP="00771E00">
      <w:pPr>
        <w:pStyle w:val="Sangradetextonormal"/>
        <w:spacing w:line="360" w:lineRule="auto"/>
        <w:ind w:firstLine="0"/>
        <w:rPr>
          <w:rFonts w:ascii="Calibri" w:hAnsi="Calibri"/>
          <w:noProof/>
          <w:sz w:val="20"/>
          <w:szCs w:val="20"/>
          <w:lang w:val="es-ES"/>
        </w:rPr>
      </w:pPr>
    </w:p>
    <w:p w:rsidR="00771E00" w:rsidRPr="00A71B61" w:rsidRDefault="00771E00" w:rsidP="00771E00">
      <w:pPr>
        <w:pStyle w:val="Sangradetextonormal"/>
        <w:spacing w:line="360" w:lineRule="auto"/>
        <w:ind w:firstLine="0"/>
        <w:jc w:val="left"/>
        <w:rPr>
          <w:rFonts w:ascii="Calibri" w:hAnsi="Calibri"/>
          <w:sz w:val="20"/>
          <w:szCs w:val="20"/>
        </w:rPr>
      </w:pPr>
      <w:r w:rsidRPr="00A71B61">
        <w:rPr>
          <w:rFonts w:ascii="Calibri" w:hAnsi="Calibri"/>
          <w:sz w:val="20"/>
          <w:szCs w:val="20"/>
        </w:rPr>
        <w:lastRenderedPageBreak/>
        <w:tab/>
      </w:r>
      <w:r w:rsidRPr="00A71B61">
        <w:rPr>
          <w:rFonts w:ascii="Calibri" w:hAnsi="Calibri"/>
          <w:sz w:val="20"/>
          <w:szCs w:val="20"/>
        </w:rPr>
        <w:tab/>
      </w:r>
      <w:r w:rsidRPr="00A71B61">
        <w:rPr>
          <w:rFonts w:ascii="Calibri" w:hAnsi="Calibri"/>
          <w:sz w:val="20"/>
          <w:szCs w:val="20"/>
        </w:rPr>
        <w:tab/>
      </w:r>
    </w:p>
    <w:p w:rsidR="00771E00" w:rsidRPr="003D5581" w:rsidRDefault="00771E00" w:rsidP="00306B60">
      <w:pPr>
        <w:pStyle w:val="Ttulo2"/>
      </w:pPr>
      <w:bookmarkStart w:id="85" w:name="_Toc90584901"/>
      <w:r w:rsidRPr="003D5581">
        <w:t>Tipaje HLA de alta resolución</w:t>
      </w:r>
      <w:bookmarkEnd w:id="85"/>
    </w:p>
    <w:p w:rsidR="00C14C6A" w:rsidRPr="00A71B61" w:rsidRDefault="00C14C6A" w:rsidP="00C14C6A">
      <w:pPr>
        <w:spacing w:after="120"/>
        <w:rPr>
          <w:rFonts w:asciiTheme="majorHAnsi" w:hAnsiTheme="majorHAnsi" w:cs="Arial"/>
          <w:szCs w:val="20"/>
        </w:rPr>
      </w:pPr>
      <w:r w:rsidRPr="00A71B61">
        <w:rPr>
          <w:rFonts w:asciiTheme="majorHAnsi" w:hAnsiTheme="majorHAnsi" w:cs="Arial"/>
          <w:szCs w:val="20"/>
        </w:rPr>
        <w:t>Se ha realizado tipaje HLA de alta resolución a las siguientes categorías de muestras:</w:t>
      </w:r>
    </w:p>
    <w:p w:rsidR="00C14C6A" w:rsidRPr="00A71B61" w:rsidRDefault="00C14C6A" w:rsidP="00846064">
      <w:pPr>
        <w:numPr>
          <w:ilvl w:val="0"/>
          <w:numId w:val="11"/>
        </w:numPr>
        <w:spacing w:after="120"/>
        <w:rPr>
          <w:rFonts w:asciiTheme="majorHAnsi" w:hAnsiTheme="majorHAnsi" w:cs="Arial"/>
          <w:szCs w:val="20"/>
        </w:rPr>
      </w:pPr>
      <w:r w:rsidRPr="00A71B61">
        <w:rPr>
          <w:rFonts w:asciiTheme="majorHAnsi" w:hAnsiTheme="majorHAnsi" w:cs="Arial"/>
          <w:szCs w:val="20"/>
        </w:rPr>
        <w:t>Pacientes Onco-Hematológicos en búsqueda de donante no emparentado.</w:t>
      </w:r>
    </w:p>
    <w:p w:rsidR="00C14C6A" w:rsidRPr="00A71B61" w:rsidRDefault="00C14C6A" w:rsidP="00846064">
      <w:pPr>
        <w:numPr>
          <w:ilvl w:val="0"/>
          <w:numId w:val="11"/>
        </w:numPr>
        <w:spacing w:after="120"/>
        <w:rPr>
          <w:rFonts w:asciiTheme="majorHAnsi" w:hAnsiTheme="majorHAnsi" w:cs="Arial"/>
          <w:szCs w:val="20"/>
        </w:rPr>
      </w:pPr>
      <w:r w:rsidRPr="00A71B61">
        <w:rPr>
          <w:rFonts w:asciiTheme="majorHAnsi" w:hAnsiTheme="majorHAnsi" w:cs="Arial"/>
          <w:szCs w:val="20"/>
        </w:rPr>
        <w:t>Donantes no emparentados recibidos de los diferentes registros internacionales.</w:t>
      </w:r>
    </w:p>
    <w:p w:rsidR="00C14C6A" w:rsidRPr="00A71B61" w:rsidRDefault="00C14C6A" w:rsidP="00846064">
      <w:pPr>
        <w:numPr>
          <w:ilvl w:val="0"/>
          <w:numId w:val="11"/>
        </w:numPr>
        <w:spacing w:after="120"/>
        <w:rPr>
          <w:rFonts w:asciiTheme="majorHAnsi" w:hAnsiTheme="majorHAnsi" w:cs="Arial"/>
          <w:szCs w:val="20"/>
        </w:rPr>
      </w:pPr>
      <w:r w:rsidRPr="00A71B61">
        <w:rPr>
          <w:rFonts w:asciiTheme="majorHAnsi" w:hAnsiTheme="majorHAnsi" w:cs="Arial"/>
          <w:szCs w:val="20"/>
        </w:rPr>
        <w:t>Tipajes confirmatorios entre familiares HLA idénticos en segunda muestra.</w:t>
      </w:r>
    </w:p>
    <w:p w:rsidR="00C14C6A" w:rsidRPr="00A71B61" w:rsidRDefault="00C14C6A" w:rsidP="00846064">
      <w:pPr>
        <w:numPr>
          <w:ilvl w:val="0"/>
          <w:numId w:val="11"/>
        </w:numPr>
        <w:spacing w:after="120"/>
        <w:rPr>
          <w:rFonts w:asciiTheme="majorHAnsi" w:hAnsiTheme="majorHAnsi" w:cs="Arial"/>
          <w:szCs w:val="20"/>
        </w:rPr>
      </w:pPr>
      <w:r w:rsidRPr="00A71B61">
        <w:rPr>
          <w:rFonts w:asciiTheme="majorHAnsi" w:hAnsiTheme="majorHAnsi" w:cs="Arial"/>
          <w:szCs w:val="20"/>
        </w:rPr>
        <w:t>Ampliaciones de tipaje de donantes y cordones del registro español de donantes de progenitores (REDMO).</w:t>
      </w:r>
    </w:p>
    <w:p w:rsidR="00C14C6A" w:rsidRPr="00A71B61" w:rsidRDefault="00C14C6A" w:rsidP="00846064">
      <w:pPr>
        <w:numPr>
          <w:ilvl w:val="0"/>
          <w:numId w:val="11"/>
        </w:numPr>
        <w:spacing w:after="120"/>
        <w:rPr>
          <w:rFonts w:asciiTheme="majorHAnsi" w:hAnsiTheme="majorHAnsi" w:cs="Arial"/>
          <w:szCs w:val="20"/>
        </w:rPr>
      </w:pPr>
      <w:r w:rsidRPr="00A71B61">
        <w:rPr>
          <w:rFonts w:asciiTheme="majorHAnsi" w:hAnsiTheme="majorHAnsi" w:cs="Arial"/>
          <w:szCs w:val="20"/>
        </w:rPr>
        <w:t>Unidades de cordón umbilical.</w:t>
      </w:r>
    </w:p>
    <w:p w:rsidR="00C14C6A" w:rsidRPr="00A71B61" w:rsidRDefault="00C14C6A" w:rsidP="00846064">
      <w:pPr>
        <w:numPr>
          <w:ilvl w:val="0"/>
          <w:numId w:val="11"/>
        </w:numPr>
        <w:spacing w:after="120"/>
        <w:rPr>
          <w:rFonts w:asciiTheme="majorHAnsi" w:hAnsiTheme="majorHAnsi" w:cs="Arial"/>
          <w:szCs w:val="20"/>
        </w:rPr>
      </w:pPr>
      <w:r w:rsidRPr="00A71B61">
        <w:rPr>
          <w:rFonts w:asciiTheme="majorHAnsi" w:hAnsiTheme="majorHAnsi" w:cs="Arial"/>
          <w:szCs w:val="20"/>
        </w:rPr>
        <w:t>Pacientes COVID.</w:t>
      </w:r>
    </w:p>
    <w:p w:rsidR="00C14C6A" w:rsidRPr="00A71B61" w:rsidRDefault="00C14C6A" w:rsidP="00C14C6A">
      <w:pPr>
        <w:spacing w:after="120"/>
        <w:rPr>
          <w:rFonts w:asciiTheme="majorHAnsi" w:hAnsiTheme="majorHAnsi" w:cs="Arial"/>
          <w:szCs w:val="20"/>
        </w:rPr>
      </w:pPr>
      <w:r w:rsidRPr="00A71B61">
        <w:rPr>
          <w:rFonts w:asciiTheme="majorHAnsi" w:hAnsiTheme="majorHAnsi" w:cs="Arial"/>
          <w:szCs w:val="20"/>
        </w:rPr>
        <w:t>En la Tabla 3 se reflejan los tipajes de alta resolución realizados a pacientes y donantes onco-hematológicos durante el año 2020 y su comparativa con los tres años anteriores.</w:t>
      </w:r>
    </w:p>
    <w:p w:rsidR="0099617B" w:rsidRPr="00A71B61" w:rsidRDefault="0099617B" w:rsidP="00C14C6A">
      <w:pPr>
        <w:spacing w:after="120"/>
        <w:rPr>
          <w:rFonts w:asciiTheme="majorHAnsi" w:hAnsiTheme="majorHAnsi" w:cs="Arial"/>
          <w:szCs w:val="20"/>
        </w:rPr>
      </w:pPr>
    </w:p>
    <w:p w:rsidR="0099617B" w:rsidRPr="00A71B61" w:rsidRDefault="0099617B" w:rsidP="00C14C6A">
      <w:pPr>
        <w:spacing w:after="120"/>
        <w:rPr>
          <w:rFonts w:asciiTheme="majorHAnsi" w:hAnsiTheme="majorHAnsi"/>
          <w:szCs w:val="20"/>
          <w:lang w:eastAsia="x-none"/>
        </w:rPr>
      </w:pPr>
    </w:p>
    <w:tbl>
      <w:tblPr>
        <w:tblStyle w:val="Tabladecuadrcula5oscura-nfasis1"/>
        <w:tblW w:w="5000" w:type="pct"/>
        <w:tblLook w:val="04A0" w:firstRow="1" w:lastRow="0" w:firstColumn="1" w:lastColumn="0" w:noHBand="0" w:noVBand="1"/>
      </w:tblPr>
      <w:tblGrid>
        <w:gridCol w:w="789"/>
        <w:gridCol w:w="880"/>
        <w:gridCol w:w="816"/>
        <w:gridCol w:w="810"/>
        <w:gridCol w:w="795"/>
        <w:gridCol w:w="1114"/>
        <w:gridCol w:w="725"/>
        <w:gridCol w:w="705"/>
        <w:gridCol w:w="1293"/>
      </w:tblGrid>
      <w:tr w:rsidR="00771E00" w:rsidRPr="00306B60" w:rsidTr="00306B60">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33" w:type="pct"/>
            <w:vMerge w:val="restart"/>
            <w:noWrap/>
            <w:hideMark/>
          </w:tcPr>
          <w:p w:rsidR="00771E00" w:rsidRPr="00306B60" w:rsidRDefault="00771E00" w:rsidP="00771E00">
            <w:pPr>
              <w:jc w:val="center"/>
              <w:rPr>
                <w:rFonts w:asciiTheme="majorHAnsi" w:eastAsia="Times New Roman" w:hAnsiTheme="majorHAnsi"/>
                <w:b w:val="0"/>
                <w:bCs w:val="0"/>
                <w:sz w:val="18"/>
                <w:szCs w:val="18"/>
                <w:lang w:eastAsia="es-ES"/>
              </w:rPr>
            </w:pPr>
          </w:p>
          <w:p w:rsidR="00771E00" w:rsidRPr="00306B60" w:rsidRDefault="00771E00" w:rsidP="00771E00">
            <w:pPr>
              <w:jc w:val="center"/>
              <w:rPr>
                <w:rFonts w:asciiTheme="majorHAnsi" w:eastAsia="Times New Roman" w:hAnsiTheme="majorHAnsi"/>
                <w:b w:val="0"/>
                <w:bCs w:val="0"/>
                <w:sz w:val="18"/>
                <w:szCs w:val="18"/>
                <w:lang w:eastAsia="es-ES"/>
              </w:rPr>
            </w:pPr>
          </w:p>
          <w:p w:rsidR="00771E00" w:rsidRPr="00306B60" w:rsidRDefault="00771E00" w:rsidP="00771E00">
            <w:pPr>
              <w:jc w:val="center"/>
              <w:rPr>
                <w:rFonts w:asciiTheme="majorHAnsi" w:eastAsia="Times New Roman" w:hAnsiTheme="majorHAnsi"/>
                <w:bCs w:val="0"/>
                <w:sz w:val="18"/>
                <w:szCs w:val="18"/>
                <w:lang w:eastAsia="es-ES"/>
              </w:rPr>
            </w:pPr>
            <w:r w:rsidRPr="00306B60">
              <w:rPr>
                <w:rFonts w:asciiTheme="majorHAnsi" w:eastAsia="Times New Roman" w:hAnsiTheme="majorHAnsi"/>
                <w:bCs w:val="0"/>
                <w:sz w:val="18"/>
                <w:szCs w:val="18"/>
                <w:lang w:eastAsia="es-ES"/>
              </w:rPr>
              <w:t>AÑO</w:t>
            </w:r>
          </w:p>
        </w:tc>
        <w:tc>
          <w:tcPr>
            <w:tcW w:w="3767" w:type="pct"/>
            <w:gridSpan w:val="7"/>
            <w:noWrap/>
            <w:hideMark/>
          </w:tcPr>
          <w:p w:rsidR="00771E00" w:rsidRPr="00306B60" w:rsidRDefault="00771E00" w:rsidP="00771E00">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val="0"/>
                <w:sz w:val="18"/>
                <w:szCs w:val="18"/>
                <w:lang w:eastAsia="es-ES"/>
              </w:rPr>
            </w:pPr>
            <w:r w:rsidRPr="00306B60">
              <w:rPr>
                <w:rFonts w:asciiTheme="majorHAnsi" w:eastAsia="Times New Roman" w:hAnsiTheme="majorHAnsi"/>
                <w:bCs w:val="0"/>
                <w:sz w:val="18"/>
                <w:szCs w:val="18"/>
                <w:lang w:eastAsia="es-ES"/>
              </w:rPr>
              <w:t>PACIENTES</w:t>
            </w:r>
          </w:p>
        </w:tc>
        <w:tc>
          <w:tcPr>
            <w:tcW w:w="700" w:type="pct"/>
            <w:noWrap/>
            <w:hideMark/>
          </w:tcPr>
          <w:p w:rsidR="00771E00" w:rsidRPr="00306B60" w:rsidRDefault="00771E00" w:rsidP="00771E00">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val="0"/>
                <w:sz w:val="18"/>
                <w:szCs w:val="18"/>
                <w:lang w:eastAsia="es-ES"/>
              </w:rPr>
            </w:pPr>
            <w:r w:rsidRPr="00306B60">
              <w:rPr>
                <w:rFonts w:asciiTheme="majorHAnsi" w:eastAsia="Times New Roman" w:hAnsiTheme="majorHAnsi"/>
                <w:bCs w:val="0"/>
                <w:sz w:val="18"/>
                <w:szCs w:val="18"/>
                <w:lang w:eastAsia="es-ES"/>
              </w:rPr>
              <w:t>DONANTES</w:t>
            </w:r>
          </w:p>
        </w:tc>
      </w:tr>
      <w:tr w:rsidR="00771E00" w:rsidRPr="00306B60" w:rsidTr="00306B60">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33" w:type="pct"/>
            <w:vMerge/>
            <w:noWrap/>
            <w:hideMark/>
          </w:tcPr>
          <w:p w:rsidR="00771E00" w:rsidRPr="00306B60" w:rsidRDefault="00771E00" w:rsidP="00771E00">
            <w:pPr>
              <w:jc w:val="center"/>
              <w:rPr>
                <w:rFonts w:asciiTheme="majorHAnsi" w:eastAsia="Times New Roman" w:hAnsiTheme="majorHAnsi"/>
                <w:b w:val="0"/>
                <w:bCs w:val="0"/>
                <w:color w:val="000000"/>
                <w:sz w:val="18"/>
                <w:szCs w:val="18"/>
                <w:lang w:eastAsia="es-ES"/>
              </w:rPr>
            </w:pPr>
          </w:p>
        </w:tc>
        <w:tc>
          <w:tcPr>
            <w:tcW w:w="590"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HLA-A</w:t>
            </w:r>
          </w:p>
        </w:tc>
        <w:tc>
          <w:tcPr>
            <w:tcW w:w="513"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HLA-B</w:t>
            </w:r>
          </w:p>
        </w:tc>
        <w:tc>
          <w:tcPr>
            <w:tcW w:w="513"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HLA-C</w:t>
            </w:r>
          </w:p>
        </w:tc>
        <w:tc>
          <w:tcPr>
            <w:tcW w:w="562"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DRB1</w:t>
            </w:r>
          </w:p>
        </w:tc>
        <w:tc>
          <w:tcPr>
            <w:tcW w:w="700"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DRB3/4/5</w:t>
            </w:r>
          </w:p>
        </w:tc>
        <w:tc>
          <w:tcPr>
            <w:tcW w:w="438"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DQB1</w:t>
            </w:r>
          </w:p>
        </w:tc>
        <w:tc>
          <w:tcPr>
            <w:tcW w:w="451"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DPB1</w:t>
            </w:r>
          </w:p>
        </w:tc>
        <w:tc>
          <w:tcPr>
            <w:tcW w:w="700"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color w:val="000000"/>
                <w:sz w:val="18"/>
                <w:szCs w:val="18"/>
                <w:lang w:eastAsia="es-ES"/>
              </w:rPr>
            </w:pPr>
            <w:r w:rsidRPr="00306B60">
              <w:rPr>
                <w:rFonts w:asciiTheme="majorHAnsi" w:eastAsia="Times New Roman" w:hAnsiTheme="majorHAnsi"/>
                <w:b/>
                <w:color w:val="000000"/>
                <w:sz w:val="18"/>
                <w:szCs w:val="18"/>
                <w:lang w:eastAsia="es-ES"/>
              </w:rPr>
              <w:t>NGS</w:t>
            </w:r>
          </w:p>
        </w:tc>
      </w:tr>
      <w:tr w:rsidR="00771E00" w:rsidRPr="00306B60" w:rsidTr="00306B60">
        <w:trPr>
          <w:trHeight w:val="458"/>
        </w:trPr>
        <w:tc>
          <w:tcPr>
            <w:cnfStyle w:val="001000000000" w:firstRow="0" w:lastRow="0" w:firstColumn="1" w:lastColumn="0" w:oddVBand="0" w:evenVBand="0" w:oddHBand="0" w:evenHBand="0" w:firstRowFirstColumn="0" w:firstRowLastColumn="0" w:lastRowFirstColumn="0" w:lastRowLastColumn="0"/>
            <w:tcW w:w="533" w:type="pct"/>
            <w:noWrap/>
            <w:hideMark/>
          </w:tcPr>
          <w:p w:rsidR="00771E00" w:rsidRPr="00306B60" w:rsidRDefault="00771E00" w:rsidP="00771E00">
            <w:pPr>
              <w:jc w:val="center"/>
              <w:rPr>
                <w:rFonts w:asciiTheme="majorHAnsi" w:eastAsia="Times New Roman" w:hAnsiTheme="majorHAnsi"/>
                <w:b w:val="0"/>
                <w:bCs w:val="0"/>
                <w:color w:val="000000"/>
                <w:sz w:val="18"/>
                <w:szCs w:val="18"/>
                <w:lang w:eastAsia="es-ES"/>
              </w:rPr>
            </w:pPr>
            <w:r w:rsidRPr="00306B60">
              <w:rPr>
                <w:rFonts w:asciiTheme="majorHAnsi" w:eastAsia="Times New Roman" w:hAnsiTheme="majorHAnsi"/>
                <w:b w:val="0"/>
                <w:bCs w:val="0"/>
                <w:color w:val="000000"/>
                <w:sz w:val="18"/>
                <w:szCs w:val="18"/>
                <w:lang w:eastAsia="es-ES"/>
              </w:rPr>
              <w:t>2017</w:t>
            </w:r>
          </w:p>
        </w:tc>
        <w:tc>
          <w:tcPr>
            <w:tcW w:w="590"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362</w:t>
            </w:r>
          </w:p>
        </w:tc>
        <w:tc>
          <w:tcPr>
            <w:tcW w:w="513"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369</w:t>
            </w:r>
          </w:p>
        </w:tc>
        <w:tc>
          <w:tcPr>
            <w:tcW w:w="513"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387</w:t>
            </w:r>
          </w:p>
        </w:tc>
        <w:tc>
          <w:tcPr>
            <w:tcW w:w="562"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740</w:t>
            </w:r>
          </w:p>
        </w:tc>
        <w:tc>
          <w:tcPr>
            <w:tcW w:w="700"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587</w:t>
            </w:r>
          </w:p>
        </w:tc>
        <w:tc>
          <w:tcPr>
            <w:tcW w:w="438"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598</w:t>
            </w:r>
          </w:p>
        </w:tc>
        <w:tc>
          <w:tcPr>
            <w:tcW w:w="451"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35</w:t>
            </w:r>
          </w:p>
        </w:tc>
        <w:tc>
          <w:tcPr>
            <w:tcW w:w="700"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p>
        </w:tc>
      </w:tr>
      <w:tr w:rsidR="00771E00" w:rsidRPr="00306B60" w:rsidTr="00306B60">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33" w:type="pct"/>
            <w:noWrap/>
            <w:hideMark/>
          </w:tcPr>
          <w:p w:rsidR="00771E00" w:rsidRPr="00306B60" w:rsidRDefault="00771E00" w:rsidP="00771E00">
            <w:pPr>
              <w:jc w:val="center"/>
              <w:rPr>
                <w:rFonts w:asciiTheme="majorHAnsi" w:eastAsia="Times New Roman" w:hAnsiTheme="majorHAnsi"/>
                <w:b w:val="0"/>
                <w:bCs w:val="0"/>
                <w:color w:val="000000"/>
                <w:sz w:val="18"/>
                <w:szCs w:val="18"/>
                <w:lang w:eastAsia="es-ES"/>
              </w:rPr>
            </w:pPr>
            <w:r w:rsidRPr="00306B60">
              <w:rPr>
                <w:rFonts w:asciiTheme="majorHAnsi" w:eastAsia="Times New Roman" w:hAnsiTheme="majorHAnsi"/>
                <w:b w:val="0"/>
                <w:bCs w:val="0"/>
                <w:color w:val="000000"/>
                <w:sz w:val="18"/>
                <w:szCs w:val="18"/>
                <w:lang w:eastAsia="es-ES"/>
              </w:rPr>
              <w:t>2018</w:t>
            </w:r>
          </w:p>
        </w:tc>
        <w:tc>
          <w:tcPr>
            <w:tcW w:w="590"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343</w:t>
            </w:r>
          </w:p>
        </w:tc>
        <w:tc>
          <w:tcPr>
            <w:tcW w:w="513"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340</w:t>
            </w:r>
          </w:p>
        </w:tc>
        <w:tc>
          <w:tcPr>
            <w:tcW w:w="513"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378</w:t>
            </w:r>
          </w:p>
        </w:tc>
        <w:tc>
          <w:tcPr>
            <w:tcW w:w="562"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739</w:t>
            </w:r>
          </w:p>
        </w:tc>
        <w:tc>
          <w:tcPr>
            <w:tcW w:w="700"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526</w:t>
            </w:r>
          </w:p>
        </w:tc>
        <w:tc>
          <w:tcPr>
            <w:tcW w:w="438"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550</w:t>
            </w:r>
          </w:p>
        </w:tc>
        <w:tc>
          <w:tcPr>
            <w:tcW w:w="451"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13</w:t>
            </w:r>
          </w:p>
        </w:tc>
        <w:tc>
          <w:tcPr>
            <w:tcW w:w="700" w:type="pct"/>
            <w:noWrap/>
            <w:hideMark/>
          </w:tcPr>
          <w:p w:rsidR="00771E00" w:rsidRPr="00306B60" w:rsidRDefault="00771E00"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p>
        </w:tc>
      </w:tr>
      <w:tr w:rsidR="00771E00" w:rsidRPr="00306B60" w:rsidTr="00306B60">
        <w:trPr>
          <w:trHeight w:val="458"/>
        </w:trPr>
        <w:tc>
          <w:tcPr>
            <w:cnfStyle w:val="001000000000" w:firstRow="0" w:lastRow="0" w:firstColumn="1" w:lastColumn="0" w:oddVBand="0" w:evenVBand="0" w:oddHBand="0" w:evenHBand="0" w:firstRowFirstColumn="0" w:firstRowLastColumn="0" w:lastRowFirstColumn="0" w:lastRowLastColumn="0"/>
            <w:tcW w:w="533" w:type="pct"/>
            <w:noWrap/>
            <w:hideMark/>
          </w:tcPr>
          <w:p w:rsidR="00771E00" w:rsidRPr="00306B60" w:rsidRDefault="00771E00" w:rsidP="00771E00">
            <w:pPr>
              <w:jc w:val="center"/>
              <w:rPr>
                <w:rFonts w:asciiTheme="majorHAnsi" w:eastAsia="Times New Roman" w:hAnsiTheme="majorHAnsi"/>
                <w:b w:val="0"/>
                <w:bCs w:val="0"/>
                <w:color w:val="000000"/>
                <w:sz w:val="18"/>
                <w:szCs w:val="18"/>
                <w:lang w:eastAsia="es-ES"/>
              </w:rPr>
            </w:pPr>
            <w:r w:rsidRPr="00306B60">
              <w:rPr>
                <w:rFonts w:asciiTheme="majorHAnsi" w:eastAsia="Times New Roman" w:hAnsiTheme="majorHAnsi"/>
                <w:b w:val="0"/>
                <w:bCs w:val="0"/>
                <w:color w:val="000000"/>
                <w:sz w:val="18"/>
                <w:szCs w:val="18"/>
                <w:lang w:eastAsia="es-ES"/>
              </w:rPr>
              <w:t>2019</w:t>
            </w:r>
          </w:p>
        </w:tc>
        <w:tc>
          <w:tcPr>
            <w:tcW w:w="590"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497</w:t>
            </w:r>
          </w:p>
        </w:tc>
        <w:tc>
          <w:tcPr>
            <w:tcW w:w="513"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501</w:t>
            </w:r>
          </w:p>
        </w:tc>
        <w:tc>
          <w:tcPr>
            <w:tcW w:w="513"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510</w:t>
            </w:r>
          </w:p>
        </w:tc>
        <w:tc>
          <w:tcPr>
            <w:tcW w:w="562"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644</w:t>
            </w:r>
          </w:p>
        </w:tc>
        <w:tc>
          <w:tcPr>
            <w:tcW w:w="700"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p>
        </w:tc>
        <w:tc>
          <w:tcPr>
            <w:tcW w:w="438"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627</w:t>
            </w:r>
          </w:p>
        </w:tc>
        <w:tc>
          <w:tcPr>
            <w:tcW w:w="451"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16</w:t>
            </w:r>
          </w:p>
        </w:tc>
        <w:tc>
          <w:tcPr>
            <w:tcW w:w="700" w:type="pct"/>
            <w:noWrap/>
            <w:hideMark/>
          </w:tcPr>
          <w:p w:rsidR="00771E00" w:rsidRPr="00306B60" w:rsidRDefault="00771E00" w:rsidP="00771E00">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2.248</w:t>
            </w:r>
          </w:p>
        </w:tc>
      </w:tr>
      <w:tr w:rsidR="00F50BE6" w:rsidRPr="00306B60" w:rsidTr="00306B60">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33" w:type="pct"/>
            <w:noWrap/>
          </w:tcPr>
          <w:p w:rsidR="00F50BE6" w:rsidRPr="00306B60" w:rsidRDefault="00F50BE6" w:rsidP="00771E00">
            <w:pPr>
              <w:jc w:val="center"/>
              <w:rPr>
                <w:rFonts w:asciiTheme="majorHAnsi" w:eastAsia="Times New Roman" w:hAnsiTheme="majorHAnsi"/>
                <w:b w:val="0"/>
                <w:bCs w:val="0"/>
                <w:color w:val="000000"/>
                <w:sz w:val="18"/>
                <w:szCs w:val="18"/>
                <w:lang w:eastAsia="es-ES"/>
              </w:rPr>
            </w:pPr>
            <w:r w:rsidRPr="00306B60">
              <w:rPr>
                <w:rFonts w:asciiTheme="majorHAnsi" w:eastAsia="Times New Roman" w:hAnsiTheme="majorHAnsi"/>
                <w:b w:val="0"/>
                <w:bCs w:val="0"/>
                <w:color w:val="000000"/>
                <w:sz w:val="18"/>
                <w:szCs w:val="18"/>
                <w:lang w:eastAsia="es-ES"/>
              </w:rPr>
              <w:t>2020</w:t>
            </w:r>
          </w:p>
        </w:tc>
        <w:tc>
          <w:tcPr>
            <w:tcW w:w="590"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513"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513"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562"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700"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438"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451"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481</w:t>
            </w:r>
          </w:p>
        </w:tc>
        <w:tc>
          <w:tcPr>
            <w:tcW w:w="700" w:type="pct"/>
            <w:noWrap/>
          </w:tcPr>
          <w:p w:rsidR="00F50BE6" w:rsidRPr="00306B60" w:rsidRDefault="00C14C6A" w:rsidP="00771E00">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olor w:val="000000"/>
                <w:sz w:val="18"/>
                <w:szCs w:val="18"/>
                <w:lang w:eastAsia="es-ES"/>
              </w:rPr>
            </w:pPr>
            <w:r w:rsidRPr="00306B60">
              <w:rPr>
                <w:rFonts w:asciiTheme="majorHAnsi" w:eastAsia="Times New Roman" w:hAnsiTheme="majorHAnsi"/>
                <w:color w:val="000000"/>
                <w:sz w:val="18"/>
                <w:szCs w:val="18"/>
                <w:lang w:eastAsia="es-ES"/>
              </w:rPr>
              <w:t>5.561</w:t>
            </w:r>
          </w:p>
        </w:tc>
      </w:tr>
    </w:tbl>
    <w:p w:rsidR="00771E00" w:rsidRPr="00A71B61" w:rsidRDefault="00771E00" w:rsidP="00771E00">
      <w:pPr>
        <w:ind w:firstLine="60"/>
        <w:rPr>
          <w:rFonts w:cs="Arial"/>
          <w:szCs w:val="20"/>
        </w:rPr>
      </w:pPr>
    </w:p>
    <w:p w:rsidR="00B8099B" w:rsidRPr="00A71B61" w:rsidRDefault="00B8099B" w:rsidP="00B8099B">
      <w:pPr>
        <w:ind w:left="60"/>
        <w:rPr>
          <w:rFonts w:asciiTheme="majorHAnsi" w:hAnsiTheme="majorHAnsi" w:cs="Arial"/>
          <w:szCs w:val="20"/>
        </w:rPr>
      </w:pPr>
      <w:r w:rsidRPr="00A71B61">
        <w:rPr>
          <w:rFonts w:asciiTheme="majorHAnsi" w:hAnsiTheme="majorHAnsi" w:cs="Arial"/>
          <w:szCs w:val="20"/>
        </w:rPr>
        <w:t>En la Tabla 4 se resumen los datos totales de tipaje HLA mediante NGS realizados en el año 2020 desglosados por meses, así como el número total de carreras realizadas.</w:t>
      </w:r>
    </w:p>
    <w:p w:rsidR="0099617B" w:rsidRPr="00A71B61" w:rsidRDefault="0099617B" w:rsidP="00B8099B">
      <w:pPr>
        <w:ind w:left="60"/>
        <w:rPr>
          <w:rFonts w:asciiTheme="majorHAnsi" w:hAnsiTheme="majorHAnsi" w:cs="Arial"/>
          <w:szCs w:val="20"/>
        </w:rPr>
      </w:pPr>
      <w:r w:rsidRPr="00A71B61">
        <w:rPr>
          <w:noProof/>
          <w:szCs w:val="20"/>
          <w:lang w:eastAsia="es-ES"/>
        </w:rPr>
        <w:lastRenderedPageBreak/>
        <w:drawing>
          <wp:anchor distT="0" distB="0" distL="114300" distR="114300" simplePos="0" relativeHeight="251669504" behindDoc="0" locked="0" layoutInCell="1" allowOverlap="1" wp14:anchorId="1DE481B4" wp14:editId="625087C4">
            <wp:simplePos x="0" y="0"/>
            <wp:positionH relativeFrom="margin">
              <wp:align>left</wp:align>
            </wp:positionH>
            <wp:positionV relativeFrom="paragraph">
              <wp:posOffset>281940</wp:posOffset>
            </wp:positionV>
            <wp:extent cx="4999355" cy="2791460"/>
            <wp:effectExtent l="0" t="0" r="0" b="889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99355" cy="2791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617B" w:rsidRPr="00A71B61" w:rsidRDefault="0099617B" w:rsidP="00B8099B">
      <w:pPr>
        <w:ind w:left="60"/>
        <w:rPr>
          <w:rFonts w:asciiTheme="majorHAnsi" w:hAnsiTheme="majorHAnsi" w:cs="Arial"/>
          <w:szCs w:val="20"/>
        </w:rPr>
      </w:pPr>
    </w:p>
    <w:p w:rsidR="00C14C6A" w:rsidRPr="00A71B61" w:rsidRDefault="00C14C6A" w:rsidP="00C14C6A">
      <w:pPr>
        <w:tabs>
          <w:tab w:val="left" w:pos="9072"/>
        </w:tabs>
        <w:ind w:left="60"/>
        <w:rPr>
          <w:rFonts w:asciiTheme="majorHAnsi" w:hAnsiTheme="majorHAnsi" w:cs="Arial"/>
          <w:szCs w:val="20"/>
        </w:rPr>
      </w:pPr>
      <w:r w:rsidRPr="00A71B61">
        <w:rPr>
          <w:rFonts w:asciiTheme="majorHAnsi" w:hAnsiTheme="majorHAnsi" w:cs="Arial"/>
          <w:szCs w:val="20"/>
        </w:rPr>
        <w:t>Se han realizado un total de 6207 tipajes HLA de alta resolución mediante NGS en un total de 92 carreras o procedimientos de secuenciación. A lo largo del año 2020 se ha optimizado y validado el procedimiento con el fin de optimizar los recursos disponibles. Se ha superado con éxito el control de calidad externo.</w:t>
      </w:r>
    </w:p>
    <w:p w:rsidR="00771E00" w:rsidRPr="003D5581" w:rsidRDefault="00771E00" w:rsidP="003D5581">
      <w:pPr>
        <w:pStyle w:val="Ttulo2"/>
      </w:pPr>
      <w:bookmarkStart w:id="86" w:name="_Toc90584902"/>
      <w:r w:rsidRPr="003D5581">
        <w:t>Citometría de flujo, Biología molecular</w:t>
      </w:r>
      <w:bookmarkEnd w:id="86"/>
    </w:p>
    <w:p w:rsidR="00771E00" w:rsidRPr="003D5581" w:rsidRDefault="00771E00" w:rsidP="003D5581">
      <w:pPr>
        <w:pStyle w:val="Ttulo3"/>
      </w:pPr>
      <w:r w:rsidRPr="003D5581">
        <w:t>Ámbito de actuación</w:t>
      </w:r>
    </w:p>
    <w:p w:rsidR="00771E00" w:rsidRPr="00A71B61" w:rsidRDefault="00771E00" w:rsidP="00771E00">
      <w:pPr>
        <w:spacing w:before="120" w:after="120"/>
        <w:rPr>
          <w:szCs w:val="20"/>
        </w:rPr>
      </w:pPr>
      <w:r w:rsidRPr="00A71B61">
        <w:rPr>
          <w:szCs w:val="20"/>
        </w:rPr>
        <w:t>El laboratorio de Citometría de Flujo y Biología Molecular da asistencia a todos los Hospitales Públicos de la Comunidad de Madrid que así lo requieran, bien por no tener capacitación técnica para la realización de determinadas pruebas, bien por estar centralizadas en el Centro de Transfusión,</w:t>
      </w:r>
    </w:p>
    <w:p w:rsidR="00771E00" w:rsidRPr="00A71B61" w:rsidRDefault="00771E00" w:rsidP="00771E00">
      <w:pPr>
        <w:spacing w:before="120" w:after="120"/>
        <w:rPr>
          <w:szCs w:val="20"/>
        </w:rPr>
      </w:pPr>
      <w:r w:rsidRPr="00A71B61">
        <w:rPr>
          <w:szCs w:val="20"/>
        </w:rPr>
        <w:t>También se da asistencia a Hospitales Públicos de fuera de la Comunidad de Madrid, así como a Hospitales privados, estos dentro del ámbito de la Comunidad de Madrid,</w:t>
      </w:r>
    </w:p>
    <w:p w:rsidR="00771E00" w:rsidRPr="003D5581" w:rsidRDefault="00771E00" w:rsidP="003D5581">
      <w:pPr>
        <w:pStyle w:val="Ttulo3"/>
      </w:pPr>
      <w:r w:rsidRPr="003D5581">
        <w:t>Resumen de actividad asistencial 20</w:t>
      </w:r>
      <w:r w:rsidR="00831F4C" w:rsidRPr="003D5581">
        <w:t>20</w:t>
      </w:r>
    </w:p>
    <w:p w:rsidR="00771E00" w:rsidRPr="00A71B61" w:rsidRDefault="00771E00" w:rsidP="00771E00">
      <w:pPr>
        <w:rPr>
          <w:szCs w:val="20"/>
        </w:rPr>
      </w:pPr>
    </w:p>
    <w:tbl>
      <w:tblPr>
        <w:tblStyle w:val="Tabladecuadrcula5oscura-nfasis1"/>
        <w:tblW w:w="8549" w:type="dxa"/>
        <w:tblLook w:val="0620" w:firstRow="1" w:lastRow="0" w:firstColumn="0" w:lastColumn="0" w:noHBand="1" w:noVBand="1"/>
      </w:tblPr>
      <w:tblGrid>
        <w:gridCol w:w="6639"/>
        <w:gridCol w:w="1910"/>
      </w:tblGrid>
      <w:tr w:rsidR="00771E00" w:rsidRPr="00A71B61" w:rsidTr="00306B60">
        <w:trPr>
          <w:cnfStyle w:val="100000000000" w:firstRow="1" w:lastRow="0" w:firstColumn="0" w:lastColumn="0" w:oddVBand="0" w:evenVBand="0" w:oddHBand="0" w:evenHBand="0" w:firstRowFirstColumn="0" w:firstRowLastColumn="0" w:lastRowFirstColumn="0" w:lastRowLastColumn="0"/>
          <w:cantSplit/>
          <w:trHeight w:val="421"/>
          <w:tblHeader/>
        </w:trPr>
        <w:tc>
          <w:tcPr>
            <w:tcW w:w="6639" w:type="dxa"/>
          </w:tcPr>
          <w:p w:rsidR="00771E00" w:rsidRPr="00A71B61" w:rsidRDefault="00771E00" w:rsidP="00771E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val="0"/>
                <w:szCs w:val="20"/>
                <w:lang w:val="es-ES_tradnl"/>
              </w:rPr>
            </w:pPr>
            <w:r w:rsidRPr="00A71B61">
              <w:rPr>
                <w:rFonts w:eastAsia="Times New Roman"/>
                <w:bCs w:val="0"/>
                <w:szCs w:val="20"/>
                <w:lang w:val="es-ES_tradnl"/>
              </w:rPr>
              <w:t>Actividad asistencial</w:t>
            </w:r>
          </w:p>
        </w:tc>
        <w:tc>
          <w:tcPr>
            <w:tcW w:w="1910" w:type="dxa"/>
          </w:tcPr>
          <w:p w:rsidR="00771E00" w:rsidRPr="00A71B61" w:rsidRDefault="00771E00" w:rsidP="00831F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center"/>
              <w:rPr>
                <w:rFonts w:eastAsia="Times New Roman"/>
                <w:b w:val="0"/>
                <w:bCs w:val="0"/>
                <w:szCs w:val="20"/>
                <w:lang w:val="es-ES_tradnl"/>
              </w:rPr>
            </w:pPr>
            <w:r w:rsidRPr="00A71B61">
              <w:rPr>
                <w:rFonts w:eastAsia="Times New Roman"/>
                <w:b w:val="0"/>
                <w:bCs w:val="0"/>
                <w:szCs w:val="20"/>
                <w:lang w:val="es-ES_tradnl"/>
              </w:rPr>
              <w:t>Año 20</w:t>
            </w:r>
            <w:r w:rsidR="00831F4C" w:rsidRPr="00A71B61">
              <w:rPr>
                <w:rFonts w:eastAsia="Times New Roman"/>
                <w:b w:val="0"/>
                <w:bCs w:val="0"/>
                <w:szCs w:val="20"/>
                <w:lang w:val="es-ES_tradnl"/>
              </w:rPr>
              <w:t>20</w:t>
            </w:r>
          </w:p>
        </w:tc>
      </w:tr>
      <w:tr w:rsidR="00831F4C" w:rsidRPr="00A71B61" w:rsidTr="00306B60">
        <w:trPr>
          <w:trHeight w:val="399"/>
        </w:trPr>
        <w:tc>
          <w:tcPr>
            <w:tcW w:w="6639" w:type="dxa"/>
          </w:tcPr>
          <w:p w:rsidR="00831F4C" w:rsidRPr="00A71B61" w:rsidRDefault="00831F4C" w:rsidP="00831F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
                <w:bCs/>
                <w:szCs w:val="20"/>
                <w:lang w:val="es-ES_tradnl"/>
              </w:rPr>
            </w:pPr>
            <w:r w:rsidRPr="00A71B61">
              <w:rPr>
                <w:rFonts w:eastAsia="Times New Roman"/>
                <w:b/>
                <w:bCs/>
                <w:szCs w:val="20"/>
                <w:lang w:val="es-ES_tradnl"/>
              </w:rPr>
              <w:t>Citometría de flujo y Biología Molecular en oncohematología</w:t>
            </w:r>
          </w:p>
        </w:tc>
        <w:tc>
          <w:tcPr>
            <w:tcW w:w="1910" w:type="dxa"/>
          </w:tcPr>
          <w:p w:rsidR="00831F4C" w:rsidRPr="00A71B61" w:rsidRDefault="00831F4C" w:rsidP="00831F4C">
            <w:pPr>
              <w:jc w:val="center"/>
              <w:rPr>
                <w:rFonts w:ascii="Montserrat" w:hAnsi="Montserrat"/>
                <w:b/>
                <w:bCs/>
                <w:szCs w:val="20"/>
              </w:rPr>
            </w:pPr>
            <w:r w:rsidRPr="00A71B61">
              <w:rPr>
                <w:rFonts w:ascii="Montserrat" w:hAnsi="Montserrat"/>
                <w:b/>
                <w:bCs/>
                <w:szCs w:val="20"/>
                <w:lang w:val="es-ES_tradnl"/>
              </w:rPr>
              <w:t>2.597</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rPr>
              <w:t>Detección de Reordenamientos Génicos a nivel de ADN/ARN</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893</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rPr>
              <w:t>Estudios de Inmunofenotipos</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1.628</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rPr>
              <w:t>Estudios de Hibridación In Situ Fluorescente (FISH)</w:t>
            </w:r>
            <w:r w:rsidRPr="00A71B61">
              <w:rPr>
                <w:rFonts w:eastAsia="Times New Roman"/>
                <w:bCs/>
                <w:szCs w:val="20"/>
              </w:rPr>
              <w:tab/>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72</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rPr>
              <w:t>Determinación de Enfermedad Mínima Residual Cuantitativa</w:t>
            </w:r>
            <w:r w:rsidRPr="00A71B61">
              <w:rPr>
                <w:rFonts w:eastAsia="Times New Roman"/>
                <w:bCs/>
                <w:szCs w:val="20"/>
              </w:rPr>
              <w:tab/>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4</w:t>
            </w:r>
          </w:p>
        </w:tc>
      </w:tr>
      <w:tr w:rsidR="00831F4C" w:rsidRPr="00A71B61" w:rsidTr="00306B60">
        <w:trPr>
          <w:trHeight w:val="399"/>
        </w:trPr>
        <w:tc>
          <w:tcPr>
            <w:tcW w:w="6639" w:type="dxa"/>
          </w:tcPr>
          <w:p w:rsidR="00831F4C" w:rsidRPr="00A71B61" w:rsidRDefault="00831F4C" w:rsidP="00831F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
                <w:bCs/>
                <w:szCs w:val="20"/>
                <w:lang w:val="es-ES_tradnl"/>
              </w:rPr>
            </w:pPr>
            <w:r w:rsidRPr="00A71B61">
              <w:rPr>
                <w:rFonts w:eastAsia="Times New Roman"/>
                <w:b/>
                <w:bCs/>
                <w:szCs w:val="20"/>
              </w:rPr>
              <w:lastRenderedPageBreak/>
              <w:t>Citometría de flujo en Inmunohematología</w:t>
            </w:r>
          </w:p>
        </w:tc>
        <w:tc>
          <w:tcPr>
            <w:tcW w:w="1910" w:type="dxa"/>
          </w:tcPr>
          <w:p w:rsidR="00831F4C" w:rsidRPr="00A71B61" w:rsidRDefault="00831F4C" w:rsidP="00831F4C">
            <w:pPr>
              <w:jc w:val="center"/>
              <w:rPr>
                <w:rFonts w:ascii="Montserrat" w:hAnsi="Montserrat"/>
                <w:b/>
                <w:bCs/>
                <w:szCs w:val="20"/>
              </w:rPr>
            </w:pPr>
            <w:r w:rsidRPr="00A71B61">
              <w:rPr>
                <w:rFonts w:ascii="Montserrat" w:hAnsi="Montserrat"/>
                <w:b/>
                <w:bCs/>
                <w:szCs w:val="20"/>
                <w:lang w:val="es-ES_tradnl"/>
              </w:rPr>
              <w:t>5.315</w:t>
            </w:r>
          </w:p>
        </w:tc>
      </w:tr>
      <w:tr w:rsidR="00831F4C" w:rsidRPr="00A71B61" w:rsidTr="00306B60">
        <w:trPr>
          <w:trHeight w:val="421"/>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Determinación de células CD34+ en sangre de cordón</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140</w:t>
            </w:r>
          </w:p>
        </w:tc>
      </w:tr>
      <w:tr w:rsidR="00831F4C" w:rsidRPr="00A71B61" w:rsidTr="00306B60">
        <w:trPr>
          <w:trHeight w:val="421"/>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Recuento de leucocitos residuales</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3.786</w:t>
            </w:r>
          </w:p>
        </w:tc>
      </w:tr>
      <w:tr w:rsidR="00831F4C" w:rsidRPr="00A71B61" w:rsidTr="00306B60">
        <w:trPr>
          <w:trHeight w:val="421"/>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Anticuerpos antineutrófilo por citometría</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241</w:t>
            </w:r>
          </w:p>
        </w:tc>
      </w:tr>
      <w:tr w:rsidR="00831F4C" w:rsidRPr="00A71B61" w:rsidTr="00306B60">
        <w:trPr>
          <w:trHeight w:val="399"/>
        </w:trPr>
        <w:tc>
          <w:tcPr>
            <w:tcW w:w="6639" w:type="dxa"/>
          </w:tcPr>
          <w:p w:rsidR="00831F4C" w:rsidRPr="00A71B61" w:rsidRDefault="00831F4C" w:rsidP="00831F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
                <w:bCs/>
                <w:szCs w:val="20"/>
                <w:lang w:val="es-ES_tradnl"/>
              </w:rPr>
            </w:pPr>
            <w:r w:rsidRPr="00A71B61">
              <w:rPr>
                <w:rFonts w:eastAsia="Times New Roman"/>
                <w:b/>
                <w:bCs/>
                <w:szCs w:val="20"/>
                <w:lang w:val="es-ES_tradnl"/>
              </w:rPr>
              <w:t>Estudios de Biología molecular en Inmunohematología</w:t>
            </w:r>
          </w:p>
        </w:tc>
        <w:tc>
          <w:tcPr>
            <w:tcW w:w="1910" w:type="dxa"/>
          </w:tcPr>
          <w:p w:rsidR="00831F4C" w:rsidRPr="00A71B61" w:rsidRDefault="00831F4C" w:rsidP="00831F4C">
            <w:pPr>
              <w:jc w:val="center"/>
              <w:rPr>
                <w:rFonts w:ascii="Montserrat" w:hAnsi="Montserrat"/>
                <w:b/>
                <w:bCs/>
                <w:szCs w:val="20"/>
              </w:rPr>
            </w:pPr>
            <w:r w:rsidRPr="00A71B61">
              <w:rPr>
                <w:rFonts w:ascii="Montserrat" w:hAnsi="Montserrat"/>
                <w:b/>
                <w:bCs/>
                <w:szCs w:val="20"/>
                <w:lang w:val="es-ES_tradnl"/>
              </w:rPr>
              <w:t>1.138</w:t>
            </w:r>
          </w:p>
        </w:tc>
      </w:tr>
      <w:tr w:rsidR="00831F4C" w:rsidRPr="00A71B61" w:rsidTr="00306B60">
        <w:trPr>
          <w:trHeight w:val="421"/>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Genotipo eritrocitario</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553</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Estudio del gen RHD (RH-Core + Innotrain)</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387</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Genotipado plaquetario</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107</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Discrepancias ABO sero-hemáticas</w:t>
            </w:r>
          </w:p>
        </w:tc>
        <w:tc>
          <w:tcPr>
            <w:tcW w:w="1910" w:type="dxa"/>
          </w:tcPr>
          <w:p w:rsidR="00831F4C" w:rsidRPr="00A71B61" w:rsidRDefault="00831F4C" w:rsidP="00831F4C">
            <w:pPr>
              <w:jc w:val="center"/>
              <w:rPr>
                <w:rFonts w:ascii="Montserrat" w:hAnsi="Montserrat"/>
                <w:szCs w:val="20"/>
              </w:rPr>
            </w:pPr>
            <w:r w:rsidRPr="00A71B61">
              <w:rPr>
                <w:rFonts w:ascii="Montserrat" w:hAnsi="Montserrat"/>
                <w:szCs w:val="20"/>
                <w:lang w:val="es-ES_tradnl"/>
              </w:rPr>
              <w:t>44</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Subtipos ABO</w:t>
            </w:r>
          </w:p>
        </w:tc>
        <w:tc>
          <w:tcPr>
            <w:tcW w:w="1910" w:type="dxa"/>
          </w:tcPr>
          <w:p w:rsidR="00831F4C" w:rsidRPr="00A71B61" w:rsidRDefault="00831F4C" w:rsidP="00831F4C">
            <w:pPr>
              <w:jc w:val="center"/>
              <w:rPr>
                <w:rFonts w:ascii="Montserrat" w:hAnsi="Montserrat"/>
                <w:szCs w:val="20"/>
                <w:lang w:val="es-ES_tradnl"/>
              </w:rPr>
            </w:pPr>
            <w:r w:rsidRPr="00A71B61">
              <w:rPr>
                <w:rFonts w:ascii="Montserrat" w:hAnsi="Montserrat"/>
                <w:szCs w:val="20"/>
                <w:lang w:val="es-ES_tradnl"/>
              </w:rPr>
              <w:t>27</w:t>
            </w:r>
          </w:p>
        </w:tc>
      </w:tr>
      <w:tr w:rsidR="00831F4C" w:rsidRPr="00A71B61" w:rsidTr="00306B60">
        <w:trPr>
          <w:trHeight w:val="399"/>
        </w:trPr>
        <w:tc>
          <w:tcPr>
            <w:tcW w:w="6639" w:type="dxa"/>
          </w:tcPr>
          <w:p w:rsidR="00831F4C" w:rsidRPr="00A71B61" w:rsidRDefault="00831F4C" w:rsidP="00846064">
            <w:pPr>
              <w:pStyle w:val="Prrafodelista"/>
              <w:numPr>
                <w:ilvl w:val="0"/>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imes New Roman"/>
                <w:bCs/>
                <w:szCs w:val="20"/>
                <w:lang w:val="es-ES_tradnl"/>
              </w:rPr>
            </w:pPr>
            <w:r w:rsidRPr="00A71B61">
              <w:rPr>
                <w:rFonts w:eastAsia="Times New Roman"/>
                <w:bCs/>
                <w:szCs w:val="20"/>
                <w:lang w:val="es-ES_tradnl"/>
              </w:rPr>
              <w:t>Genotipos RhD en plasma materno</w:t>
            </w:r>
          </w:p>
        </w:tc>
        <w:tc>
          <w:tcPr>
            <w:tcW w:w="1910" w:type="dxa"/>
          </w:tcPr>
          <w:p w:rsidR="00831F4C" w:rsidRPr="00A71B61" w:rsidRDefault="001A6FF4" w:rsidP="00831F4C">
            <w:pPr>
              <w:jc w:val="center"/>
              <w:rPr>
                <w:rFonts w:ascii="Montserrat" w:hAnsi="Montserrat"/>
                <w:szCs w:val="20"/>
                <w:lang w:val="es-ES_tradnl"/>
              </w:rPr>
            </w:pPr>
            <w:r w:rsidRPr="00A71B61">
              <w:rPr>
                <w:rFonts w:ascii="Montserrat" w:hAnsi="Montserrat"/>
                <w:szCs w:val="20"/>
                <w:lang w:val="es-ES_tradnl"/>
              </w:rPr>
              <w:t>20</w:t>
            </w:r>
          </w:p>
        </w:tc>
      </w:tr>
    </w:tbl>
    <w:p w:rsidR="00771E00" w:rsidRPr="00A71B61" w:rsidRDefault="00771E00" w:rsidP="00771E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b/>
          <w:szCs w:val="20"/>
          <w:lang w:val="es-ES_tradnl"/>
        </w:rPr>
      </w:pPr>
    </w:p>
    <w:p w:rsidR="00771E00" w:rsidRPr="00A71B61" w:rsidRDefault="00771E00" w:rsidP="00771E00">
      <w:pPr>
        <w:pStyle w:val="Ttulo1"/>
        <w:spacing w:before="120" w:after="120"/>
        <w:ind w:left="510"/>
        <w:rPr>
          <w:sz w:val="20"/>
          <w:szCs w:val="20"/>
          <w:lang w:val="es-ES"/>
        </w:rPr>
      </w:pPr>
      <w:r w:rsidRPr="00A71B61">
        <w:rPr>
          <w:sz w:val="20"/>
          <w:szCs w:val="20"/>
        </w:rPr>
        <w:br w:type="page"/>
      </w:r>
    </w:p>
    <w:p w:rsidR="00566C05" w:rsidRPr="003D5581" w:rsidRDefault="00566C05" w:rsidP="003D5581">
      <w:pPr>
        <w:pStyle w:val="Ttulo1"/>
      </w:pPr>
      <w:bookmarkStart w:id="87" w:name="_Toc56606665"/>
      <w:bookmarkStart w:id="88" w:name="_Toc90584903"/>
      <w:r w:rsidRPr="003D5581">
        <w:lastRenderedPageBreak/>
        <w:t>Coordinación de la donación efectiva de médula ósea</w:t>
      </w:r>
      <w:bookmarkEnd w:id="87"/>
      <w:bookmarkEnd w:id="88"/>
    </w:p>
    <w:p w:rsidR="00566C05" w:rsidRPr="00A71B61" w:rsidRDefault="00566C05" w:rsidP="00566C05">
      <w:pPr>
        <w:rPr>
          <w:szCs w:val="20"/>
          <w:lang w:eastAsia="x-none"/>
        </w:rPr>
      </w:pPr>
    </w:p>
    <w:p w:rsidR="00566C05" w:rsidRPr="00A71B61" w:rsidRDefault="00566C05" w:rsidP="008B4AA9">
      <w:pPr>
        <w:rPr>
          <w:szCs w:val="20"/>
        </w:rPr>
      </w:pPr>
      <w:r w:rsidRPr="00A71B61">
        <w:rPr>
          <w:szCs w:val="20"/>
        </w:rPr>
        <w:t xml:space="preserve">Desde la 2ª quincena de Septiembre de 2019, tras reuniones preliminares con REDMO-ONT, Centros de Colecta madrileños y ORCT (Oficina Regional de Coordinación de Trasplantes), desde el CTCM (Centro de Transfusión de la Comunidad de Madrid)se realiza la coordinación de la fase final de donación efectiva de donantes de médula para donantes registrados en Madrid o de otras autonomías que no disponen de centro de colecta o se encuentran circunstancialmente en nuestra Comunidad. </w:t>
      </w:r>
    </w:p>
    <w:p w:rsidR="008B4AA9" w:rsidRPr="003D5581" w:rsidRDefault="008B4AA9" w:rsidP="003D5581">
      <w:pPr>
        <w:pStyle w:val="Ttulo2"/>
      </w:pPr>
      <w:bookmarkStart w:id="89" w:name="_Toc90584904"/>
      <w:r w:rsidRPr="003D5581">
        <w:t>Objetivos de la coordinación</w:t>
      </w:r>
      <w:bookmarkEnd w:id="89"/>
    </w:p>
    <w:p w:rsidR="00566C05" w:rsidRPr="00A71B61" w:rsidRDefault="00566C05" w:rsidP="008B4AA9">
      <w:pPr>
        <w:rPr>
          <w:szCs w:val="20"/>
        </w:rPr>
      </w:pPr>
      <w:r w:rsidRPr="00A71B61">
        <w:rPr>
          <w:szCs w:val="20"/>
        </w:rPr>
        <w:t xml:space="preserve">Los </w:t>
      </w:r>
      <w:r w:rsidRPr="00A71B61">
        <w:rPr>
          <w:b/>
          <w:szCs w:val="20"/>
        </w:rPr>
        <w:t xml:space="preserve">objetivos </w:t>
      </w:r>
      <w:r w:rsidRPr="00A71B61">
        <w:rPr>
          <w:szCs w:val="20"/>
        </w:rPr>
        <w:t xml:space="preserve">de esta Coordinación son: </w:t>
      </w:r>
    </w:p>
    <w:p w:rsidR="00566C05" w:rsidRPr="00A71B61" w:rsidRDefault="00566C05" w:rsidP="00846064">
      <w:pPr>
        <w:pStyle w:val="Prrafodelista"/>
        <w:numPr>
          <w:ilvl w:val="0"/>
          <w:numId w:val="12"/>
        </w:numPr>
        <w:ind w:left="714" w:hanging="357"/>
        <w:contextualSpacing w:val="0"/>
        <w:rPr>
          <w:szCs w:val="20"/>
        </w:rPr>
      </w:pPr>
      <w:r w:rsidRPr="00A71B61">
        <w:rPr>
          <w:szCs w:val="20"/>
        </w:rPr>
        <w:t>Dar continuidad al proceso de atención secuencial e integral llevado a cabo desde el CTCM para los donantes de médula (información y registro inicial, estudio de muestra confirmatoria predonación, actos de agradecimiento por donación efectiva).</w:t>
      </w:r>
    </w:p>
    <w:p w:rsidR="00566C05" w:rsidRPr="00A71B61" w:rsidRDefault="00566C05" w:rsidP="00846064">
      <w:pPr>
        <w:pStyle w:val="Prrafodelista"/>
        <w:numPr>
          <w:ilvl w:val="0"/>
          <w:numId w:val="12"/>
        </w:numPr>
        <w:ind w:left="714" w:hanging="357"/>
        <w:contextualSpacing w:val="0"/>
        <w:rPr>
          <w:szCs w:val="20"/>
        </w:rPr>
      </w:pPr>
      <w:r w:rsidRPr="00A71B61">
        <w:rPr>
          <w:szCs w:val="20"/>
        </w:rPr>
        <w:t xml:space="preserve">Actuar como referente local para el donante en la resolución de dudas médico-administrativas desde la solicitud como donante efectivo hasta su primer contacto con el personal médico del CC para la realización del examen médico. </w:t>
      </w:r>
    </w:p>
    <w:p w:rsidR="00566C05" w:rsidRPr="00A71B61" w:rsidRDefault="00566C05" w:rsidP="00846064">
      <w:pPr>
        <w:pStyle w:val="Prrafodelista"/>
        <w:numPr>
          <w:ilvl w:val="0"/>
          <w:numId w:val="12"/>
        </w:numPr>
        <w:ind w:left="714" w:hanging="357"/>
        <w:contextualSpacing w:val="0"/>
        <w:rPr>
          <w:szCs w:val="20"/>
        </w:rPr>
      </w:pPr>
      <w:r w:rsidRPr="00A71B61">
        <w:rPr>
          <w:szCs w:val="20"/>
        </w:rPr>
        <w:t xml:space="preserve">Garantizar una equidad y equilibrio en la asignación de colectas a los hospitales, para evitar sobrecargas de actividad y asimetrías en la misma, de esta forma, además, prevenir la potencial no realización de algún proceso de colecta por imposibilidad asistencial. </w:t>
      </w:r>
    </w:p>
    <w:p w:rsidR="00566C05" w:rsidRPr="00A71B61" w:rsidRDefault="00566C05" w:rsidP="00846064">
      <w:pPr>
        <w:pStyle w:val="Prrafodelista"/>
        <w:numPr>
          <w:ilvl w:val="0"/>
          <w:numId w:val="12"/>
        </w:numPr>
        <w:ind w:left="714" w:hanging="357"/>
        <w:contextualSpacing w:val="0"/>
        <w:rPr>
          <w:szCs w:val="20"/>
        </w:rPr>
      </w:pPr>
      <w:r w:rsidRPr="00A71B61">
        <w:rPr>
          <w:szCs w:val="20"/>
        </w:rPr>
        <w:t>Ejercer como figura intermedia entre REDMO, Centros de Colecta (CC) y ORCT en la prestación de esta actividad asistencial para los donantes madrileños.</w:t>
      </w:r>
    </w:p>
    <w:p w:rsidR="008707AC" w:rsidRPr="003D5581" w:rsidRDefault="008707AC" w:rsidP="003D5581">
      <w:pPr>
        <w:pStyle w:val="Ttulo2"/>
      </w:pPr>
      <w:bookmarkStart w:id="90" w:name="_Toc90584905"/>
      <w:r w:rsidRPr="003D5581">
        <w:t>Actividad y resultados</w:t>
      </w:r>
      <w:bookmarkEnd w:id="90"/>
    </w:p>
    <w:p w:rsidR="00566C05" w:rsidRPr="00A71B61" w:rsidRDefault="00566C05" w:rsidP="008707AC">
      <w:pPr>
        <w:rPr>
          <w:szCs w:val="20"/>
        </w:rPr>
      </w:pPr>
      <w:r w:rsidRPr="00A71B61">
        <w:rPr>
          <w:szCs w:val="20"/>
        </w:rPr>
        <w:t xml:space="preserve">El año 2020 ha supuesto un auténtico reto en la gestión de las donaciones de médula por su destino mundial, la necesidad de medios de transporte y movilidad internacional, la garantía de atender con la mayor de la seguridad y efectividad a los donantes efectivos solicitados… </w:t>
      </w:r>
    </w:p>
    <w:p w:rsidR="008B4AA9" w:rsidRPr="00A71B61" w:rsidRDefault="00566C05" w:rsidP="00566C05">
      <w:pPr>
        <w:rPr>
          <w:szCs w:val="20"/>
        </w:rPr>
      </w:pPr>
      <w:r w:rsidRPr="00A71B61">
        <w:rPr>
          <w:szCs w:val="20"/>
        </w:rPr>
        <w:t>En la presentación adjunta se pueden constatar los datos de actividad de los procesos coordinados desde esta área. Así la tendencia en el 1er trimestre de 2020 era de crecimiento sostenido hasta que a inicios de Marzo se desprogramaron colectas y cayó drásticamente la petición de nuevas colectas.</w:t>
      </w:r>
    </w:p>
    <w:p w:rsidR="00566C05" w:rsidRPr="00A71B61" w:rsidRDefault="00566C05" w:rsidP="00566C05">
      <w:pPr>
        <w:rPr>
          <w:szCs w:val="20"/>
        </w:rPr>
      </w:pPr>
      <w:r w:rsidRPr="00A71B61">
        <w:rPr>
          <w:szCs w:val="20"/>
        </w:rPr>
        <w:t>Progresivamente la actividad se fue recuperando para finales de 2º trimestre de año y especialmente tras el periodo estival, por lo que se evidencia una actividad vinculada a periodos “entre olas” de la pandemia COVID.</w:t>
      </w:r>
    </w:p>
    <w:p w:rsidR="00566C05" w:rsidRPr="00A71B61" w:rsidRDefault="00566C05" w:rsidP="00566C05">
      <w:pPr>
        <w:rPr>
          <w:szCs w:val="20"/>
        </w:rPr>
      </w:pPr>
      <w:r w:rsidRPr="00A71B61">
        <w:rPr>
          <w:szCs w:val="20"/>
        </w:rPr>
        <w:t xml:space="preserve">El personal del área ha sabido trabajar de una forma flexible y adaptándose a las incidencias que han ido surgiendo en numerosos procesos de donación por </w:t>
      </w:r>
      <w:r w:rsidRPr="00A71B61">
        <w:rPr>
          <w:szCs w:val="20"/>
        </w:rPr>
        <w:lastRenderedPageBreak/>
        <w:t xml:space="preserve">múltiples causas (restricciones de movilidad, cambio de días de WU Schedule por circunstancias del donante, CC, CT o couriers, implementación de recomendaciones técnicas o actualizaciones de las mismas… ). </w:t>
      </w:r>
    </w:p>
    <w:p w:rsidR="00566C05" w:rsidRPr="00A71B61" w:rsidRDefault="00566C05" w:rsidP="00566C05">
      <w:pPr>
        <w:rPr>
          <w:szCs w:val="20"/>
        </w:rPr>
      </w:pPr>
      <w:r w:rsidRPr="00A71B61">
        <w:rPr>
          <w:szCs w:val="20"/>
        </w:rPr>
        <w:t xml:space="preserve">El balance de actividad </w:t>
      </w:r>
      <w:r w:rsidR="008707AC" w:rsidRPr="00A71B61">
        <w:rPr>
          <w:szCs w:val="20"/>
        </w:rPr>
        <w:t xml:space="preserve">2020 </w:t>
      </w:r>
      <w:r w:rsidRPr="00A71B61">
        <w:rPr>
          <w:szCs w:val="20"/>
        </w:rPr>
        <w:t>ha sido</w:t>
      </w:r>
      <w:r w:rsidR="00A4087B" w:rsidRPr="00A71B61">
        <w:rPr>
          <w:szCs w:val="20"/>
        </w:rPr>
        <w:t xml:space="preserve"> el siguiente</w:t>
      </w:r>
      <w:r w:rsidRPr="00A71B61">
        <w:rPr>
          <w:szCs w:val="20"/>
        </w:rPr>
        <w:t xml:space="preserve">: </w:t>
      </w:r>
    </w:p>
    <w:p w:rsidR="003B7974" w:rsidRPr="00A71B61" w:rsidRDefault="003B7974" w:rsidP="00566C05">
      <w:pPr>
        <w:rPr>
          <w:szCs w:val="20"/>
        </w:rPr>
      </w:pPr>
    </w:p>
    <w:tbl>
      <w:tblPr>
        <w:tblStyle w:val="Tabladecuadrcula5oscura-nfasis1"/>
        <w:tblW w:w="0" w:type="auto"/>
        <w:tblLook w:val="0620" w:firstRow="1" w:lastRow="0" w:firstColumn="0" w:lastColumn="0" w:noHBand="1" w:noVBand="1"/>
      </w:tblPr>
      <w:tblGrid>
        <w:gridCol w:w="2642"/>
        <w:gridCol w:w="2642"/>
        <w:gridCol w:w="2643"/>
      </w:tblGrid>
      <w:tr w:rsidR="00AC680B" w:rsidRPr="00A71B61" w:rsidTr="003D5581">
        <w:trPr>
          <w:cnfStyle w:val="100000000000" w:firstRow="1" w:lastRow="0" w:firstColumn="0" w:lastColumn="0" w:oddVBand="0" w:evenVBand="0" w:oddHBand="0" w:evenHBand="0" w:firstRowFirstColumn="0" w:firstRowLastColumn="0" w:lastRowFirstColumn="0" w:lastRowLastColumn="0"/>
        </w:trPr>
        <w:tc>
          <w:tcPr>
            <w:tcW w:w="2642" w:type="dxa"/>
          </w:tcPr>
          <w:p w:rsidR="00566C05" w:rsidRPr="00A71B61" w:rsidRDefault="00566C05" w:rsidP="00AC680B">
            <w:pPr>
              <w:jc w:val="center"/>
              <w:rPr>
                <w:szCs w:val="20"/>
              </w:rPr>
            </w:pPr>
            <w:r w:rsidRPr="00A71B61">
              <w:rPr>
                <w:szCs w:val="20"/>
              </w:rPr>
              <w:t>Peticiones totales</w:t>
            </w:r>
          </w:p>
        </w:tc>
        <w:tc>
          <w:tcPr>
            <w:tcW w:w="2642" w:type="dxa"/>
          </w:tcPr>
          <w:p w:rsidR="00AC680B" w:rsidRPr="00A71B61" w:rsidRDefault="00566C05" w:rsidP="00AC680B">
            <w:pPr>
              <w:jc w:val="center"/>
              <w:rPr>
                <w:szCs w:val="20"/>
              </w:rPr>
            </w:pPr>
            <w:r w:rsidRPr="00A71B61">
              <w:rPr>
                <w:szCs w:val="20"/>
              </w:rPr>
              <w:t xml:space="preserve">Peticiones cursadas a CC </w:t>
            </w:r>
          </w:p>
          <w:p w:rsidR="00566C05" w:rsidRPr="00A71B61" w:rsidRDefault="00566C05" w:rsidP="00AC680B">
            <w:pPr>
              <w:jc w:val="center"/>
              <w:rPr>
                <w:szCs w:val="20"/>
              </w:rPr>
            </w:pPr>
            <w:r w:rsidRPr="00A71B61">
              <w:rPr>
                <w:szCs w:val="20"/>
              </w:rPr>
              <w:t>(con EM realizado)</w:t>
            </w:r>
          </w:p>
        </w:tc>
        <w:tc>
          <w:tcPr>
            <w:tcW w:w="2643" w:type="dxa"/>
          </w:tcPr>
          <w:p w:rsidR="00566C05" w:rsidRPr="00A71B61" w:rsidRDefault="00566C05" w:rsidP="00AC680B">
            <w:pPr>
              <w:jc w:val="center"/>
              <w:rPr>
                <w:szCs w:val="20"/>
              </w:rPr>
            </w:pPr>
            <w:r w:rsidRPr="00A71B61">
              <w:rPr>
                <w:szCs w:val="20"/>
              </w:rPr>
              <w:t>Colectas efectivas</w:t>
            </w:r>
          </w:p>
        </w:tc>
      </w:tr>
      <w:tr w:rsidR="00AC680B" w:rsidRPr="00A71B61" w:rsidTr="003D5581">
        <w:trPr>
          <w:trHeight w:val="728"/>
        </w:trPr>
        <w:tc>
          <w:tcPr>
            <w:tcW w:w="2642" w:type="dxa"/>
          </w:tcPr>
          <w:p w:rsidR="00566C05" w:rsidRPr="00A71B61" w:rsidRDefault="00566C05" w:rsidP="00AC680B">
            <w:pPr>
              <w:jc w:val="center"/>
              <w:rPr>
                <w:b/>
                <w:szCs w:val="20"/>
              </w:rPr>
            </w:pPr>
            <w:r w:rsidRPr="00A71B61">
              <w:rPr>
                <w:b/>
                <w:szCs w:val="20"/>
              </w:rPr>
              <w:t>70</w:t>
            </w:r>
          </w:p>
          <w:p w:rsidR="00AC680B" w:rsidRPr="00A71B61" w:rsidRDefault="00AC680B" w:rsidP="008707AC">
            <w:pPr>
              <w:pStyle w:val="Prrafodelista"/>
              <w:ind w:left="113"/>
              <w:jc w:val="center"/>
              <w:rPr>
                <w:b/>
                <w:szCs w:val="20"/>
              </w:rPr>
            </w:pPr>
            <w:r w:rsidRPr="00A71B61">
              <w:rPr>
                <w:b/>
                <w:szCs w:val="20"/>
              </w:rPr>
              <w:t>7 cancelaciones (nota 1)</w:t>
            </w:r>
          </w:p>
          <w:p w:rsidR="00AC680B" w:rsidRPr="00A71B61" w:rsidRDefault="00AC680B" w:rsidP="00AC680B">
            <w:pPr>
              <w:jc w:val="center"/>
              <w:rPr>
                <w:b/>
                <w:szCs w:val="20"/>
              </w:rPr>
            </w:pPr>
          </w:p>
        </w:tc>
        <w:tc>
          <w:tcPr>
            <w:tcW w:w="2642" w:type="dxa"/>
          </w:tcPr>
          <w:p w:rsidR="00566C05" w:rsidRPr="00A71B61" w:rsidRDefault="00566C05" w:rsidP="00AC680B">
            <w:pPr>
              <w:jc w:val="center"/>
              <w:rPr>
                <w:szCs w:val="20"/>
              </w:rPr>
            </w:pPr>
            <w:r w:rsidRPr="00A71B61">
              <w:rPr>
                <w:szCs w:val="20"/>
              </w:rPr>
              <w:t>63</w:t>
            </w:r>
          </w:p>
          <w:p w:rsidR="00AC680B" w:rsidRPr="00A71B61" w:rsidRDefault="00AC680B" w:rsidP="00AC680B">
            <w:pPr>
              <w:ind w:left="113"/>
              <w:jc w:val="center"/>
              <w:rPr>
                <w:szCs w:val="20"/>
              </w:rPr>
            </w:pPr>
            <w:r w:rsidRPr="00A71B61">
              <w:rPr>
                <w:szCs w:val="20"/>
              </w:rPr>
              <w:t>7 cancelaciones</w:t>
            </w:r>
          </w:p>
          <w:p w:rsidR="00AC680B" w:rsidRPr="00A71B61" w:rsidRDefault="00AC680B" w:rsidP="008707AC">
            <w:pPr>
              <w:ind w:left="113"/>
              <w:jc w:val="center"/>
              <w:rPr>
                <w:szCs w:val="20"/>
              </w:rPr>
            </w:pPr>
            <w:r w:rsidRPr="00A71B61">
              <w:rPr>
                <w:szCs w:val="20"/>
              </w:rPr>
              <w:t>(nota 2)</w:t>
            </w:r>
          </w:p>
        </w:tc>
        <w:tc>
          <w:tcPr>
            <w:tcW w:w="2643" w:type="dxa"/>
          </w:tcPr>
          <w:p w:rsidR="00566C05" w:rsidRPr="00A71B61" w:rsidRDefault="00566C05" w:rsidP="00AC680B">
            <w:pPr>
              <w:jc w:val="center"/>
              <w:rPr>
                <w:szCs w:val="20"/>
              </w:rPr>
            </w:pPr>
            <w:r w:rsidRPr="00A71B61">
              <w:rPr>
                <w:szCs w:val="20"/>
              </w:rPr>
              <w:t>56</w:t>
            </w:r>
          </w:p>
          <w:p w:rsidR="00AC680B" w:rsidRPr="00A71B61" w:rsidRDefault="00AC680B" w:rsidP="00846064">
            <w:pPr>
              <w:pStyle w:val="Prrafodelista"/>
              <w:numPr>
                <w:ilvl w:val="0"/>
                <w:numId w:val="12"/>
              </w:numPr>
              <w:ind w:left="113"/>
              <w:jc w:val="center"/>
              <w:rPr>
                <w:szCs w:val="20"/>
              </w:rPr>
            </w:pPr>
            <w:r w:rsidRPr="00A71B61">
              <w:rPr>
                <w:szCs w:val="20"/>
              </w:rPr>
              <w:t>(42 SP/7 MO/7 LIN</w:t>
            </w:r>
          </w:p>
          <w:p w:rsidR="00AC680B" w:rsidRPr="00A71B61" w:rsidRDefault="00AC680B" w:rsidP="00AC680B">
            <w:pPr>
              <w:jc w:val="center"/>
              <w:rPr>
                <w:szCs w:val="20"/>
              </w:rPr>
            </w:pPr>
          </w:p>
        </w:tc>
      </w:tr>
    </w:tbl>
    <w:p w:rsidR="00AC680B" w:rsidRPr="00A71B61" w:rsidRDefault="00A4087B" w:rsidP="00AC680B">
      <w:pPr>
        <w:rPr>
          <w:szCs w:val="20"/>
        </w:rPr>
      </w:pPr>
      <w:r w:rsidRPr="00A71B61">
        <w:rPr>
          <w:b/>
          <w:szCs w:val="20"/>
        </w:rPr>
        <w:t>Nota 1:</w:t>
      </w:r>
      <w:r w:rsidRPr="00A71B61">
        <w:rPr>
          <w:szCs w:val="20"/>
        </w:rPr>
        <w:t xml:space="preserve"> 4 por motivos médicos del paciente (1 mismo donante dos veces), 1 porque el Centro solicitante decidió cambiar de donante, 2 por problemas logísticos de transporte.</w:t>
      </w:r>
    </w:p>
    <w:p w:rsidR="00854F09" w:rsidRPr="00A71B61" w:rsidRDefault="00854F09" w:rsidP="00AC680B">
      <w:pPr>
        <w:rPr>
          <w:szCs w:val="20"/>
        </w:rPr>
      </w:pPr>
      <w:r w:rsidRPr="00A71B61">
        <w:rPr>
          <w:b/>
          <w:szCs w:val="20"/>
        </w:rPr>
        <w:t>Nota 2:</w:t>
      </w:r>
      <w:r w:rsidRPr="00A71B61">
        <w:rPr>
          <w:szCs w:val="20"/>
        </w:rPr>
        <w:t xml:space="preserve"> </w:t>
      </w:r>
      <w:r w:rsidR="00AC680B" w:rsidRPr="00A71B61">
        <w:rPr>
          <w:szCs w:val="20"/>
        </w:rPr>
        <w:t>7 cancelaciones (</w:t>
      </w:r>
      <w:r w:rsidRPr="00A71B61">
        <w:rPr>
          <w:szCs w:val="20"/>
        </w:rPr>
        <w:t xml:space="preserve">4 </w:t>
      </w:r>
      <w:r w:rsidR="00AC680B" w:rsidRPr="00A71B61">
        <w:rPr>
          <w:szCs w:val="20"/>
        </w:rPr>
        <w:t xml:space="preserve">debido al mal </w:t>
      </w:r>
      <w:r w:rsidRPr="00A71B61">
        <w:rPr>
          <w:szCs w:val="20"/>
        </w:rPr>
        <w:t xml:space="preserve">estado del paciente, </w:t>
      </w:r>
      <w:r w:rsidR="00AC680B" w:rsidRPr="00A71B61">
        <w:rPr>
          <w:szCs w:val="20"/>
        </w:rPr>
        <w:t>y 3 por decisión del centro trasplantador/registro extranjero).</w:t>
      </w:r>
    </w:p>
    <w:p w:rsidR="00AC680B" w:rsidRPr="00A71B61" w:rsidRDefault="00AC680B" w:rsidP="00AC680B">
      <w:pPr>
        <w:pStyle w:val="Prrafodelista"/>
        <w:spacing w:after="0" w:line="240" w:lineRule="auto"/>
        <w:ind w:left="113"/>
        <w:rPr>
          <w:szCs w:val="20"/>
        </w:rPr>
      </w:pPr>
    </w:p>
    <w:p w:rsidR="00566C05" w:rsidRPr="00A71B61" w:rsidRDefault="00854F09" w:rsidP="00854F09">
      <w:pPr>
        <w:rPr>
          <w:szCs w:val="20"/>
        </w:rPr>
      </w:pPr>
      <w:r w:rsidRPr="00A71B61">
        <w:rPr>
          <w:szCs w:val="20"/>
        </w:rPr>
        <w:t>En la siguiente gráfica se muestra la distribución mensual de las peticiones</w:t>
      </w:r>
    </w:p>
    <w:p w:rsidR="00A4087B" w:rsidRPr="00A71B61" w:rsidRDefault="00A4087B" w:rsidP="00A4087B">
      <w:pPr>
        <w:jc w:val="center"/>
        <w:rPr>
          <w:szCs w:val="20"/>
          <w:lang w:eastAsia="x-none"/>
        </w:rPr>
      </w:pPr>
      <w:r w:rsidRPr="00A71B61">
        <w:rPr>
          <w:noProof/>
          <w:szCs w:val="20"/>
          <w:lang w:eastAsia="es-ES"/>
        </w:rPr>
        <w:drawing>
          <wp:inline distT="0" distB="0" distL="0" distR="0" wp14:anchorId="0F334FBE" wp14:editId="05FCC28A">
            <wp:extent cx="4838700" cy="2481943"/>
            <wp:effectExtent l="0" t="0" r="0" b="1397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AC680B" w:rsidRPr="00A71B61" w:rsidRDefault="00AC680B" w:rsidP="00F2402E">
      <w:pPr>
        <w:rPr>
          <w:szCs w:val="20"/>
          <w:lang w:eastAsia="x-none"/>
        </w:rPr>
      </w:pPr>
    </w:p>
    <w:p w:rsidR="00854F09" w:rsidRPr="00A71B61" w:rsidRDefault="00854F09" w:rsidP="00F2402E">
      <w:pPr>
        <w:rPr>
          <w:szCs w:val="20"/>
          <w:lang w:eastAsia="x-none"/>
        </w:rPr>
      </w:pPr>
      <w:r w:rsidRPr="00A71B61">
        <w:rPr>
          <w:szCs w:val="20"/>
          <w:lang w:eastAsia="x-none"/>
        </w:rPr>
        <w:t>A continuación se muestra la distribución de las peticiones en función del Centro de Colecta y del producto solicitado</w:t>
      </w:r>
    </w:p>
    <w:p w:rsidR="00A4087B" w:rsidRPr="00A71B61" w:rsidRDefault="00A4087B" w:rsidP="00566C05">
      <w:pPr>
        <w:rPr>
          <w:szCs w:val="20"/>
          <w:lang w:eastAsia="x-none"/>
        </w:rPr>
      </w:pPr>
    </w:p>
    <w:p w:rsidR="00A4087B" w:rsidRPr="00A71B61" w:rsidRDefault="00A4087B" w:rsidP="00A4087B">
      <w:pPr>
        <w:jc w:val="center"/>
        <w:rPr>
          <w:szCs w:val="20"/>
          <w:lang w:eastAsia="x-none"/>
        </w:rPr>
      </w:pPr>
      <w:r w:rsidRPr="00A71B61">
        <w:rPr>
          <w:noProof/>
          <w:szCs w:val="20"/>
          <w:lang w:eastAsia="es-ES"/>
        </w:rPr>
        <w:lastRenderedPageBreak/>
        <w:drawing>
          <wp:inline distT="0" distB="0" distL="0" distR="0" wp14:anchorId="22E2FF7E" wp14:editId="5BD15906">
            <wp:extent cx="4922520" cy="2137558"/>
            <wp:effectExtent l="0" t="0" r="0" b="0"/>
            <wp:docPr id="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0"/>
                    <a:srcRect t="12879" r="2330" b="5783"/>
                    <a:stretch/>
                  </pic:blipFill>
                  <pic:spPr bwMode="auto">
                    <a:xfrm>
                      <a:off x="0" y="0"/>
                      <a:ext cx="4934201" cy="2142630"/>
                    </a:xfrm>
                    <a:prstGeom prst="rect">
                      <a:avLst/>
                    </a:prstGeom>
                    <a:ln>
                      <a:noFill/>
                    </a:ln>
                    <a:extLst>
                      <a:ext uri="{53640926-AAD7-44D8-BBD7-CCE9431645EC}">
                        <a14:shadowObscured xmlns:a14="http://schemas.microsoft.com/office/drawing/2010/main"/>
                      </a:ext>
                    </a:extLst>
                  </pic:spPr>
                </pic:pic>
              </a:graphicData>
            </a:graphic>
          </wp:inline>
        </w:drawing>
      </w:r>
    </w:p>
    <w:p w:rsidR="00A4087B" w:rsidRPr="00A71B61" w:rsidRDefault="00A4087B" w:rsidP="00566C05">
      <w:pPr>
        <w:rPr>
          <w:szCs w:val="20"/>
          <w:lang w:eastAsia="x-none"/>
        </w:rPr>
      </w:pPr>
    </w:p>
    <w:p w:rsidR="00854F09" w:rsidRPr="00A71B61" w:rsidRDefault="00854F09" w:rsidP="00566C05">
      <w:pPr>
        <w:rPr>
          <w:szCs w:val="20"/>
          <w:lang w:eastAsia="x-none"/>
        </w:rPr>
      </w:pPr>
      <w:r w:rsidRPr="00A71B61">
        <w:rPr>
          <w:szCs w:val="20"/>
          <w:lang w:eastAsia="x-none"/>
        </w:rPr>
        <w:t>En la siguiente gráfica se resumen las peticiones por Centro de Colecta y producto</w:t>
      </w:r>
    </w:p>
    <w:p w:rsidR="00854F09" w:rsidRPr="00A71B61" w:rsidRDefault="00854F09" w:rsidP="00566C05">
      <w:pPr>
        <w:rPr>
          <w:szCs w:val="20"/>
          <w:lang w:eastAsia="x-none"/>
        </w:rPr>
      </w:pPr>
      <w:r w:rsidRPr="00A71B61">
        <w:rPr>
          <w:noProof/>
          <w:szCs w:val="20"/>
          <w:lang w:eastAsia="es-ES"/>
        </w:rPr>
        <w:drawing>
          <wp:inline distT="0" distB="0" distL="0" distR="0" wp14:anchorId="7E145D9C" wp14:editId="5BECF9DA">
            <wp:extent cx="5039995" cy="1971304"/>
            <wp:effectExtent l="0" t="0" r="8255" b="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1"/>
                    <a:srcRect t="12880" b="6261"/>
                    <a:stretch/>
                  </pic:blipFill>
                  <pic:spPr bwMode="auto">
                    <a:xfrm>
                      <a:off x="0" y="0"/>
                      <a:ext cx="5055695" cy="1977445"/>
                    </a:xfrm>
                    <a:prstGeom prst="rect">
                      <a:avLst/>
                    </a:prstGeom>
                    <a:ln>
                      <a:noFill/>
                    </a:ln>
                    <a:extLst>
                      <a:ext uri="{53640926-AAD7-44D8-BBD7-CCE9431645EC}">
                        <a14:shadowObscured xmlns:a14="http://schemas.microsoft.com/office/drawing/2010/main"/>
                      </a:ext>
                    </a:extLst>
                  </pic:spPr>
                </pic:pic>
              </a:graphicData>
            </a:graphic>
          </wp:inline>
        </w:drawing>
      </w:r>
    </w:p>
    <w:p w:rsidR="00854F09" w:rsidRPr="00A71B61" w:rsidRDefault="00854F09" w:rsidP="00566C05">
      <w:pPr>
        <w:rPr>
          <w:szCs w:val="20"/>
          <w:lang w:eastAsia="x-none"/>
        </w:rPr>
      </w:pPr>
    </w:p>
    <w:p w:rsidR="00854F09" w:rsidRPr="00A71B61" w:rsidRDefault="00854F09" w:rsidP="00566C05">
      <w:pPr>
        <w:rPr>
          <w:szCs w:val="20"/>
          <w:lang w:eastAsia="x-none"/>
        </w:rPr>
      </w:pPr>
      <w:r w:rsidRPr="00A71B61">
        <w:rPr>
          <w:szCs w:val="20"/>
          <w:lang w:eastAsia="x-none"/>
        </w:rPr>
        <w:t>En las siguientes figuras se muestra el número el destino final de los productos donados en los Centros de Colecta Madrileños, las peticiones de colecta recibidas coordinadas en Madrid y para Madrid en comparación con las del resto del territorio español y las colectas realizadas en la Comunidad de Madrid en relación con las realizadas en el resto de comunidades</w:t>
      </w:r>
    </w:p>
    <w:p w:rsidR="00854F09" w:rsidRPr="00A71B61" w:rsidRDefault="00854F09" w:rsidP="00566C05">
      <w:pPr>
        <w:rPr>
          <w:szCs w:val="20"/>
          <w:lang w:eastAsia="x-none"/>
        </w:rPr>
      </w:pPr>
      <w:r w:rsidRPr="00A71B61">
        <w:rPr>
          <w:noProof/>
          <w:szCs w:val="20"/>
          <w:lang w:eastAsia="es-ES"/>
        </w:rPr>
        <w:drawing>
          <wp:inline distT="0" distB="0" distL="0" distR="0" wp14:anchorId="259CFBCF" wp14:editId="2C600198">
            <wp:extent cx="4892040" cy="1933145"/>
            <wp:effectExtent l="0" t="0" r="381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420" t="14517" r="3843" b="19624"/>
                    <a:stretch/>
                  </pic:blipFill>
                  <pic:spPr bwMode="auto">
                    <a:xfrm>
                      <a:off x="0" y="0"/>
                      <a:ext cx="4925620" cy="1946414"/>
                    </a:xfrm>
                    <a:prstGeom prst="rect">
                      <a:avLst/>
                    </a:prstGeom>
                    <a:ln>
                      <a:noFill/>
                    </a:ln>
                    <a:extLst>
                      <a:ext uri="{53640926-AAD7-44D8-BBD7-CCE9431645EC}">
                        <a14:shadowObscured xmlns:a14="http://schemas.microsoft.com/office/drawing/2010/main"/>
                      </a:ext>
                    </a:extLst>
                  </pic:spPr>
                </pic:pic>
              </a:graphicData>
            </a:graphic>
          </wp:inline>
        </w:drawing>
      </w:r>
    </w:p>
    <w:p w:rsidR="00AC680B" w:rsidRPr="00A71B61" w:rsidRDefault="00AC680B" w:rsidP="00AC680B">
      <w:pPr>
        <w:rPr>
          <w:szCs w:val="20"/>
        </w:rPr>
      </w:pPr>
      <w:r w:rsidRPr="00A71B61">
        <w:rPr>
          <w:szCs w:val="20"/>
        </w:rPr>
        <w:lastRenderedPageBreak/>
        <w:t xml:space="preserve">Finalmente, hay que resaltar que en octubre y noviembre se pasaron de forma satisfactoria las auditorías interna y externa del área, que fueron realizadas por personal cualificado del CTCM y de AENOR, respectivamente. </w:t>
      </w:r>
    </w:p>
    <w:p w:rsidR="00AC680B" w:rsidRPr="00A71B61" w:rsidRDefault="00AC680B">
      <w:pPr>
        <w:rPr>
          <w:szCs w:val="20"/>
        </w:rPr>
      </w:pPr>
      <w:r w:rsidRPr="00A71B61">
        <w:rPr>
          <w:szCs w:val="20"/>
        </w:rPr>
        <w:br w:type="page"/>
      </w:r>
    </w:p>
    <w:p w:rsidR="00AC680B" w:rsidRPr="00A71B61" w:rsidRDefault="00AC680B" w:rsidP="00AC680B">
      <w:pPr>
        <w:spacing w:after="0" w:line="240" w:lineRule="auto"/>
        <w:rPr>
          <w:szCs w:val="20"/>
        </w:rPr>
      </w:pPr>
    </w:p>
    <w:p w:rsidR="008B4AA9" w:rsidRPr="003D5581" w:rsidRDefault="008B4AA9" w:rsidP="003D5581">
      <w:pPr>
        <w:pStyle w:val="Ttulo1"/>
      </w:pPr>
      <w:bookmarkStart w:id="91" w:name="_Toc56606667"/>
      <w:bookmarkStart w:id="92" w:name="_Toc90584906"/>
      <w:r w:rsidRPr="003D5581">
        <w:t xml:space="preserve">Formación, </w:t>
      </w:r>
      <w:r w:rsidR="008707AC" w:rsidRPr="003D5581">
        <w:t xml:space="preserve">Comunicaciones, </w:t>
      </w:r>
      <w:r w:rsidRPr="003D5581">
        <w:t>Publicaciones</w:t>
      </w:r>
      <w:bookmarkEnd w:id="91"/>
      <w:r w:rsidR="008707AC" w:rsidRPr="003D5581">
        <w:t xml:space="preserve"> y Actividad Investigadora</w:t>
      </w:r>
      <w:bookmarkEnd w:id="92"/>
    </w:p>
    <w:p w:rsidR="00EC7E86" w:rsidRPr="003D5581" w:rsidRDefault="00EC7E86" w:rsidP="003D5581">
      <w:pPr>
        <w:pStyle w:val="Ttulo2"/>
      </w:pPr>
      <w:bookmarkStart w:id="93" w:name="_Toc90584907"/>
      <w:r w:rsidRPr="003D5581">
        <w:t>P</w:t>
      </w:r>
      <w:r w:rsidR="00966BB8" w:rsidRPr="003D5581">
        <w:t>onencias y p</w:t>
      </w:r>
      <w:r w:rsidRPr="003D5581">
        <w:t>articipación en actividades formativas</w:t>
      </w:r>
      <w:bookmarkEnd w:id="93"/>
    </w:p>
    <w:p w:rsidR="00EC7E86" w:rsidRPr="00A71B61" w:rsidRDefault="00EC7E86" w:rsidP="00846064">
      <w:pPr>
        <w:pStyle w:val="Prrafodelista"/>
        <w:numPr>
          <w:ilvl w:val="0"/>
          <w:numId w:val="13"/>
        </w:numPr>
        <w:spacing w:before="130" w:after="130" w:line="240" w:lineRule="auto"/>
        <w:rPr>
          <w:rFonts w:asciiTheme="majorHAnsi" w:hAnsiTheme="majorHAnsi"/>
          <w:szCs w:val="20"/>
        </w:rPr>
      </w:pPr>
      <w:r w:rsidRPr="00A71B61">
        <w:rPr>
          <w:rFonts w:asciiTheme="majorHAnsi" w:hAnsiTheme="majorHAnsi"/>
          <w:szCs w:val="20"/>
        </w:rPr>
        <w:t xml:space="preserve">Varios facultativos del CTCM: Participación como docentes en el curso </w:t>
      </w:r>
      <w:r w:rsidRPr="00A71B61">
        <w:rPr>
          <w:rFonts w:asciiTheme="majorHAnsi" w:hAnsiTheme="majorHAnsi"/>
          <w:i/>
          <w:szCs w:val="20"/>
        </w:rPr>
        <w:t>on line</w:t>
      </w:r>
      <w:r w:rsidRPr="00A71B61">
        <w:rPr>
          <w:rFonts w:asciiTheme="majorHAnsi" w:hAnsiTheme="majorHAnsi"/>
          <w:szCs w:val="20"/>
        </w:rPr>
        <w:t xml:space="preserve"> de formación continuada organizado por Werfen y avalado por la SETS </w:t>
      </w:r>
      <w:r w:rsidRPr="00A71B61">
        <w:rPr>
          <w:rFonts w:asciiTheme="majorHAnsi" w:hAnsiTheme="majorHAnsi"/>
          <w:i/>
          <w:szCs w:val="20"/>
        </w:rPr>
        <w:t>“Más allá de la donación de sangre, 2ª edición</w:t>
      </w:r>
      <w:r w:rsidR="00B65CFB" w:rsidRPr="00A71B61">
        <w:rPr>
          <w:rFonts w:asciiTheme="majorHAnsi" w:hAnsiTheme="majorHAnsi"/>
          <w:szCs w:val="20"/>
        </w:rPr>
        <w:t>”</w:t>
      </w:r>
      <w:r w:rsidRPr="00A71B61">
        <w:rPr>
          <w:rFonts w:asciiTheme="majorHAnsi" w:hAnsiTheme="majorHAnsi"/>
          <w:szCs w:val="20"/>
        </w:rPr>
        <w:t>. Octubre 2019-Julio-2020. Acreditado por la Comisión de Formación continuada de las profesiones sanitarias de la Comunidad de Madrid con 5,9 créditos (expediente 07-AFOC-03522.2/2019).</w:t>
      </w:r>
    </w:p>
    <w:p w:rsidR="00EC7E86" w:rsidRPr="00A71B61" w:rsidRDefault="00EC7E86" w:rsidP="00846064">
      <w:pPr>
        <w:pStyle w:val="Default"/>
        <w:numPr>
          <w:ilvl w:val="0"/>
          <w:numId w:val="13"/>
        </w:numPr>
        <w:spacing w:before="130" w:after="130" w:line="276" w:lineRule="auto"/>
        <w:jc w:val="both"/>
        <w:rPr>
          <w:rFonts w:asciiTheme="majorHAnsi" w:hAnsiTheme="majorHAnsi"/>
          <w:color w:val="auto"/>
          <w:sz w:val="20"/>
          <w:szCs w:val="20"/>
        </w:rPr>
      </w:pPr>
      <w:r w:rsidRPr="00A71B61">
        <w:rPr>
          <w:rFonts w:asciiTheme="majorHAnsi" w:hAnsiTheme="majorHAnsi"/>
          <w:color w:val="auto"/>
          <w:sz w:val="20"/>
          <w:szCs w:val="20"/>
        </w:rPr>
        <w:t xml:space="preserve">Dra. Luisa Barea: Participación como docente </w:t>
      </w:r>
      <w:r w:rsidRPr="00A71B61">
        <w:rPr>
          <w:rFonts w:asciiTheme="majorHAnsi" w:hAnsiTheme="majorHAnsi"/>
          <w:i/>
          <w:color w:val="auto"/>
          <w:sz w:val="20"/>
          <w:szCs w:val="20"/>
        </w:rPr>
        <w:t>en el curso on line “Bancos de Sangre e Inmunohematología”</w:t>
      </w:r>
      <w:r w:rsidRPr="00A71B61">
        <w:rPr>
          <w:rFonts w:asciiTheme="majorHAnsi" w:hAnsiTheme="majorHAnsi"/>
          <w:color w:val="auto"/>
          <w:sz w:val="20"/>
          <w:szCs w:val="20"/>
        </w:rPr>
        <w:t xml:space="preserve"> organizado por la </w:t>
      </w:r>
      <w:r w:rsidRPr="00A71B61">
        <w:rPr>
          <w:rFonts w:asciiTheme="majorHAnsi" w:hAnsiTheme="majorHAnsi" w:cs="Arial"/>
          <w:i/>
          <w:color w:val="auto"/>
          <w:sz w:val="20"/>
          <w:szCs w:val="20"/>
        </w:rPr>
        <w:t>División de Productos Biológicos, Terapias Avanzadas y Biotecnología. Departamento de Medicamentos de Uso Humano de</w:t>
      </w:r>
      <w:r w:rsidRPr="00A71B61">
        <w:rPr>
          <w:rFonts w:asciiTheme="majorHAnsi" w:hAnsiTheme="majorHAnsi" w:cs="Arial"/>
          <w:color w:val="auto"/>
          <w:sz w:val="20"/>
          <w:szCs w:val="20"/>
        </w:rPr>
        <w:t xml:space="preserve"> </w:t>
      </w:r>
      <w:r w:rsidRPr="00A71B61">
        <w:rPr>
          <w:rFonts w:asciiTheme="majorHAnsi" w:hAnsiTheme="majorHAnsi"/>
          <w:color w:val="auto"/>
          <w:sz w:val="20"/>
          <w:szCs w:val="20"/>
        </w:rPr>
        <w:t>la Agencia Española de Medicamentos</w:t>
      </w:r>
    </w:p>
    <w:p w:rsidR="00EC7E86" w:rsidRPr="00A71B61" w:rsidRDefault="00EC7E86" w:rsidP="00846064">
      <w:pPr>
        <w:pStyle w:val="Default"/>
        <w:numPr>
          <w:ilvl w:val="0"/>
          <w:numId w:val="13"/>
        </w:numPr>
        <w:spacing w:before="130" w:after="130" w:line="276" w:lineRule="auto"/>
        <w:jc w:val="both"/>
        <w:rPr>
          <w:rFonts w:asciiTheme="majorHAnsi" w:hAnsiTheme="majorHAnsi"/>
          <w:color w:val="auto"/>
          <w:sz w:val="20"/>
          <w:szCs w:val="20"/>
          <w:lang w:val="en-US"/>
        </w:rPr>
      </w:pPr>
      <w:r w:rsidRPr="00A71B61">
        <w:rPr>
          <w:rFonts w:asciiTheme="majorHAnsi" w:hAnsiTheme="majorHAnsi"/>
          <w:color w:val="auto"/>
          <w:sz w:val="20"/>
          <w:szCs w:val="20"/>
          <w:lang w:val="en-US"/>
        </w:rPr>
        <w:t xml:space="preserve">Dra. Luisa Barea: Participación como ponente en la Webinar </w:t>
      </w:r>
      <w:r w:rsidR="00B65CFB" w:rsidRPr="00A71B61">
        <w:rPr>
          <w:rFonts w:asciiTheme="majorHAnsi" w:hAnsiTheme="majorHAnsi"/>
          <w:color w:val="auto"/>
          <w:sz w:val="20"/>
          <w:szCs w:val="20"/>
          <w:lang w:val="en-US"/>
        </w:rPr>
        <w:t>“</w:t>
      </w:r>
      <w:r w:rsidRPr="00A71B61">
        <w:rPr>
          <w:rFonts w:asciiTheme="majorHAnsi" w:hAnsiTheme="majorHAnsi"/>
          <w:i/>
          <w:color w:val="auto"/>
          <w:sz w:val="20"/>
          <w:szCs w:val="20"/>
          <w:lang w:val="en-US"/>
        </w:rPr>
        <w:t>How to be prepared for the next outbreak? From vision to reality”</w:t>
      </w:r>
      <w:r w:rsidRPr="00A71B61">
        <w:rPr>
          <w:rFonts w:asciiTheme="majorHAnsi" w:hAnsiTheme="majorHAnsi"/>
          <w:color w:val="auto"/>
          <w:sz w:val="20"/>
          <w:szCs w:val="20"/>
          <w:lang w:val="en-US"/>
        </w:rPr>
        <w:t xml:space="preserve"> organizada por Cerus el Jueves 15 de Octubre de 2020, con la presentación “COVID-19: Lessons learnt to safeguard the continuity of blood supply in the Madrid region”.</w:t>
      </w:r>
    </w:p>
    <w:p w:rsidR="00EC7E86" w:rsidRPr="00A71B61" w:rsidRDefault="00EC7E86" w:rsidP="00846064">
      <w:pPr>
        <w:pStyle w:val="Default"/>
        <w:numPr>
          <w:ilvl w:val="0"/>
          <w:numId w:val="13"/>
        </w:numPr>
        <w:tabs>
          <w:tab w:val="clear" w:pos="360"/>
          <w:tab w:val="num" w:pos="-336"/>
        </w:tabs>
        <w:spacing w:before="130"/>
        <w:jc w:val="both"/>
        <w:rPr>
          <w:rFonts w:asciiTheme="majorHAnsi" w:hAnsiTheme="majorHAnsi" w:cs="Arial"/>
          <w:color w:val="auto"/>
          <w:sz w:val="20"/>
          <w:szCs w:val="20"/>
        </w:rPr>
      </w:pPr>
      <w:r w:rsidRPr="00A71B61">
        <w:rPr>
          <w:rFonts w:asciiTheme="majorHAnsi" w:hAnsiTheme="majorHAnsi"/>
          <w:color w:val="auto"/>
          <w:sz w:val="20"/>
          <w:szCs w:val="20"/>
        </w:rPr>
        <w:t>Dra. Ana Mª Arruga Manzano: Participación como ponente en el Congreso Extraordinario AMHH, Asociación Madrileña de Hematología y Hemoterapiacelebrado los días 16-18 de septiembre de 2020, Edición virtual con la ponencia “</w:t>
      </w:r>
      <w:r w:rsidRPr="00A71B61">
        <w:rPr>
          <w:rFonts w:asciiTheme="majorHAnsi" w:hAnsiTheme="majorHAnsi"/>
          <w:bCs/>
          <w:color w:val="auto"/>
          <w:sz w:val="20"/>
          <w:szCs w:val="20"/>
        </w:rPr>
        <w:t>Uso de plasma hiperinmune en COVID-19”.</w:t>
      </w:r>
    </w:p>
    <w:p w:rsidR="00EC7E86" w:rsidRPr="00A71B61" w:rsidRDefault="00EC7E86" w:rsidP="00846064">
      <w:pPr>
        <w:pStyle w:val="Default"/>
        <w:numPr>
          <w:ilvl w:val="0"/>
          <w:numId w:val="13"/>
        </w:numPr>
        <w:tabs>
          <w:tab w:val="clear" w:pos="360"/>
          <w:tab w:val="num" w:pos="-336"/>
        </w:tabs>
        <w:spacing w:before="130"/>
        <w:jc w:val="both"/>
        <w:rPr>
          <w:color w:val="auto"/>
          <w:sz w:val="20"/>
          <w:szCs w:val="20"/>
          <w:lang w:val="en-US"/>
        </w:rPr>
      </w:pPr>
      <w:r w:rsidRPr="00A71B61">
        <w:rPr>
          <w:rFonts w:asciiTheme="majorHAnsi" w:hAnsiTheme="majorHAnsi" w:cs="Arial"/>
          <w:bCs/>
          <w:color w:val="auto"/>
          <w:sz w:val="20"/>
          <w:szCs w:val="20"/>
        </w:rPr>
        <w:t>Workshop LABCLIN 2020, Ortho Clinical Diagnostic “COVID-19: perspectiva y avances. Del diagnóstico a la validación de la terapia”, 10 noviembre 2020 19-20:30h.</w:t>
      </w:r>
      <w:r w:rsidRPr="00A71B61">
        <w:rPr>
          <w:rFonts w:asciiTheme="majorHAnsi" w:hAnsiTheme="majorHAnsi" w:cs="Arial"/>
          <w:b/>
          <w:bCs/>
          <w:color w:val="auto"/>
          <w:sz w:val="20"/>
          <w:szCs w:val="20"/>
        </w:rPr>
        <w:t xml:space="preserve"> </w:t>
      </w:r>
      <w:r w:rsidRPr="00A71B61">
        <w:rPr>
          <w:rFonts w:asciiTheme="majorHAnsi" w:hAnsiTheme="majorHAnsi" w:cs="Arial"/>
          <w:color w:val="auto"/>
          <w:sz w:val="20"/>
          <w:szCs w:val="20"/>
        </w:rPr>
        <w:t xml:space="preserve"> Ponentes: Dra. Ana María Arruga Manzano </w:t>
      </w:r>
      <w:r w:rsidRPr="00A71B61">
        <w:rPr>
          <w:rFonts w:asciiTheme="majorHAnsi" w:hAnsiTheme="majorHAnsi" w:cs="Arial"/>
          <w:i/>
          <w:iCs/>
          <w:color w:val="auto"/>
          <w:sz w:val="20"/>
          <w:szCs w:val="20"/>
        </w:rPr>
        <w:t xml:space="preserve">- Centro de Transfusión de la Comunidad de Madrid, Madrid. </w:t>
      </w:r>
      <w:r w:rsidRPr="00A71B61">
        <w:rPr>
          <w:rFonts w:asciiTheme="majorHAnsi" w:hAnsiTheme="majorHAnsi" w:cs="Arial"/>
          <w:color w:val="auto"/>
          <w:sz w:val="20"/>
          <w:szCs w:val="20"/>
        </w:rPr>
        <w:t xml:space="preserve">Dr. José Luis Vicario Moreno </w:t>
      </w:r>
      <w:r w:rsidRPr="00A71B61">
        <w:rPr>
          <w:rFonts w:asciiTheme="majorHAnsi" w:hAnsiTheme="majorHAnsi" w:cs="Arial"/>
          <w:i/>
          <w:iCs/>
          <w:color w:val="auto"/>
          <w:sz w:val="20"/>
          <w:szCs w:val="20"/>
        </w:rPr>
        <w:t xml:space="preserve">- Centro de Transfusión de la Comunidad de Madrid, Madrid. </w:t>
      </w:r>
      <w:r w:rsidRPr="00A71B61">
        <w:rPr>
          <w:rFonts w:asciiTheme="majorHAnsi" w:hAnsiTheme="majorHAnsi" w:cs="Arial"/>
          <w:color w:val="auto"/>
          <w:sz w:val="20"/>
          <w:szCs w:val="20"/>
        </w:rPr>
        <w:t>Dra. Inmaculada Casa</w:t>
      </w:r>
      <w:r w:rsidRPr="00A71B61">
        <w:rPr>
          <w:rFonts w:asciiTheme="majorHAnsi" w:hAnsiTheme="majorHAnsi" w:cs="Arial"/>
          <w:i/>
          <w:iCs/>
          <w:color w:val="auto"/>
          <w:sz w:val="20"/>
          <w:szCs w:val="20"/>
        </w:rPr>
        <w:t xml:space="preserve">s </w:t>
      </w:r>
      <w:r w:rsidRPr="00A71B61">
        <w:rPr>
          <w:rFonts w:asciiTheme="majorHAnsi" w:hAnsiTheme="majorHAnsi" w:cs="Arial"/>
          <w:color w:val="auto"/>
          <w:sz w:val="20"/>
          <w:szCs w:val="20"/>
        </w:rPr>
        <w:t xml:space="preserve">Flecha </w:t>
      </w:r>
      <w:r w:rsidRPr="00A71B61">
        <w:rPr>
          <w:rFonts w:asciiTheme="majorHAnsi" w:hAnsiTheme="majorHAnsi" w:cs="Arial"/>
          <w:i/>
          <w:iCs/>
          <w:color w:val="auto"/>
          <w:sz w:val="20"/>
          <w:szCs w:val="20"/>
        </w:rPr>
        <w:t xml:space="preserve">- Centro Nacional de Microbiología, Instituto de Salud Carlos III, Madrid. </w:t>
      </w:r>
      <w:r w:rsidRPr="00A71B61">
        <w:rPr>
          <w:rFonts w:asciiTheme="majorHAnsi" w:hAnsiTheme="majorHAnsi" w:cs="Arial"/>
          <w:color w:val="auto"/>
          <w:sz w:val="20"/>
          <w:szCs w:val="20"/>
        </w:rPr>
        <w:t xml:space="preserve">Dr. Fernando Chaves </w:t>
      </w:r>
      <w:r w:rsidRPr="00A71B61">
        <w:rPr>
          <w:rFonts w:asciiTheme="majorHAnsi" w:hAnsiTheme="majorHAnsi" w:cs="Arial"/>
          <w:i/>
          <w:iCs/>
          <w:color w:val="auto"/>
          <w:sz w:val="20"/>
          <w:szCs w:val="20"/>
        </w:rPr>
        <w:t xml:space="preserve">- Ortho Clinical Diagnostics, EE.UU. NJ– Raritan. </w:t>
      </w:r>
      <w:r w:rsidRPr="00A71B61">
        <w:rPr>
          <w:rFonts w:asciiTheme="majorHAnsi" w:hAnsiTheme="majorHAnsi" w:cs="Arial"/>
          <w:color w:val="auto"/>
          <w:sz w:val="20"/>
          <w:szCs w:val="20"/>
          <w:lang w:val="en-US"/>
        </w:rPr>
        <w:t xml:space="preserve">Moderador: Dña. Mercedes Rey Pereira </w:t>
      </w:r>
      <w:r w:rsidRPr="00A71B61">
        <w:rPr>
          <w:rFonts w:asciiTheme="majorHAnsi" w:hAnsiTheme="majorHAnsi" w:cs="Arial"/>
          <w:i/>
          <w:iCs/>
          <w:color w:val="auto"/>
          <w:sz w:val="20"/>
          <w:szCs w:val="20"/>
          <w:lang w:val="en-US"/>
        </w:rPr>
        <w:t>- Ortho Clinical Diagnostics, Madrid.</w:t>
      </w:r>
    </w:p>
    <w:p w:rsidR="00EC7E86" w:rsidRPr="003D5581" w:rsidRDefault="00966BB8" w:rsidP="003D5581">
      <w:pPr>
        <w:pStyle w:val="Ttulo2"/>
      </w:pPr>
      <w:bookmarkStart w:id="94" w:name="_Toc90584908"/>
      <w:r w:rsidRPr="003D5581">
        <w:t>P</w:t>
      </w:r>
      <w:r w:rsidR="00EC7E86" w:rsidRPr="003D5581">
        <w:t>ublicaciones:</w:t>
      </w:r>
      <w:bookmarkEnd w:id="94"/>
    </w:p>
    <w:p w:rsidR="00966BB8" w:rsidRPr="00A71B61" w:rsidRDefault="00516F66" w:rsidP="00846064">
      <w:pPr>
        <w:pStyle w:val="Default"/>
        <w:numPr>
          <w:ilvl w:val="0"/>
          <w:numId w:val="14"/>
        </w:numPr>
        <w:spacing w:after="160" w:line="259" w:lineRule="auto"/>
        <w:ind w:left="426" w:hanging="426"/>
        <w:jc w:val="both"/>
        <w:rPr>
          <w:rFonts w:asciiTheme="majorHAnsi" w:hAnsiTheme="majorHAnsi"/>
          <w:color w:val="auto"/>
          <w:sz w:val="20"/>
          <w:szCs w:val="20"/>
          <w:lang w:val="en-US"/>
        </w:rPr>
      </w:pPr>
      <w:r w:rsidRPr="00A71B61">
        <w:rPr>
          <w:rFonts w:asciiTheme="majorHAnsi" w:hAnsiTheme="majorHAnsi"/>
          <w:iCs/>
          <w:color w:val="auto"/>
          <w:sz w:val="20"/>
          <w:szCs w:val="20"/>
          <w:lang w:val="en-US"/>
        </w:rPr>
        <w:t>“Overt and occult hepatitis B among immigrants and native blood donors in Madrid, Spain”. R. González, L. Barea, AM Arruga, A. Richart, V. Soriano. Terapeutic Advances in Infectious Diseases, 2020 Vol 7: 1-4 (PMID: 33489121, DOI: 10.1177/2049936120982122).</w:t>
      </w:r>
    </w:p>
    <w:p w:rsidR="00966BB8" w:rsidRPr="00A71B61" w:rsidRDefault="00516F66" w:rsidP="00846064">
      <w:pPr>
        <w:pStyle w:val="Default"/>
        <w:numPr>
          <w:ilvl w:val="0"/>
          <w:numId w:val="14"/>
        </w:numPr>
        <w:shd w:val="clear" w:color="auto" w:fill="FFFFFF"/>
        <w:spacing w:after="160" w:line="259" w:lineRule="auto"/>
        <w:ind w:left="360"/>
        <w:jc w:val="both"/>
        <w:rPr>
          <w:rStyle w:val="Hipervnculo"/>
          <w:rFonts w:asciiTheme="majorHAnsi" w:hAnsiTheme="majorHAnsi" w:cs="Arial"/>
          <w:color w:val="auto"/>
          <w:sz w:val="20"/>
          <w:szCs w:val="20"/>
          <w:u w:val="none"/>
          <w:lang w:val="en"/>
        </w:rPr>
      </w:pPr>
      <w:r w:rsidRPr="00A71B61">
        <w:rPr>
          <w:rFonts w:asciiTheme="majorHAnsi" w:hAnsiTheme="majorHAnsi"/>
          <w:iCs/>
          <w:color w:val="auto"/>
          <w:sz w:val="20"/>
          <w:szCs w:val="20"/>
          <w:lang w:val="en-US"/>
        </w:rPr>
        <w:t>“Evaluation of the Performance of Quotient MosaicQTM COVID-19 Professional Use Microarray Assay for the Detection of Antibodies to SARS CoV-2 in a Clinical Setting. Vicario JL, Alenda Asensi R, Lucea Gallego I, Sánchez Bonilla J, Sáez R, Clayton R, Robson D, Robb J, Barea Gar</w:t>
      </w:r>
      <w:r w:rsidR="00966BB8" w:rsidRPr="00A71B61">
        <w:rPr>
          <w:rFonts w:asciiTheme="majorHAnsi" w:hAnsiTheme="majorHAnsi"/>
          <w:iCs/>
          <w:color w:val="auto"/>
          <w:sz w:val="20"/>
          <w:szCs w:val="20"/>
          <w:lang w:val="en-US"/>
        </w:rPr>
        <w:t>cía L. Journal of Clinical.</w:t>
      </w:r>
    </w:p>
    <w:p w:rsidR="00966BB8" w:rsidRPr="00A71B61" w:rsidRDefault="00966BB8"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lastRenderedPageBreak/>
        <w:t>“</w:t>
      </w:r>
      <w:r w:rsidR="00395E82" w:rsidRPr="00A71B61">
        <w:rPr>
          <w:rFonts w:asciiTheme="majorHAnsi" w:hAnsiTheme="majorHAnsi" w:cs="Arial"/>
          <w:color w:val="auto"/>
          <w:sz w:val="20"/>
          <w:szCs w:val="20"/>
          <w:lang w:val="en"/>
        </w:rPr>
        <w:t>HLA-A</w:t>
      </w:r>
      <w:r w:rsidR="00395E82" w:rsidRPr="00A71B61">
        <w:rPr>
          <w:rFonts w:ascii="Cambria Math" w:hAnsi="Cambria Math" w:cs="Cambria Math"/>
          <w:color w:val="auto"/>
          <w:sz w:val="20"/>
          <w:szCs w:val="20"/>
          <w:lang w:val="en"/>
        </w:rPr>
        <w:t>∗</w:t>
      </w:r>
      <w:r w:rsidR="00395E82" w:rsidRPr="00A71B61">
        <w:rPr>
          <w:rFonts w:asciiTheme="majorHAnsi" w:hAnsiTheme="majorHAnsi" w:cs="Arial"/>
          <w:color w:val="auto"/>
          <w:sz w:val="20"/>
          <w:szCs w:val="20"/>
          <w:lang w:val="en"/>
        </w:rPr>
        <w:t>68, -A</w:t>
      </w:r>
      <w:r w:rsidR="00395E82" w:rsidRPr="00A71B61">
        <w:rPr>
          <w:rFonts w:ascii="Cambria Math" w:hAnsi="Cambria Math" w:cs="Cambria Math"/>
          <w:color w:val="auto"/>
          <w:sz w:val="20"/>
          <w:szCs w:val="20"/>
          <w:lang w:val="en"/>
        </w:rPr>
        <w:t>∗</w:t>
      </w:r>
      <w:r w:rsidR="00395E82" w:rsidRPr="00A71B61">
        <w:rPr>
          <w:rFonts w:asciiTheme="majorHAnsi" w:hAnsiTheme="majorHAnsi" w:cs="Arial"/>
          <w:color w:val="auto"/>
          <w:sz w:val="20"/>
          <w:szCs w:val="20"/>
          <w:lang w:val="en"/>
        </w:rPr>
        <w:t>11:01, and -A</w:t>
      </w:r>
      <w:r w:rsidR="00395E82" w:rsidRPr="00A71B61">
        <w:rPr>
          <w:rFonts w:ascii="Cambria Math" w:hAnsi="Cambria Math" w:cs="Cambria Math"/>
          <w:color w:val="auto"/>
          <w:sz w:val="20"/>
          <w:szCs w:val="20"/>
          <w:lang w:val="en"/>
        </w:rPr>
        <w:t>∗</w:t>
      </w:r>
      <w:r w:rsidR="00395E82" w:rsidRPr="00A71B61">
        <w:rPr>
          <w:rFonts w:asciiTheme="majorHAnsi" w:hAnsiTheme="majorHAnsi" w:cs="Arial"/>
          <w:color w:val="auto"/>
          <w:sz w:val="20"/>
          <w:szCs w:val="20"/>
          <w:lang w:val="en"/>
        </w:rPr>
        <w:t>29:02 alleles are strongly associated with benznidazole-induced maculopapular exanthema (MPE)/DRESS</w:t>
      </w:r>
      <w:r w:rsidRPr="00A71B61">
        <w:rPr>
          <w:rFonts w:asciiTheme="majorHAnsi" w:hAnsiTheme="majorHAnsi" w:cs="Arial"/>
          <w:color w:val="auto"/>
          <w:sz w:val="20"/>
          <w:szCs w:val="20"/>
          <w:lang w:val="en"/>
        </w:rPr>
        <w:t>”</w:t>
      </w:r>
      <w:r w:rsidR="00395E82" w:rsidRPr="00A71B61">
        <w:rPr>
          <w:rFonts w:asciiTheme="majorHAnsi" w:hAnsiTheme="majorHAnsi" w:cs="Arial"/>
          <w:color w:val="auto"/>
          <w:sz w:val="20"/>
          <w:szCs w:val="20"/>
          <w:lang w:val="en"/>
        </w:rPr>
        <w:t xml:space="preserve">. </w:t>
      </w:r>
      <w:r w:rsidR="00395E82" w:rsidRPr="00A71B61">
        <w:rPr>
          <w:rFonts w:asciiTheme="majorHAnsi" w:hAnsiTheme="majorHAnsi" w:cs="Arial"/>
          <w:color w:val="auto"/>
          <w:sz w:val="20"/>
          <w:szCs w:val="20"/>
        </w:rPr>
        <w:t xml:space="preserve">Balas A, Ramírez E, Trigo E, Cabañas R, Fiandor A, Arsuaga M, Lerma V, Sanz B, Vicario JL, Herranz P, de Abajo F, Bellón T. J Allergy Clin Immunol Pract. </w:t>
      </w:r>
      <w:r w:rsidR="00395E82" w:rsidRPr="00A71B61">
        <w:rPr>
          <w:rFonts w:asciiTheme="majorHAnsi" w:hAnsiTheme="majorHAnsi" w:cs="Arial"/>
          <w:color w:val="auto"/>
          <w:sz w:val="20"/>
          <w:szCs w:val="20"/>
          <w:lang w:val="en"/>
        </w:rPr>
        <w:t>2020;8:3198-3200.e3. doi: 10.1016/j.jaip.2020.05.004.</w:t>
      </w:r>
      <w:r w:rsidRPr="00A71B61">
        <w:rPr>
          <w:rFonts w:asciiTheme="majorHAnsi" w:hAnsiTheme="majorHAnsi" w:cs="Arial"/>
          <w:color w:val="auto"/>
          <w:sz w:val="20"/>
          <w:szCs w:val="20"/>
          <w:lang w:val="en"/>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Twelve new HLA class I alleles described in the Spanish population. </w:t>
      </w:r>
      <w:r w:rsidRPr="00A71B61">
        <w:rPr>
          <w:rFonts w:asciiTheme="majorHAnsi" w:hAnsiTheme="majorHAnsi" w:cs="Arial"/>
          <w:color w:val="auto"/>
          <w:sz w:val="20"/>
          <w:szCs w:val="20"/>
        </w:rPr>
        <w:t>Balas A, Moreno-Hidalgo MA, Alenda R, García-Sánchez F, Vicario JL.HLA. 2020;96:85-86. doi: 10.1111/tan.13848.</w:t>
      </w:r>
      <w:r w:rsidR="00966BB8" w:rsidRPr="00A71B61">
        <w:rPr>
          <w:rFonts w:asciiTheme="majorHAnsi" w:hAnsiTheme="majorHAnsi" w:cs="Arial"/>
          <w:color w:val="auto"/>
          <w:sz w:val="20"/>
          <w:szCs w:val="20"/>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Characterization of a novel HLA-DRB1*03 allele, DRB1*03:171. </w:t>
      </w:r>
      <w:r w:rsidRPr="00A71B61">
        <w:rPr>
          <w:rFonts w:asciiTheme="majorHAnsi" w:hAnsiTheme="majorHAnsi" w:cs="Arial"/>
          <w:color w:val="auto"/>
          <w:sz w:val="20"/>
          <w:szCs w:val="20"/>
        </w:rPr>
        <w:t>González-Escribano MF, Balas A, Muñoz-García R, Ortiz-Aljaro P, Vicario JL.HLA. 2020;96:108-109. doi: 10.1111/tan.13853.</w:t>
      </w:r>
      <w:r w:rsidR="00966BB8" w:rsidRPr="00A71B61">
        <w:rPr>
          <w:rFonts w:asciiTheme="majorHAnsi" w:hAnsiTheme="majorHAnsi" w:cs="Arial"/>
          <w:color w:val="auto"/>
          <w:sz w:val="20"/>
          <w:szCs w:val="20"/>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Identification of four new HLA alleles, HLA-B*40:455, -C*03:521, -C*03:04:81 and -DQB1*03:431. </w:t>
      </w:r>
      <w:r w:rsidRPr="00A71B61">
        <w:rPr>
          <w:rFonts w:asciiTheme="majorHAnsi" w:hAnsiTheme="majorHAnsi" w:cs="Arial"/>
          <w:color w:val="auto"/>
          <w:sz w:val="20"/>
          <w:szCs w:val="20"/>
        </w:rPr>
        <w:t>Balas A, Moreno-Hidalgo MA, Alenda R, García-Sánchez F, Vicario JL.HLA. 2020;96:219-220. doi: 10.1111/tan.13946.</w:t>
      </w:r>
      <w:r w:rsidR="00966BB8" w:rsidRPr="00A71B61">
        <w:rPr>
          <w:rFonts w:asciiTheme="majorHAnsi" w:hAnsiTheme="majorHAnsi" w:cs="Arial"/>
          <w:color w:val="auto"/>
          <w:sz w:val="20"/>
          <w:szCs w:val="20"/>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HLA-C*03:03:01:32 shows an alternative splicing producing a functional protein with an extended cytoplasmic tail. </w:t>
      </w:r>
      <w:r w:rsidRPr="00A71B61">
        <w:rPr>
          <w:rFonts w:asciiTheme="majorHAnsi" w:hAnsiTheme="majorHAnsi" w:cs="Arial"/>
          <w:color w:val="auto"/>
          <w:sz w:val="20"/>
          <w:szCs w:val="20"/>
        </w:rPr>
        <w:t>Balas A, Moreno-Hidalgo MA, Alenda R, García-Sánchez F, Vicario JL.HLA. 2020;96:523-525. doi: 10.1111/tan.13962.</w:t>
      </w:r>
      <w:r w:rsidR="00966BB8" w:rsidRPr="00A71B61">
        <w:rPr>
          <w:rFonts w:asciiTheme="majorHAnsi" w:hAnsiTheme="majorHAnsi" w:cs="Arial"/>
          <w:color w:val="auto"/>
          <w:sz w:val="20"/>
          <w:szCs w:val="20"/>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HLA-B*40:462 was likely generated by a recombination event between B*40:01:02 and B*13:02:01. </w:t>
      </w:r>
      <w:r w:rsidRPr="00A71B61">
        <w:rPr>
          <w:rFonts w:asciiTheme="majorHAnsi" w:hAnsiTheme="majorHAnsi" w:cs="Arial"/>
          <w:color w:val="auto"/>
          <w:sz w:val="20"/>
          <w:szCs w:val="20"/>
        </w:rPr>
        <w:t>Planelles D, Balas A, Guiral SA, Rodríguez-Cebria M, Vicario JL.HLA. 2020;96:518-519. doi: 10.1111/tan.13994.</w:t>
      </w:r>
      <w:r w:rsidR="00966BB8" w:rsidRPr="00A71B61">
        <w:rPr>
          <w:rFonts w:asciiTheme="majorHAnsi" w:hAnsiTheme="majorHAnsi" w:cs="Arial"/>
          <w:color w:val="auto"/>
          <w:sz w:val="20"/>
          <w:szCs w:val="20"/>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High-Risk Sexual Practices Contribute to HIV-1 Double Infection Among Men Who Have Sex with Men in Madrid. </w:t>
      </w:r>
      <w:r w:rsidRPr="00A71B61">
        <w:rPr>
          <w:rFonts w:asciiTheme="majorHAnsi" w:hAnsiTheme="majorHAnsi" w:cs="Arial"/>
          <w:color w:val="auto"/>
          <w:sz w:val="20"/>
          <w:szCs w:val="20"/>
        </w:rPr>
        <w:t xml:space="preserve">Casado C, Pernas M, Rava M, Ayerdi O, Vera M, Alenda R, Jiménez P, Docando F, Olivares I, Zaballos A, Vicario JL, Rodríguez C, Del Romero J, Lopez-Galindez C.AIDS Res Hum Retroviruses. </w:t>
      </w:r>
      <w:r w:rsidRPr="00A71B61">
        <w:rPr>
          <w:rFonts w:asciiTheme="majorHAnsi" w:hAnsiTheme="majorHAnsi" w:cs="Arial"/>
          <w:color w:val="auto"/>
          <w:sz w:val="20"/>
          <w:szCs w:val="20"/>
          <w:lang w:val="en"/>
        </w:rPr>
        <w:t>2020;36:896-904. doi: 10.1089/AID.2020.0068.</w:t>
      </w:r>
      <w:r w:rsidR="00966BB8" w:rsidRPr="00A71B61">
        <w:rPr>
          <w:rFonts w:asciiTheme="majorHAnsi" w:hAnsiTheme="majorHAnsi" w:cs="Arial"/>
          <w:color w:val="auto"/>
          <w:sz w:val="20"/>
          <w:szCs w:val="20"/>
          <w:lang w:val="en"/>
        </w:rPr>
        <w:t xml:space="preserve"> </w:t>
      </w:r>
    </w:p>
    <w:p w:rsidR="00966BB8" w:rsidRPr="00A71B61" w:rsidRDefault="00395E82" w:rsidP="00846064">
      <w:pPr>
        <w:pStyle w:val="Default"/>
        <w:numPr>
          <w:ilvl w:val="0"/>
          <w:numId w:val="14"/>
        </w:numPr>
        <w:shd w:val="clear" w:color="auto" w:fill="FFFFFF"/>
        <w:spacing w:after="160" w:line="259" w:lineRule="auto"/>
        <w:ind w:left="360"/>
        <w:jc w:val="both"/>
        <w:rPr>
          <w:rFonts w:asciiTheme="majorHAnsi" w:hAnsiTheme="majorHAnsi" w:cs="Arial"/>
          <w:color w:val="auto"/>
          <w:sz w:val="20"/>
          <w:szCs w:val="20"/>
        </w:rPr>
      </w:pPr>
      <w:r w:rsidRPr="00A71B61">
        <w:rPr>
          <w:rFonts w:asciiTheme="majorHAnsi" w:hAnsiTheme="majorHAnsi" w:cs="Arial"/>
          <w:color w:val="auto"/>
          <w:sz w:val="20"/>
          <w:szCs w:val="20"/>
          <w:lang w:val="en"/>
        </w:rPr>
        <w:t xml:space="preserve">Novel HLA-DPB1 alleles in Spanish individuals: DPB1*02:01:57, DPB1*17:01:04, DPB1*1117:01 and DPB1*1124:01. </w:t>
      </w:r>
      <w:r w:rsidRPr="00A71B61">
        <w:rPr>
          <w:rFonts w:asciiTheme="majorHAnsi" w:hAnsiTheme="majorHAnsi" w:cs="Arial"/>
          <w:color w:val="auto"/>
          <w:sz w:val="20"/>
          <w:szCs w:val="20"/>
        </w:rPr>
        <w:t>Balas A, Planelles D, Moreno-Hidalgo MA, Rodríguez-Cebria M, Vicario JL. HLA. 2020;96:757-758. doi: 10.1111/tan.14075.</w:t>
      </w:r>
      <w:r w:rsidR="00966BB8" w:rsidRPr="00A71B61">
        <w:rPr>
          <w:rFonts w:asciiTheme="majorHAnsi" w:hAnsiTheme="majorHAnsi" w:cs="Arial"/>
          <w:color w:val="auto"/>
          <w:sz w:val="20"/>
          <w:szCs w:val="20"/>
        </w:rPr>
        <w:t xml:space="preserve"> </w:t>
      </w:r>
    </w:p>
    <w:p w:rsidR="00966BB8" w:rsidRPr="00A71B61" w:rsidRDefault="00395E82" w:rsidP="00846064">
      <w:pPr>
        <w:pStyle w:val="Default"/>
        <w:numPr>
          <w:ilvl w:val="0"/>
          <w:numId w:val="14"/>
        </w:numPr>
        <w:shd w:val="clear" w:color="auto" w:fill="FFFFFF"/>
        <w:spacing w:after="160" w:line="259" w:lineRule="auto"/>
        <w:ind w:left="426"/>
        <w:jc w:val="both"/>
        <w:rPr>
          <w:rFonts w:asciiTheme="majorHAnsi" w:hAnsiTheme="majorHAnsi" w:cs="Arial"/>
          <w:color w:val="auto"/>
          <w:sz w:val="20"/>
          <w:szCs w:val="20"/>
          <w:lang w:val="it-IT"/>
        </w:rPr>
      </w:pPr>
      <w:r w:rsidRPr="00A71B61">
        <w:rPr>
          <w:rFonts w:asciiTheme="majorHAnsi" w:hAnsiTheme="majorHAnsi" w:cs="Arial"/>
          <w:color w:val="auto"/>
          <w:sz w:val="20"/>
          <w:szCs w:val="20"/>
          <w:lang w:val="en"/>
        </w:rPr>
        <w:t>Exome sequencing reveals heterogeneous clonal dynamics in donor cell myeloid neoplasms after stem cell transplantation. Suárez-González J, Triviño JC, Bautista G, García-Marco JA, Figuera Á, Balas A, Vicario JL, Ortuño FJ, Teruel R, María Álamo J, Carbonell D, Andrés-Zayas C, Dorado N, Rodríguez-Macías G, Kwon M, Díez-Martín JL, Martínez-Laperche C, Buño I, Spanish Group For Hematopoietic Transplantation Geth. Haematologica. 2020;105:2655-2658. doi: 10.3324/haematol.2019.234609.</w:t>
      </w:r>
      <w:r w:rsidR="00966BB8" w:rsidRPr="00A71B61">
        <w:rPr>
          <w:rFonts w:asciiTheme="majorHAnsi" w:hAnsiTheme="majorHAnsi" w:cs="Arial"/>
          <w:color w:val="auto"/>
          <w:sz w:val="20"/>
          <w:szCs w:val="20"/>
          <w:lang w:val="en"/>
        </w:rPr>
        <w:t xml:space="preserve"> </w:t>
      </w:r>
    </w:p>
    <w:p w:rsidR="00966BB8" w:rsidRPr="00A71B61" w:rsidRDefault="00395E82" w:rsidP="00846064">
      <w:pPr>
        <w:pStyle w:val="Default"/>
        <w:numPr>
          <w:ilvl w:val="0"/>
          <w:numId w:val="14"/>
        </w:numPr>
        <w:shd w:val="clear" w:color="auto" w:fill="FFFFFF"/>
        <w:spacing w:after="160" w:line="259" w:lineRule="auto"/>
        <w:ind w:left="426"/>
        <w:jc w:val="both"/>
        <w:rPr>
          <w:rFonts w:asciiTheme="majorHAnsi" w:hAnsiTheme="majorHAnsi" w:cs="Arial"/>
          <w:color w:val="auto"/>
          <w:sz w:val="20"/>
          <w:szCs w:val="20"/>
          <w:lang w:val="it-IT"/>
        </w:rPr>
      </w:pPr>
      <w:r w:rsidRPr="00A71B61">
        <w:rPr>
          <w:rFonts w:asciiTheme="majorHAnsi" w:hAnsiTheme="majorHAnsi" w:cs="Arial"/>
          <w:color w:val="auto"/>
          <w:sz w:val="20"/>
          <w:szCs w:val="20"/>
          <w:lang w:val="en"/>
        </w:rPr>
        <w:t xml:space="preserve">Genomewide Association Study of Severe Covid-19 with Respiratory Failure. Severe Covid-19 GWAS Group, Ellinghaus D, Degenhardt F, Bujanda L, Buti M, Albillos A, Invernizzi P, Fernández J, Prati D, Baselli G, Asselta R, Grimsrud MM, Milani C, Aziz F, Kässens J, May S, Wendorff M, Wienbrandt L, Uellendahl-Werth F, Zheng T, Yi X, de Pablo R, Chercoles AG, Palom A, </w:t>
      </w:r>
      <w:r w:rsidRPr="00A71B61">
        <w:rPr>
          <w:rFonts w:asciiTheme="majorHAnsi" w:hAnsiTheme="majorHAnsi" w:cs="Arial"/>
          <w:color w:val="auto"/>
          <w:sz w:val="20"/>
          <w:szCs w:val="20"/>
          <w:lang w:val="en"/>
        </w:rPr>
        <w:lastRenderedPageBreak/>
        <w:t xml:space="preserve">Garcia-Fernandez AE, Rodriguez-Frias F, Zanella A, Bandera A, Protti A, Aghemo A, Lleo A, Biondi A, Caballero-Garralda A, Gori A, Tanck A, Carreras Nolla A, Latiano A, Fracanzani AL, Peschuck A, Julià A, Pesenti A, Voza A, Jiménez D, Mateos B, Nafria Jimenez B, Quereda C, Paccapelo C, Gassner C, Angelini C, Cea C, Solier A, Pestaña D, Muñiz-Diaz E, Sandoval E, Paraboschi EM, Navas E, García Sánchez F, Ceriotti F, Martinelli-Boneschi F, Peyvandi F, Blasi F, Téllez L, Blanco-Grau A, Hemmrich-Stanisak G, Grasselli G, Costantino G, Cardamone G, Foti G, Aneli S, Kurihara H, ElAbd H, My I, Galván-Femenia I, Martín J, Erdmann J, Ferrusquía-Acosta J, Garcia-Etxebarria K, Izquierdo-Sanchez L, Bettini LR, Sumoy L, Terranova L, Moreira L, Santoro L, Scudeller L, Mesonero F, Roade L, Rühlemann MC, Schaefer M, Carrabba M, Riveiro-Barciela M, Figuera Basso ME, Valsecchi MG, Hernandez-Tejero M, Acosta-Herrera M, D'Angiò M, Baldini M, Cazzaniga M, Schulzky M, Cecconi M, Wittig M, Ciccarelli M, Rodríguez-Gandía M, Bocciolone M, Miozzo M, Montano N, Braun N, Sacchi N, Martínez N, Özer O, Palmieri O, Faverio P, Preatoni P, Bonfanti P, Omodei P, Tentorio P, Castro P, Rodrigues PM, Blandino Ortiz A, de Cid R, Ferrer R, Gualtierotti R, Nieto R, Goerg S, Badalamenti S, Marsal S, Matullo G, Pelusi S, Juzenas S, Aliberti S, Monzani V, Moreno V, Wesse T, Lenz TL, Pumarola T, Rimoldi V, Bosari S, Albrecht W, Peter W, Romero-Gómez M, D'Amato M, Duga S, Banales JM, Hov JR, Folseraas T, Valenti L, Franke A, Karlsen TH. </w:t>
      </w:r>
      <w:r w:rsidRPr="00A71B61">
        <w:rPr>
          <w:rFonts w:asciiTheme="majorHAnsi" w:hAnsiTheme="majorHAnsi" w:cs="Arial"/>
          <w:color w:val="auto"/>
          <w:sz w:val="20"/>
          <w:szCs w:val="20"/>
        </w:rPr>
        <w:t>N Engl J Med. 2020;383:1522-1534. doi: 10.1056/NEJMoa2020283.</w:t>
      </w:r>
    </w:p>
    <w:p w:rsidR="00966BB8" w:rsidRPr="00A71B61" w:rsidRDefault="00966BB8" w:rsidP="00846064">
      <w:pPr>
        <w:pStyle w:val="Default"/>
        <w:numPr>
          <w:ilvl w:val="0"/>
          <w:numId w:val="14"/>
        </w:numPr>
        <w:shd w:val="clear" w:color="auto" w:fill="FFFFFF"/>
        <w:spacing w:after="160" w:line="259" w:lineRule="auto"/>
        <w:ind w:left="426"/>
        <w:jc w:val="both"/>
        <w:rPr>
          <w:rFonts w:asciiTheme="majorHAnsi" w:hAnsiTheme="majorHAnsi" w:cs="Arial"/>
          <w:color w:val="auto"/>
          <w:sz w:val="20"/>
          <w:szCs w:val="20"/>
          <w:lang w:val="it-IT"/>
        </w:rPr>
      </w:pPr>
      <w:r w:rsidRPr="00A71B61">
        <w:rPr>
          <w:rFonts w:asciiTheme="majorHAnsi" w:hAnsiTheme="majorHAnsi"/>
          <w:color w:val="auto"/>
          <w:sz w:val="20"/>
          <w:szCs w:val="20"/>
          <w:lang w:val="en-US"/>
        </w:rPr>
        <w:t>“Evaluation of the specificity provided by ALINITY S versus PRISM (HBsAg), ACV-AB, HIV-Ag/Ab, and Architect (Shyfilis-Ab). 36</w:t>
      </w:r>
      <w:r w:rsidRPr="00A71B61">
        <w:rPr>
          <w:rFonts w:asciiTheme="majorHAnsi" w:hAnsiTheme="majorHAnsi"/>
          <w:color w:val="auto"/>
          <w:sz w:val="20"/>
          <w:szCs w:val="20"/>
          <w:vertAlign w:val="superscript"/>
          <w:lang w:val="en-US"/>
        </w:rPr>
        <w:t>th</w:t>
      </w:r>
      <w:r w:rsidRPr="00A71B61">
        <w:rPr>
          <w:rFonts w:asciiTheme="majorHAnsi" w:hAnsiTheme="majorHAnsi"/>
          <w:color w:val="auto"/>
          <w:sz w:val="20"/>
          <w:szCs w:val="20"/>
          <w:lang w:val="en-US"/>
        </w:rPr>
        <w:t xml:space="preserve"> International Congress of the ISBT, December 12-16, 2020.</w:t>
      </w:r>
    </w:p>
    <w:p w:rsidR="00966BB8" w:rsidRPr="00A71B61" w:rsidRDefault="00966BB8" w:rsidP="00846064">
      <w:pPr>
        <w:pStyle w:val="Default"/>
        <w:numPr>
          <w:ilvl w:val="0"/>
          <w:numId w:val="14"/>
        </w:numPr>
        <w:spacing w:after="160" w:line="259" w:lineRule="auto"/>
        <w:ind w:left="426"/>
        <w:jc w:val="both"/>
        <w:rPr>
          <w:rFonts w:asciiTheme="majorHAnsi" w:hAnsiTheme="majorHAnsi" w:cs="Arial"/>
          <w:color w:val="auto"/>
          <w:sz w:val="20"/>
          <w:szCs w:val="20"/>
          <w:lang w:val="it-IT"/>
        </w:rPr>
      </w:pPr>
      <w:r w:rsidRPr="00A71B61">
        <w:rPr>
          <w:rFonts w:asciiTheme="majorHAnsi" w:hAnsiTheme="majorHAnsi"/>
          <w:color w:val="auto"/>
          <w:sz w:val="20"/>
          <w:szCs w:val="20"/>
          <w:lang w:val="en-US"/>
        </w:rPr>
        <w:t xml:space="preserve"> “Chagas disease: Serological screening and clinical follow-up of blood donors in Madrid. </w:t>
      </w:r>
      <w:r w:rsidRPr="00A71B61">
        <w:rPr>
          <w:rFonts w:asciiTheme="majorHAnsi" w:hAnsiTheme="majorHAnsi" w:cs="Arial"/>
          <w:color w:val="auto"/>
          <w:sz w:val="20"/>
          <w:szCs w:val="20"/>
          <w:lang w:val="it-IT"/>
        </w:rPr>
        <w:t>A. Richart López, R. González Díez, I. García Sánchez, E. Trigo Esteban, R de Miguel Buckley, B. Comeche Fernández, C. Crespillo Andujar, M. Flores Chavez, L. Barea García.</w:t>
      </w:r>
      <w:r w:rsidRPr="00A71B61">
        <w:rPr>
          <w:rFonts w:asciiTheme="majorHAnsi" w:hAnsiTheme="majorHAnsi"/>
          <w:color w:val="auto"/>
          <w:sz w:val="20"/>
          <w:szCs w:val="20"/>
        </w:rPr>
        <w:t xml:space="preserve"> </w:t>
      </w:r>
      <w:r w:rsidRPr="00A71B61">
        <w:rPr>
          <w:rFonts w:asciiTheme="majorHAnsi" w:hAnsiTheme="majorHAnsi"/>
          <w:color w:val="auto"/>
          <w:sz w:val="20"/>
          <w:szCs w:val="20"/>
          <w:lang w:val="en-US"/>
        </w:rPr>
        <w:t>36</w:t>
      </w:r>
      <w:r w:rsidRPr="00A71B61">
        <w:rPr>
          <w:rFonts w:asciiTheme="majorHAnsi" w:hAnsiTheme="majorHAnsi"/>
          <w:color w:val="auto"/>
          <w:sz w:val="20"/>
          <w:szCs w:val="20"/>
          <w:vertAlign w:val="superscript"/>
          <w:lang w:val="en-US"/>
        </w:rPr>
        <w:t>th</w:t>
      </w:r>
      <w:r w:rsidRPr="00A71B61">
        <w:rPr>
          <w:rFonts w:asciiTheme="majorHAnsi" w:hAnsiTheme="majorHAnsi"/>
          <w:color w:val="auto"/>
          <w:sz w:val="20"/>
          <w:szCs w:val="20"/>
          <w:lang w:val="en-US"/>
        </w:rPr>
        <w:t xml:space="preserve"> International Congress of the ISBT, December 12-16, 2020.</w:t>
      </w:r>
    </w:p>
    <w:p w:rsidR="00966BB8" w:rsidRPr="00A71B61" w:rsidRDefault="00966BB8" w:rsidP="00846064">
      <w:pPr>
        <w:pStyle w:val="Prrafodelista"/>
        <w:numPr>
          <w:ilvl w:val="0"/>
          <w:numId w:val="14"/>
        </w:numPr>
        <w:ind w:left="426"/>
        <w:contextualSpacing w:val="0"/>
        <w:rPr>
          <w:rFonts w:asciiTheme="majorHAnsi" w:hAnsiTheme="majorHAnsi" w:cs="Arial"/>
          <w:szCs w:val="20"/>
          <w:lang w:val="it-IT"/>
        </w:rPr>
      </w:pPr>
      <w:r w:rsidRPr="00A71B61">
        <w:rPr>
          <w:rFonts w:asciiTheme="majorHAnsi" w:hAnsiTheme="majorHAnsi" w:cs="Arial"/>
          <w:szCs w:val="20"/>
          <w:lang w:val="it-IT"/>
        </w:rPr>
        <w:t xml:space="preserve">“Assesment of the effectiveness of donors selection process through the analysis of the prevalence of HIV, HBV and HCV in donors compared to taht of the total polpulation (2015-2019). R. González Díez, A. Richart López, A. Arruga Manzano, J. Rodríguez Gambarte, Y. Hermenegildo López, I. Lucea Gallego, R. Alenda Asensi, L Barea García. </w:t>
      </w:r>
      <w:r w:rsidRPr="00A71B61">
        <w:rPr>
          <w:rFonts w:asciiTheme="majorHAnsi" w:hAnsiTheme="majorHAnsi"/>
          <w:szCs w:val="20"/>
          <w:lang w:val="en-US"/>
        </w:rPr>
        <w:t>36</w:t>
      </w:r>
      <w:r w:rsidRPr="00A71B61">
        <w:rPr>
          <w:rFonts w:asciiTheme="majorHAnsi" w:hAnsiTheme="majorHAnsi"/>
          <w:szCs w:val="20"/>
          <w:vertAlign w:val="superscript"/>
          <w:lang w:val="en-US"/>
        </w:rPr>
        <w:t>th</w:t>
      </w:r>
      <w:r w:rsidRPr="00A71B61">
        <w:rPr>
          <w:rFonts w:asciiTheme="majorHAnsi" w:hAnsiTheme="majorHAnsi"/>
          <w:szCs w:val="20"/>
          <w:lang w:val="en-US"/>
        </w:rPr>
        <w:t xml:space="preserve"> International Congress of the ISBT, December 12-16, 2020.</w:t>
      </w:r>
    </w:p>
    <w:p w:rsidR="00966BB8" w:rsidRPr="00A71B61" w:rsidRDefault="00966BB8" w:rsidP="00846064">
      <w:pPr>
        <w:pStyle w:val="Prrafodelista"/>
        <w:numPr>
          <w:ilvl w:val="0"/>
          <w:numId w:val="14"/>
        </w:numPr>
        <w:ind w:left="426"/>
        <w:contextualSpacing w:val="0"/>
        <w:rPr>
          <w:rFonts w:asciiTheme="majorHAnsi" w:hAnsiTheme="majorHAnsi" w:cs="Arial"/>
          <w:szCs w:val="20"/>
          <w:lang w:val="it-IT"/>
        </w:rPr>
      </w:pPr>
      <w:r w:rsidRPr="00A71B61">
        <w:rPr>
          <w:rFonts w:asciiTheme="majorHAnsi" w:hAnsiTheme="majorHAnsi" w:cs="Arial"/>
          <w:szCs w:val="20"/>
          <w:lang w:val="it-IT"/>
        </w:rPr>
        <w:t>“Classification of Transfusion-Related Lung Injury complications according to the consensus redefinition of Transfusion-Related Acute Lung Injury”. A. M. Arruga Manzano, R. González Díez, A. Richart López, I. Lucea Gallego, J. Rodríguez Gambarte, Y Hermenegildo López, I. Villalba Mata, M. González Domínguez, L. Barea García.</w:t>
      </w:r>
      <w:r w:rsidRPr="00A71B61">
        <w:rPr>
          <w:rFonts w:asciiTheme="majorHAnsi" w:hAnsiTheme="majorHAnsi"/>
          <w:szCs w:val="20"/>
        </w:rPr>
        <w:t xml:space="preserve"> </w:t>
      </w:r>
      <w:r w:rsidRPr="00A71B61">
        <w:rPr>
          <w:rFonts w:asciiTheme="majorHAnsi" w:hAnsiTheme="majorHAnsi"/>
          <w:szCs w:val="20"/>
          <w:lang w:val="en-US"/>
        </w:rPr>
        <w:t>36</w:t>
      </w:r>
      <w:r w:rsidRPr="00A71B61">
        <w:rPr>
          <w:rFonts w:asciiTheme="majorHAnsi" w:hAnsiTheme="majorHAnsi"/>
          <w:szCs w:val="20"/>
          <w:vertAlign w:val="superscript"/>
          <w:lang w:val="en-US"/>
        </w:rPr>
        <w:t>th</w:t>
      </w:r>
      <w:r w:rsidRPr="00A71B61">
        <w:rPr>
          <w:rFonts w:asciiTheme="majorHAnsi" w:hAnsiTheme="majorHAnsi"/>
          <w:szCs w:val="20"/>
          <w:lang w:val="en-US"/>
        </w:rPr>
        <w:t xml:space="preserve"> International Congress of the ISBT, December 12-16, 2020.</w:t>
      </w:r>
    </w:p>
    <w:p w:rsidR="00966BB8" w:rsidRPr="00A71B61" w:rsidRDefault="00966BB8" w:rsidP="00846064">
      <w:pPr>
        <w:pStyle w:val="Prrafodelista"/>
        <w:numPr>
          <w:ilvl w:val="0"/>
          <w:numId w:val="14"/>
        </w:numPr>
        <w:autoSpaceDE w:val="0"/>
        <w:autoSpaceDN w:val="0"/>
        <w:adjustRightInd w:val="0"/>
        <w:ind w:left="284"/>
        <w:contextualSpacing w:val="0"/>
        <w:rPr>
          <w:rFonts w:asciiTheme="majorHAnsi" w:hAnsiTheme="majorHAnsi" w:cs="AdvTT6071803a.B"/>
          <w:szCs w:val="20"/>
          <w:lang w:val="en-US"/>
        </w:rPr>
      </w:pPr>
      <w:r w:rsidRPr="00A71B61">
        <w:rPr>
          <w:rFonts w:asciiTheme="majorHAnsi" w:hAnsiTheme="majorHAnsi" w:cs="Arial"/>
          <w:szCs w:val="20"/>
          <w:lang w:val="it-IT"/>
        </w:rPr>
        <w:lastRenderedPageBreak/>
        <w:t xml:space="preserve">Altruistic bone marrow donor promotion and registration campaign at the Universidad Politécnica de Madrid (UPM”. P. De la Peña, F. Martín, N. Vilela, M. Alonso, C. Tejeiro, J. Vicario, M.Olea, F. Jiménez, L. Barea. </w:t>
      </w:r>
      <w:r w:rsidRPr="00A71B61">
        <w:rPr>
          <w:rFonts w:asciiTheme="majorHAnsi" w:hAnsiTheme="majorHAnsi"/>
          <w:szCs w:val="20"/>
          <w:lang w:val="en-US"/>
        </w:rPr>
        <w:t>36</w:t>
      </w:r>
      <w:r w:rsidRPr="00A71B61">
        <w:rPr>
          <w:rFonts w:asciiTheme="majorHAnsi" w:hAnsiTheme="majorHAnsi"/>
          <w:szCs w:val="20"/>
          <w:vertAlign w:val="superscript"/>
          <w:lang w:val="en-US"/>
        </w:rPr>
        <w:t>th</w:t>
      </w:r>
      <w:r w:rsidRPr="00A71B61">
        <w:rPr>
          <w:rFonts w:asciiTheme="majorHAnsi" w:hAnsiTheme="majorHAnsi"/>
          <w:szCs w:val="20"/>
          <w:lang w:val="en-US"/>
        </w:rPr>
        <w:t xml:space="preserve"> International Congress of the ISBT, December 12-16</w:t>
      </w:r>
    </w:p>
    <w:p w:rsidR="00966BB8" w:rsidRPr="00A71B61" w:rsidRDefault="00966BB8" w:rsidP="00846064">
      <w:pPr>
        <w:pStyle w:val="Prrafodelista"/>
        <w:numPr>
          <w:ilvl w:val="0"/>
          <w:numId w:val="14"/>
        </w:numPr>
        <w:autoSpaceDE w:val="0"/>
        <w:autoSpaceDN w:val="0"/>
        <w:adjustRightInd w:val="0"/>
        <w:ind w:left="284"/>
        <w:contextualSpacing w:val="0"/>
        <w:rPr>
          <w:rFonts w:asciiTheme="majorHAnsi" w:hAnsiTheme="majorHAnsi"/>
          <w:szCs w:val="20"/>
        </w:rPr>
      </w:pPr>
      <w:r w:rsidRPr="00A71B61">
        <w:rPr>
          <w:rFonts w:asciiTheme="majorHAnsi" w:hAnsiTheme="majorHAnsi"/>
          <w:szCs w:val="20"/>
        </w:rPr>
        <w:t xml:space="preserve">Uso del plasma convaleciente en la pandemia COVID en la Comunidad Autónoma de Madrid: Nuevos retos con viejos recursos. </w:t>
      </w:r>
      <w:r w:rsidRPr="00A71B61">
        <w:rPr>
          <w:rFonts w:asciiTheme="majorHAnsi" w:hAnsiTheme="majorHAnsi" w:cs="StempelSchneidler-Roman"/>
          <w:szCs w:val="20"/>
        </w:rPr>
        <w:t>Arruga Manzano Ana Maria1, Martínez Fernández Raquel1, Vicario Moreno José Luis1, Rafel Quijada Cristina1, García Sánchez Félix1, Alenda Asensi Raquel1, Rodriguez Gambarte Juan Diego1, Lucea Gallego Irene1, Hermenegildo López Ygor Neil1, Richart López Luis Alberto1, González Diaz Rocío1, Villalba Mata Irene1, Peñafiel Montenegro Rafael2, Ruiz Tovar Matilde1, Balas López Antonio1, Mauri Mas Assumpta1, Anguita Velasco Javier3, Moreno Jiménez Gemma4, Sáez Serrano Maria Isabel5, Barea García Luisa María1</w:t>
      </w:r>
      <w:r w:rsidRPr="00A71B61">
        <w:rPr>
          <w:rFonts w:asciiTheme="majorHAnsi" w:hAnsiTheme="majorHAnsi"/>
          <w:szCs w:val="20"/>
        </w:rPr>
        <w:t>XLII Congreso Nacional SEHH XXXVI Congreso Nacional SETH Virtual.26-30 de octubre de 2020.</w:t>
      </w:r>
    </w:p>
    <w:p w:rsidR="00EC5BB4" w:rsidRPr="00A71B61" w:rsidRDefault="00EC5BB4">
      <w:pPr>
        <w:rPr>
          <w:rFonts w:asciiTheme="majorHAnsi" w:hAnsiTheme="majorHAnsi"/>
          <w:color w:val="70AD47" w:themeColor="accent6"/>
          <w:szCs w:val="20"/>
        </w:rPr>
      </w:pPr>
      <w:r w:rsidRPr="00A71B61">
        <w:rPr>
          <w:rFonts w:asciiTheme="majorHAnsi" w:hAnsiTheme="majorHAnsi"/>
          <w:color w:val="70AD47" w:themeColor="accent6"/>
          <w:szCs w:val="20"/>
        </w:rPr>
        <w:br w:type="page"/>
      </w:r>
    </w:p>
    <w:p w:rsidR="00966BB8" w:rsidRPr="00A71B61" w:rsidRDefault="00966BB8" w:rsidP="00EC5BB4">
      <w:pPr>
        <w:pStyle w:val="Prrafodelista"/>
        <w:contextualSpacing w:val="0"/>
        <w:rPr>
          <w:rFonts w:asciiTheme="majorHAnsi" w:hAnsiTheme="majorHAnsi"/>
          <w:color w:val="70AD47" w:themeColor="accent6"/>
          <w:szCs w:val="20"/>
        </w:rPr>
      </w:pPr>
    </w:p>
    <w:p w:rsidR="00966BB8" w:rsidRPr="003D5581" w:rsidRDefault="00A950F5" w:rsidP="003D5581">
      <w:pPr>
        <w:pStyle w:val="Ttulo2"/>
      </w:pPr>
      <w:bookmarkStart w:id="95" w:name="_Toc90584909"/>
      <w:r w:rsidRPr="003D5581">
        <w:t>Participación del CTCM como centro proveedor de plasma convaleciente de Coronavirus para ensayos clínicos</w:t>
      </w:r>
      <w:bookmarkEnd w:id="95"/>
      <w:r w:rsidRPr="003D5581">
        <w:t xml:space="preserve"> </w:t>
      </w:r>
    </w:p>
    <w:p w:rsidR="00A950F5" w:rsidRPr="00A71B61" w:rsidRDefault="00A950F5" w:rsidP="00966BB8">
      <w:pPr>
        <w:autoSpaceDE w:val="0"/>
        <w:autoSpaceDN w:val="0"/>
        <w:adjustRightInd w:val="0"/>
        <w:spacing w:after="0" w:line="240" w:lineRule="auto"/>
        <w:rPr>
          <w:color w:val="70AD47" w:themeColor="accent6"/>
          <w:szCs w:val="20"/>
        </w:rPr>
      </w:pPr>
    </w:p>
    <w:p w:rsidR="00A950F5" w:rsidRPr="00A71B61" w:rsidRDefault="00A950F5" w:rsidP="00EC5BB4">
      <w:pPr>
        <w:rPr>
          <w:szCs w:val="20"/>
          <w:lang w:val="en-US"/>
        </w:rPr>
      </w:pPr>
      <w:r w:rsidRPr="00A71B61">
        <w:rPr>
          <w:szCs w:val="20"/>
          <w:lang w:val="en-US"/>
        </w:rPr>
        <w:t>“Multi-center, Randomized Clinical Trial of Convalescent Plasma Therapy Versus Standard of Care for the Treatment of COVID-19 in Hospitalized Patients”, Code: ConPlas-19, ISCIII code COV20/00072.</w:t>
      </w:r>
    </w:p>
    <w:p w:rsidR="00A950F5" w:rsidRPr="00A71B61" w:rsidRDefault="00A950F5" w:rsidP="00846064">
      <w:pPr>
        <w:pStyle w:val="Prrafodelista"/>
        <w:numPr>
          <w:ilvl w:val="0"/>
          <w:numId w:val="15"/>
        </w:numPr>
        <w:rPr>
          <w:color w:val="454545"/>
          <w:szCs w:val="20"/>
        </w:rPr>
      </w:pPr>
      <w:r w:rsidRPr="00A71B61">
        <w:rPr>
          <w:szCs w:val="20"/>
        </w:rPr>
        <w:t xml:space="preserve">Promoter: </w:t>
      </w:r>
      <w:r w:rsidRPr="00A71B61">
        <w:rPr>
          <w:color w:val="454545"/>
          <w:szCs w:val="20"/>
        </w:rPr>
        <w:t>Instituto de Investigación Sanitaria Puerta de Hierro – Segovia de Arana (IDIPHISA).</w:t>
      </w:r>
    </w:p>
    <w:p w:rsidR="00A950F5" w:rsidRPr="00A71B61" w:rsidRDefault="00A950F5" w:rsidP="00846064">
      <w:pPr>
        <w:pStyle w:val="Prrafodelista"/>
        <w:numPr>
          <w:ilvl w:val="0"/>
          <w:numId w:val="15"/>
        </w:numPr>
        <w:rPr>
          <w:color w:val="454545"/>
          <w:szCs w:val="20"/>
        </w:rPr>
      </w:pPr>
      <w:r w:rsidRPr="00A71B61">
        <w:rPr>
          <w:szCs w:val="20"/>
        </w:rPr>
        <w:t xml:space="preserve">Principal Investigators: </w:t>
      </w:r>
      <w:hyperlink r:id="rId133" w:tgtFrame="_blank" w:history="1">
        <w:r w:rsidRPr="00A71B61">
          <w:rPr>
            <w:szCs w:val="20"/>
          </w:rPr>
          <w:t>Cristina Avendaño Solá</w:t>
        </w:r>
      </w:hyperlink>
      <w:r w:rsidRPr="00A71B61">
        <w:rPr>
          <w:szCs w:val="20"/>
        </w:rPr>
        <w:t xml:space="preserve">, </w:t>
      </w:r>
      <w:r w:rsidRPr="00A71B61">
        <w:rPr>
          <w:color w:val="454545"/>
          <w:szCs w:val="20"/>
        </w:rPr>
        <w:t>Rafael Duarte Palomino.</w:t>
      </w:r>
    </w:p>
    <w:p w:rsidR="00A950F5" w:rsidRPr="00A71B61" w:rsidRDefault="00A950F5" w:rsidP="00846064">
      <w:pPr>
        <w:pStyle w:val="Prrafodelista"/>
        <w:numPr>
          <w:ilvl w:val="0"/>
          <w:numId w:val="15"/>
        </w:numPr>
        <w:rPr>
          <w:szCs w:val="20"/>
          <w:lang w:val="en-US"/>
        </w:rPr>
      </w:pPr>
      <w:r w:rsidRPr="00A71B61">
        <w:rPr>
          <w:szCs w:val="20"/>
          <w:lang w:val="en-US"/>
        </w:rPr>
        <w:t>Sponsor and Financial management: Instituto de Salud Carlos III (ISCIII´s), reference COV20/00072). Budget 640,279.00 €.</w:t>
      </w:r>
    </w:p>
    <w:p w:rsidR="00A950F5" w:rsidRPr="00A71B61" w:rsidRDefault="00A950F5" w:rsidP="00EC5BB4">
      <w:pPr>
        <w:rPr>
          <w:szCs w:val="20"/>
          <w:lang w:val="en-US"/>
        </w:rPr>
      </w:pPr>
      <w:r w:rsidRPr="00A71B61">
        <w:rPr>
          <w:szCs w:val="20"/>
          <w:lang w:val="en-US"/>
        </w:rPr>
        <w:t>"A Multicenter, Randomized, Open-label, Parallel Group Pilot Study to Evaluate Safety and Efficacy of Convalescent Methylene Blue Treated (MBT) Plasma from Donors Recovered from Coronavirus Disease 2019 (COVID-19) with Standard Medical Treatment (SMT) versus SMT alone in Subjects with COVID-19 Requiring Admission to the Intensive Care Unit (ICU)"</w:t>
      </w:r>
    </w:p>
    <w:p w:rsidR="00A950F5" w:rsidRPr="00A71B61" w:rsidRDefault="00A950F5" w:rsidP="00846064">
      <w:pPr>
        <w:pStyle w:val="Prrafodelista"/>
        <w:numPr>
          <w:ilvl w:val="0"/>
          <w:numId w:val="16"/>
        </w:numPr>
        <w:spacing w:before="120" w:after="0" w:line="240" w:lineRule="atLeast"/>
        <w:contextualSpacing w:val="0"/>
        <w:rPr>
          <w:szCs w:val="20"/>
          <w:lang w:val="en-US"/>
        </w:rPr>
      </w:pPr>
      <w:r w:rsidRPr="00A71B61">
        <w:rPr>
          <w:szCs w:val="20"/>
          <w:lang w:val="en-US"/>
        </w:rPr>
        <w:t>Promoter: Grifols</w:t>
      </w:r>
      <w:r w:rsidR="00EC5BB4" w:rsidRPr="00A71B61">
        <w:rPr>
          <w:szCs w:val="20"/>
          <w:lang w:val="en-US"/>
        </w:rPr>
        <w:t>.</w:t>
      </w:r>
    </w:p>
    <w:p w:rsidR="00A950F5" w:rsidRPr="00A71B61" w:rsidRDefault="00A950F5" w:rsidP="00846064">
      <w:pPr>
        <w:pStyle w:val="Prrafodelista"/>
        <w:numPr>
          <w:ilvl w:val="0"/>
          <w:numId w:val="16"/>
        </w:numPr>
        <w:spacing w:before="120" w:after="0" w:line="240" w:lineRule="atLeast"/>
        <w:contextualSpacing w:val="0"/>
        <w:rPr>
          <w:szCs w:val="20"/>
          <w:lang w:val="en-US"/>
        </w:rPr>
      </w:pPr>
      <w:r w:rsidRPr="00A71B61">
        <w:rPr>
          <w:color w:val="000000"/>
          <w:szCs w:val="20"/>
        </w:rPr>
        <w:t xml:space="preserve">ClinicalTrials.gov Identifier: </w:t>
      </w:r>
      <w:r w:rsidRPr="00A71B61">
        <w:rPr>
          <w:rStyle w:val="Hipervnculo"/>
          <w:color w:val="1A3D85"/>
          <w:szCs w:val="20"/>
        </w:rPr>
        <w:t>NCT04547127</w:t>
      </w:r>
      <w:r w:rsidR="00EC5BB4" w:rsidRPr="00A71B61">
        <w:rPr>
          <w:szCs w:val="20"/>
          <w:lang w:val="en-US"/>
        </w:rPr>
        <w:t>.</w:t>
      </w:r>
    </w:p>
    <w:p w:rsidR="00A950F5" w:rsidRPr="00A71B61" w:rsidRDefault="00A950F5" w:rsidP="00846064">
      <w:pPr>
        <w:pStyle w:val="Prrafodelista"/>
        <w:numPr>
          <w:ilvl w:val="0"/>
          <w:numId w:val="16"/>
        </w:numPr>
        <w:spacing w:before="120" w:after="0" w:line="240" w:lineRule="atLeast"/>
        <w:contextualSpacing w:val="0"/>
        <w:rPr>
          <w:szCs w:val="20"/>
          <w:lang w:val="en-US"/>
        </w:rPr>
      </w:pPr>
      <w:r w:rsidRPr="00A71B61">
        <w:rPr>
          <w:color w:val="000000"/>
          <w:szCs w:val="20"/>
          <w:lang w:val="en-US"/>
        </w:rPr>
        <w:t>Other Study ID Numbers: GC2003, 2020-001299-14 (EudraCT Number)</w:t>
      </w:r>
      <w:r w:rsidR="00EC5BB4" w:rsidRPr="00A71B61">
        <w:rPr>
          <w:color w:val="000000"/>
          <w:szCs w:val="20"/>
          <w:lang w:val="en-US"/>
        </w:rPr>
        <w:t>.</w:t>
      </w:r>
    </w:p>
    <w:p w:rsidR="00303C38" w:rsidRPr="00A71B61" w:rsidRDefault="00303C38" w:rsidP="0099762D">
      <w:pPr>
        <w:autoSpaceDE w:val="0"/>
        <w:autoSpaceDN w:val="0"/>
        <w:adjustRightInd w:val="0"/>
        <w:spacing w:after="0" w:line="240" w:lineRule="auto"/>
        <w:rPr>
          <w:rFonts w:asciiTheme="majorHAnsi" w:hAnsiTheme="majorHAnsi" w:cs="AdvTTa9c1b374"/>
          <w:b/>
          <w:szCs w:val="20"/>
          <w:lang w:val="en-US"/>
        </w:rPr>
      </w:pPr>
    </w:p>
    <w:p w:rsidR="00A950F5" w:rsidRPr="003D5581" w:rsidRDefault="00EC5BB4" w:rsidP="003D5581">
      <w:pPr>
        <w:pStyle w:val="Ttulo2"/>
      </w:pPr>
      <w:bookmarkStart w:id="96" w:name="_Toc90584910"/>
      <w:r w:rsidRPr="003D5581">
        <w:rPr>
          <w:rStyle w:val="Ttulo2Car"/>
          <w:rFonts w:eastAsia="SimSun"/>
          <w:b/>
          <w:bCs/>
        </w:rPr>
        <w:t xml:space="preserve">Participación del </w:t>
      </w:r>
      <w:r w:rsidR="00A950F5" w:rsidRPr="003D5581">
        <w:rPr>
          <w:rStyle w:val="Ttulo2Car"/>
          <w:rFonts w:eastAsia="SimSun"/>
          <w:b/>
          <w:bCs/>
        </w:rPr>
        <w:t xml:space="preserve">Centro de Transfusión </w:t>
      </w:r>
      <w:r w:rsidRPr="003D5581">
        <w:rPr>
          <w:rStyle w:val="Ttulo2Car"/>
          <w:rFonts w:eastAsia="SimSun"/>
          <w:b/>
          <w:bCs/>
        </w:rPr>
        <w:t xml:space="preserve">y de sus profesionales en </w:t>
      </w:r>
      <w:r w:rsidR="00A950F5" w:rsidRPr="003D5581">
        <w:rPr>
          <w:rStyle w:val="Ttulo2Car"/>
          <w:rFonts w:eastAsia="SimSun"/>
          <w:b/>
          <w:bCs/>
        </w:rPr>
        <w:t>estudios de investigación</w:t>
      </w:r>
      <w:bookmarkEnd w:id="96"/>
    </w:p>
    <w:p w:rsidR="00A950F5" w:rsidRPr="00A71B61" w:rsidRDefault="00A950F5" w:rsidP="00A950F5">
      <w:pPr>
        <w:pStyle w:val="Guidance"/>
        <w:spacing w:before="120" w:after="0"/>
        <w:ind w:left="0"/>
        <w:rPr>
          <w:rFonts w:asciiTheme="minorHAnsi" w:hAnsiTheme="minorHAnsi"/>
          <w:i w:val="0"/>
          <w:color w:val="auto"/>
          <w:sz w:val="20"/>
          <w:szCs w:val="20"/>
          <w:lang w:val="es-ES"/>
        </w:rPr>
      </w:pPr>
    </w:p>
    <w:tbl>
      <w:tblPr>
        <w:tblW w:w="8001" w:type="dxa"/>
        <w:tblBorders>
          <w:top w:val="nil"/>
          <w:left w:val="nil"/>
          <w:bottom w:val="nil"/>
          <w:right w:val="nil"/>
        </w:tblBorders>
        <w:tblLayout w:type="fixed"/>
        <w:tblLook w:val="0000" w:firstRow="0" w:lastRow="0" w:firstColumn="0" w:lastColumn="0" w:noHBand="0" w:noVBand="0"/>
      </w:tblPr>
      <w:tblGrid>
        <w:gridCol w:w="8001"/>
      </w:tblGrid>
      <w:tr w:rsidR="00A950F5" w:rsidRPr="00A71B61" w:rsidTr="00EC5BB4">
        <w:trPr>
          <w:trHeight w:val="481"/>
        </w:trPr>
        <w:tc>
          <w:tcPr>
            <w:tcW w:w="8001" w:type="dxa"/>
          </w:tcPr>
          <w:p w:rsidR="00EC5BB4" w:rsidRPr="00A71B61" w:rsidRDefault="00A950F5" w:rsidP="00EC5BB4">
            <w:pPr>
              <w:pStyle w:val="Guidance"/>
              <w:spacing w:after="160" w:line="259" w:lineRule="auto"/>
              <w:ind w:left="0"/>
              <w:rPr>
                <w:rFonts w:asciiTheme="majorHAnsi" w:hAnsiTheme="majorHAnsi"/>
                <w:i w:val="0"/>
                <w:color w:val="auto"/>
                <w:sz w:val="20"/>
                <w:szCs w:val="20"/>
                <w:lang w:val="en-US"/>
              </w:rPr>
            </w:pPr>
            <w:r w:rsidRPr="00A71B61">
              <w:rPr>
                <w:rFonts w:asciiTheme="majorHAnsi" w:hAnsiTheme="majorHAnsi"/>
                <w:color w:val="auto"/>
                <w:sz w:val="20"/>
                <w:szCs w:val="20"/>
                <w:lang w:val="en-US"/>
              </w:rPr>
              <w:t>“</w:t>
            </w:r>
            <w:r w:rsidRPr="00A71B61">
              <w:rPr>
                <w:rFonts w:asciiTheme="majorHAnsi" w:hAnsiTheme="majorHAnsi"/>
                <w:i w:val="0"/>
                <w:color w:val="auto"/>
                <w:sz w:val="20"/>
                <w:szCs w:val="20"/>
                <w:lang w:val="en-US"/>
              </w:rPr>
              <w:t>Safety and use in clinical practice of convalescent plasma in COVID19 hospitalized patients”. Type of Study: Prospective Observational Study PlasMadrid”. Promoter: Transfusion Center of the Community of Madrid. Principal Investigator: Ana Mª Arruga Manzano (CTCM Hematologist).</w:t>
            </w:r>
          </w:p>
          <w:p w:rsidR="00A950F5" w:rsidRPr="00A71B61" w:rsidRDefault="00A950F5" w:rsidP="00EC5BB4">
            <w:pPr>
              <w:pStyle w:val="Guidance"/>
              <w:spacing w:after="160" w:line="259" w:lineRule="auto"/>
              <w:ind w:left="0"/>
              <w:rPr>
                <w:rFonts w:asciiTheme="majorHAnsi" w:hAnsiTheme="majorHAnsi"/>
                <w:color w:val="auto"/>
                <w:sz w:val="20"/>
                <w:szCs w:val="20"/>
                <w:lang w:val="es-ES"/>
              </w:rPr>
            </w:pPr>
            <w:r w:rsidRPr="00A71B61">
              <w:rPr>
                <w:rFonts w:asciiTheme="majorHAnsi" w:hAnsiTheme="majorHAnsi"/>
                <w:i w:val="0"/>
                <w:color w:val="auto"/>
                <w:sz w:val="20"/>
                <w:szCs w:val="20"/>
                <w:lang w:val="en-US"/>
              </w:rPr>
              <w:t xml:space="preserve">“Genetics of innate and adaptive immunity in patients transfused with convalescent plasma and association with anti-SARSCoV-2 antibody levels". Promoter: Transfusion Center of the Community of Madrid. </w:t>
            </w:r>
            <w:r w:rsidRPr="00A71B61">
              <w:rPr>
                <w:rFonts w:asciiTheme="majorHAnsi" w:hAnsiTheme="majorHAnsi"/>
                <w:color w:val="auto"/>
                <w:sz w:val="20"/>
                <w:szCs w:val="20"/>
                <w:lang w:val="es-ES"/>
              </w:rPr>
              <w:t>José Luis Vicario Moreno (CTCM Immunologist) (subestudio del studio observacional PlasMadrid).</w:t>
            </w:r>
          </w:p>
        </w:tc>
      </w:tr>
    </w:tbl>
    <w:p w:rsidR="00303C38" w:rsidRPr="00A71B61" w:rsidRDefault="00303C38" w:rsidP="00EC5BB4">
      <w:pPr>
        <w:rPr>
          <w:rFonts w:asciiTheme="majorHAnsi" w:hAnsiTheme="majorHAnsi"/>
          <w:szCs w:val="20"/>
          <w:lang w:val="en-US"/>
        </w:rPr>
      </w:pPr>
      <w:r w:rsidRPr="00A71B61">
        <w:rPr>
          <w:rFonts w:asciiTheme="majorHAnsi" w:hAnsiTheme="majorHAnsi"/>
          <w:szCs w:val="20"/>
          <w:lang w:val="en-US"/>
        </w:rPr>
        <w:t xml:space="preserve">“Performance Evaluation Study of Quotient Mosaic TM COVID-19 antibody Quantum Magazine for the detection of IgG and IgM antibodies to SARS-CoV-2. Protocol number: EU-C-19-CSP-1008. </w:t>
      </w:r>
    </w:p>
    <w:p w:rsidR="00303C38" w:rsidRPr="00A71B61" w:rsidRDefault="00303C38" w:rsidP="00846064">
      <w:pPr>
        <w:pStyle w:val="Prrafodelista"/>
        <w:numPr>
          <w:ilvl w:val="0"/>
          <w:numId w:val="17"/>
        </w:numPr>
        <w:shd w:val="clear" w:color="auto" w:fill="FFFFFF"/>
        <w:contextualSpacing w:val="0"/>
        <w:rPr>
          <w:rFonts w:asciiTheme="majorHAnsi" w:hAnsiTheme="majorHAnsi" w:cs="Arial"/>
          <w:color w:val="000000"/>
          <w:szCs w:val="20"/>
        </w:rPr>
      </w:pPr>
      <w:r w:rsidRPr="00A71B61">
        <w:rPr>
          <w:rFonts w:asciiTheme="majorHAnsi" w:hAnsiTheme="majorHAnsi" w:cs="Arial"/>
          <w:color w:val="000000"/>
          <w:szCs w:val="20"/>
        </w:rPr>
        <w:t>Promoter: Quotient.</w:t>
      </w:r>
    </w:p>
    <w:p w:rsidR="00303C38" w:rsidRPr="00A71B61" w:rsidRDefault="00303C38" w:rsidP="00846064">
      <w:pPr>
        <w:pStyle w:val="Prrafodelista"/>
        <w:numPr>
          <w:ilvl w:val="0"/>
          <w:numId w:val="17"/>
        </w:numPr>
        <w:shd w:val="clear" w:color="auto" w:fill="FFFFFF"/>
        <w:contextualSpacing w:val="0"/>
        <w:rPr>
          <w:rFonts w:asciiTheme="majorHAnsi" w:hAnsiTheme="majorHAnsi" w:cs="Arial"/>
          <w:color w:val="000000"/>
          <w:szCs w:val="20"/>
        </w:rPr>
      </w:pPr>
      <w:r w:rsidRPr="00A71B61">
        <w:rPr>
          <w:rFonts w:asciiTheme="majorHAnsi" w:hAnsiTheme="majorHAnsi"/>
          <w:szCs w:val="20"/>
        </w:rPr>
        <w:t xml:space="preserve">Principal Investigator: José Luis Vicario Moreno (CTCM Immunologist). </w:t>
      </w:r>
    </w:p>
    <w:p w:rsidR="00303C38" w:rsidRPr="00A71B61" w:rsidRDefault="00303C38" w:rsidP="00846064">
      <w:pPr>
        <w:pStyle w:val="Prrafodelista"/>
        <w:numPr>
          <w:ilvl w:val="0"/>
          <w:numId w:val="17"/>
        </w:numPr>
        <w:shd w:val="clear" w:color="auto" w:fill="FFFFFF"/>
        <w:contextualSpacing w:val="0"/>
        <w:rPr>
          <w:rFonts w:asciiTheme="majorHAnsi" w:hAnsiTheme="majorHAnsi" w:cs="Arial"/>
          <w:color w:val="000000"/>
          <w:szCs w:val="20"/>
        </w:rPr>
      </w:pPr>
      <w:r w:rsidRPr="00A71B61">
        <w:rPr>
          <w:rFonts w:asciiTheme="majorHAnsi" w:hAnsiTheme="majorHAnsi"/>
          <w:szCs w:val="20"/>
        </w:rPr>
        <w:lastRenderedPageBreak/>
        <w:t>Sub-Principal Investigator: Irene Lucea Gallego (CTCM Hematologist).</w:t>
      </w:r>
    </w:p>
    <w:p w:rsidR="00303C38" w:rsidRPr="00A71B61" w:rsidRDefault="00303C38" w:rsidP="00846064">
      <w:pPr>
        <w:pStyle w:val="Prrafodelista"/>
        <w:numPr>
          <w:ilvl w:val="0"/>
          <w:numId w:val="17"/>
        </w:numPr>
        <w:shd w:val="clear" w:color="auto" w:fill="FFFFFF"/>
        <w:contextualSpacing w:val="0"/>
        <w:rPr>
          <w:rFonts w:asciiTheme="majorHAnsi" w:hAnsiTheme="majorHAnsi" w:cs="Arial"/>
          <w:color w:val="000000"/>
          <w:szCs w:val="20"/>
          <w:lang w:val="en-US"/>
        </w:rPr>
      </w:pPr>
      <w:r w:rsidRPr="00A71B61">
        <w:rPr>
          <w:rFonts w:asciiTheme="majorHAnsi" w:hAnsiTheme="majorHAnsi"/>
          <w:szCs w:val="20"/>
          <w:lang w:val="en-US"/>
        </w:rPr>
        <w:t>Sponsor and Financial management: Quotient Suisse S.A.</w:t>
      </w:r>
    </w:p>
    <w:p w:rsidR="00303C38" w:rsidRPr="00A71B61" w:rsidRDefault="00303C38" w:rsidP="00846064">
      <w:pPr>
        <w:pStyle w:val="Prrafodelista"/>
        <w:numPr>
          <w:ilvl w:val="0"/>
          <w:numId w:val="17"/>
        </w:numPr>
        <w:shd w:val="clear" w:color="auto" w:fill="FFFFFF"/>
        <w:contextualSpacing w:val="0"/>
        <w:rPr>
          <w:rFonts w:asciiTheme="majorHAnsi" w:hAnsiTheme="majorHAnsi" w:cs="Arial"/>
          <w:color w:val="000000"/>
          <w:szCs w:val="20"/>
        </w:rPr>
      </w:pPr>
      <w:r w:rsidRPr="00A71B61">
        <w:rPr>
          <w:rFonts w:asciiTheme="majorHAnsi" w:hAnsiTheme="majorHAnsi"/>
          <w:szCs w:val="20"/>
          <w:lang w:val="en-US"/>
        </w:rPr>
        <w:t xml:space="preserve">Related article: </w:t>
      </w:r>
      <w:r w:rsidRPr="00A71B61">
        <w:rPr>
          <w:rFonts w:asciiTheme="majorHAnsi" w:hAnsiTheme="majorHAnsi"/>
          <w:iCs/>
          <w:szCs w:val="20"/>
          <w:lang w:val="en-US"/>
        </w:rPr>
        <w:t xml:space="preserve">“Evaluation of the Performance of Quotient MosaicQTM COVID-19 Professional Use Microarray Assay for the Detection of Antibodies to SARS CoV-2 in a Clinical Setting. Vicario JL, Alenda Asensi R, Lucea Gallego I, Sánchez Bonilla J, Sáez R, Clayton R, Robson D, Robb J, Barea García L. Journal of Clinical Virology Plus.  </w:t>
      </w:r>
      <w:r w:rsidRPr="00A71B61">
        <w:rPr>
          <w:rStyle w:val="fm-vol-iss-date"/>
          <w:rFonts w:asciiTheme="majorHAnsi" w:hAnsiTheme="majorHAnsi" w:cs="Arial"/>
          <w:color w:val="000000"/>
          <w:szCs w:val="20"/>
        </w:rPr>
        <w:t>Published online 2021 May 24. </w:t>
      </w:r>
      <w:r w:rsidRPr="00A71B61">
        <w:rPr>
          <w:rStyle w:val="doi"/>
          <w:rFonts w:asciiTheme="majorHAnsi" w:hAnsiTheme="majorHAnsi" w:cs="Arial"/>
          <w:color w:val="000000"/>
          <w:szCs w:val="20"/>
        </w:rPr>
        <w:t>Doi: </w:t>
      </w:r>
      <w:hyperlink r:id="rId134" w:tgtFrame="_blank" w:history="1">
        <w:r w:rsidRPr="00A71B61">
          <w:rPr>
            <w:rStyle w:val="Hipervnculo"/>
            <w:rFonts w:asciiTheme="majorHAnsi" w:hAnsiTheme="majorHAnsi" w:cs="Arial"/>
            <w:color w:val="642A8F"/>
            <w:szCs w:val="20"/>
          </w:rPr>
          <w:t>10.1016/j.jcvp.2021.100022</w:t>
        </w:r>
      </w:hyperlink>
    </w:p>
    <w:p w:rsidR="00303C38" w:rsidRPr="00A71B61" w:rsidRDefault="00303C38" w:rsidP="00EC5BB4">
      <w:pPr>
        <w:pStyle w:val="Prrafodelista"/>
        <w:ind w:left="1080"/>
        <w:contextualSpacing w:val="0"/>
        <w:rPr>
          <w:rFonts w:asciiTheme="majorHAnsi" w:hAnsiTheme="majorHAnsi"/>
          <w:szCs w:val="20"/>
          <w:lang w:val="en-US"/>
        </w:rPr>
      </w:pPr>
    </w:p>
    <w:p w:rsidR="00303C38" w:rsidRPr="00A71B61" w:rsidRDefault="00303C38" w:rsidP="00EC5BB4">
      <w:pPr>
        <w:rPr>
          <w:rFonts w:asciiTheme="majorHAnsi" w:hAnsiTheme="majorHAnsi"/>
          <w:szCs w:val="20"/>
          <w:lang w:val="en-US"/>
        </w:rPr>
      </w:pPr>
      <w:r w:rsidRPr="00A71B61">
        <w:rPr>
          <w:rFonts w:asciiTheme="majorHAnsi" w:hAnsiTheme="majorHAnsi"/>
          <w:szCs w:val="20"/>
          <w:lang w:val="en-US"/>
        </w:rPr>
        <w:t xml:space="preserve">"Study of the prevalence of SARS-COV-2 infection in asymptomatic population of the Community of Madrid and possible association of the HLA Y KIR system with the different </w:t>
      </w:r>
      <w:r w:rsidR="00EC5BB4" w:rsidRPr="00A71B61">
        <w:rPr>
          <w:rFonts w:asciiTheme="majorHAnsi" w:hAnsiTheme="majorHAnsi"/>
          <w:szCs w:val="20"/>
          <w:lang w:val="en-US"/>
        </w:rPr>
        <w:t>clinical stages</w:t>
      </w:r>
      <w:r w:rsidRPr="00A71B61">
        <w:rPr>
          <w:rFonts w:asciiTheme="majorHAnsi" w:hAnsiTheme="majorHAnsi"/>
          <w:szCs w:val="20"/>
          <w:lang w:val="en-US"/>
        </w:rPr>
        <w:t>".</w:t>
      </w:r>
    </w:p>
    <w:p w:rsidR="00303C38" w:rsidRPr="00A71B61" w:rsidRDefault="00303C38" w:rsidP="00846064">
      <w:pPr>
        <w:pStyle w:val="Prrafodelista"/>
        <w:numPr>
          <w:ilvl w:val="0"/>
          <w:numId w:val="18"/>
        </w:numPr>
        <w:autoSpaceDE w:val="0"/>
        <w:autoSpaceDN w:val="0"/>
        <w:contextualSpacing w:val="0"/>
        <w:rPr>
          <w:rFonts w:asciiTheme="majorHAnsi" w:hAnsiTheme="majorHAnsi"/>
          <w:bCs/>
          <w:szCs w:val="20"/>
          <w:lang w:val="en-US"/>
        </w:rPr>
      </w:pPr>
      <w:r w:rsidRPr="00A71B61">
        <w:rPr>
          <w:rFonts w:asciiTheme="majorHAnsi" w:hAnsiTheme="majorHAnsi"/>
          <w:bCs/>
          <w:szCs w:val="20"/>
          <w:lang w:val="en-US"/>
        </w:rPr>
        <w:t xml:space="preserve">Promoter: Transfusion Centre of the </w:t>
      </w:r>
      <w:r w:rsidR="00B65CFB" w:rsidRPr="00A71B61">
        <w:rPr>
          <w:rFonts w:asciiTheme="majorHAnsi" w:hAnsiTheme="majorHAnsi"/>
          <w:bCs/>
          <w:szCs w:val="20"/>
          <w:lang w:val="en-US"/>
        </w:rPr>
        <w:t>Community</w:t>
      </w:r>
      <w:r w:rsidRPr="00A71B61">
        <w:rPr>
          <w:rFonts w:asciiTheme="majorHAnsi" w:hAnsiTheme="majorHAnsi"/>
          <w:bCs/>
          <w:szCs w:val="20"/>
          <w:lang w:val="en-US"/>
        </w:rPr>
        <w:t xml:space="preserve"> of Madrid (CTCM)</w:t>
      </w:r>
      <w:r w:rsidR="00EC5BB4" w:rsidRPr="00A71B61">
        <w:rPr>
          <w:rFonts w:asciiTheme="majorHAnsi" w:hAnsiTheme="majorHAnsi"/>
          <w:bCs/>
          <w:szCs w:val="20"/>
          <w:lang w:val="en-US"/>
        </w:rPr>
        <w:t>.</w:t>
      </w:r>
    </w:p>
    <w:p w:rsidR="00303C38" w:rsidRPr="00A71B61" w:rsidRDefault="00303C38" w:rsidP="00846064">
      <w:pPr>
        <w:pStyle w:val="Prrafodelista"/>
        <w:numPr>
          <w:ilvl w:val="0"/>
          <w:numId w:val="18"/>
        </w:numPr>
        <w:autoSpaceDE w:val="0"/>
        <w:autoSpaceDN w:val="0"/>
        <w:contextualSpacing w:val="0"/>
        <w:rPr>
          <w:rFonts w:asciiTheme="majorHAnsi" w:hAnsiTheme="majorHAnsi"/>
          <w:bCs/>
          <w:szCs w:val="20"/>
          <w:lang w:val="en-US"/>
        </w:rPr>
      </w:pPr>
      <w:r w:rsidRPr="00A71B61">
        <w:rPr>
          <w:rFonts w:asciiTheme="majorHAnsi" w:hAnsiTheme="majorHAnsi"/>
          <w:bCs/>
          <w:szCs w:val="20"/>
          <w:lang w:val="en-US"/>
        </w:rPr>
        <w:t>Principal Investigator: Dr. Raquel Alenda Asensi (Immunologist of the CTCM.</w:t>
      </w:r>
    </w:p>
    <w:p w:rsidR="00303C38" w:rsidRPr="00A71B61" w:rsidRDefault="00303C38" w:rsidP="00846064">
      <w:pPr>
        <w:pStyle w:val="Prrafodelista"/>
        <w:numPr>
          <w:ilvl w:val="0"/>
          <w:numId w:val="18"/>
        </w:numPr>
        <w:contextualSpacing w:val="0"/>
        <w:rPr>
          <w:szCs w:val="20"/>
        </w:rPr>
      </w:pPr>
      <w:r w:rsidRPr="00A71B61">
        <w:rPr>
          <w:rFonts w:asciiTheme="majorHAnsi" w:hAnsiTheme="majorHAnsi"/>
          <w:szCs w:val="20"/>
          <w:lang w:val="en-US"/>
        </w:rPr>
        <w:t xml:space="preserve">Sponsor and Financial management: Community of Madrid through the Puerta de Hierro Hospital Research Foundation. </w:t>
      </w:r>
      <w:r w:rsidRPr="00A71B61">
        <w:rPr>
          <w:rFonts w:asciiTheme="majorHAnsi" w:hAnsiTheme="majorHAnsi"/>
          <w:szCs w:val="20"/>
        </w:rPr>
        <w:t>Budget 20.500€.</w:t>
      </w:r>
    </w:p>
    <w:p w:rsidR="00B134A2" w:rsidRPr="00A71B61" w:rsidRDefault="00B134A2">
      <w:pPr>
        <w:rPr>
          <w:szCs w:val="20"/>
        </w:rPr>
      </w:pPr>
      <w:r w:rsidRPr="00A71B61">
        <w:rPr>
          <w:szCs w:val="20"/>
        </w:rPr>
        <w:br w:type="page"/>
      </w:r>
    </w:p>
    <w:p w:rsidR="00B134A2" w:rsidRPr="003D5581" w:rsidRDefault="00B134A2" w:rsidP="003D5581">
      <w:pPr>
        <w:pStyle w:val="Ttulo1"/>
      </w:pPr>
      <w:bookmarkStart w:id="97" w:name="_Toc90584911"/>
      <w:r w:rsidRPr="003D5581">
        <w:lastRenderedPageBreak/>
        <w:t>Salud laboral</w:t>
      </w:r>
      <w:bookmarkEnd w:id="97"/>
    </w:p>
    <w:p w:rsidR="00B134A2" w:rsidRPr="00A71B61" w:rsidRDefault="00B134A2" w:rsidP="00B134A2">
      <w:pPr>
        <w:rPr>
          <w:szCs w:val="20"/>
          <w:lang w:eastAsia="x-none"/>
        </w:rPr>
      </w:pPr>
    </w:p>
    <w:p w:rsidR="00B134A2" w:rsidRPr="00306B60" w:rsidRDefault="00B134A2" w:rsidP="00306B60">
      <w:pPr>
        <w:pStyle w:val="Ttulo2"/>
      </w:pPr>
      <w:bookmarkStart w:id="98" w:name="_Toc90584912"/>
      <w:r w:rsidRPr="00306B60">
        <w:t>Acciones de seguridad y salud</w:t>
      </w:r>
      <w:bookmarkEnd w:id="98"/>
    </w:p>
    <w:tbl>
      <w:tblPr>
        <w:tblStyle w:val="Tabladecuadrcula5oscura-nfasis1"/>
        <w:tblpPr w:leftFromText="141" w:rightFromText="141" w:bottomFromText="160" w:vertAnchor="page" w:horzAnchor="margin" w:tblpY="2956"/>
        <w:tblW w:w="5300" w:type="pct"/>
        <w:tblLook w:val="0620" w:firstRow="1" w:lastRow="0" w:firstColumn="0" w:lastColumn="0" w:noHBand="1" w:noVBand="1"/>
      </w:tblPr>
      <w:tblGrid>
        <w:gridCol w:w="2322"/>
        <w:gridCol w:w="2163"/>
        <w:gridCol w:w="1809"/>
        <w:gridCol w:w="2109"/>
      </w:tblGrid>
      <w:tr w:rsidR="00B134A2" w:rsidRPr="00306B60" w:rsidTr="00306B60">
        <w:trPr>
          <w:cnfStyle w:val="100000000000" w:firstRow="1" w:lastRow="0" w:firstColumn="0" w:lastColumn="0" w:oddVBand="0" w:evenVBand="0" w:oddHBand="0" w:evenHBand="0" w:firstRowFirstColumn="0" w:firstRowLastColumn="0" w:lastRowFirstColumn="0" w:lastRowLastColumn="0"/>
          <w:trHeight w:val="416"/>
        </w:trPr>
        <w:tc>
          <w:tcPr>
            <w:tcW w:w="1281" w:type="pct"/>
            <w:hideMark/>
          </w:tcPr>
          <w:p w:rsidR="00B134A2" w:rsidRPr="00306B60" w:rsidRDefault="00B134A2" w:rsidP="00B134A2">
            <w:pPr>
              <w:jc w:val="center"/>
              <w:rPr>
                <w:rFonts w:cs="Lucida Sans Unicode"/>
                <w:sz w:val="18"/>
                <w:szCs w:val="18"/>
              </w:rPr>
            </w:pPr>
            <w:r w:rsidRPr="00306B60">
              <w:rPr>
                <w:rFonts w:cs="Lucida Sans Unicode"/>
                <w:sz w:val="18"/>
                <w:szCs w:val="18"/>
              </w:rPr>
              <w:t>Organización Preventiva</w:t>
            </w:r>
          </w:p>
        </w:tc>
        <w:tc>
          <w:tcPr>
            <w:tcW w:w="1321" w:type="pct"/>
            <w:hideMark/>
          </w:tcPr>
          <w:p w:rsidR="00B134A2" w:rsidRPr="00306B60" w:rsidRDefault="00B134A2" w:rsidP="00B134A2">
            <w:pPr>
              <w:ind w:left="-77"/>
              <w:jc w:val="center"/>
              <w:rPr>
                <w:rFonts w:cs="Lucida Sans Unicode"/>
                <w:sz w:val="18"/>
                <w:szCs w:val="18"/>
              </w:rPr>
            </w:pPr>
            <w:r w:rsidRPr="00306B60">
              <w:rPr>
                <w:rFonts w:cs="Lucida Sans Unicode"/>
                <w:sz w:val="18"/>
                <w:szCs w:val="18"/>
              </w:rPr>
              <w:t>Evaluación de riesgos laborales</w:t>
            </w:r>
          </w:p>
        </w:tc>
        <w:tc>
          <w:tcPr>
            <w:tcW w:w="1095" w:type="pct"/>
            <w:hideMark/>
          </w:tcPr>
          <w:p w:rsidR="00B134A2" w:rsidRPr="00306B60" w:rsidRDefault="00B134A2" w:rsidP="00B134A2">
            <w:pPr>
              <w:jc w:val="center"/>
              <w:rPr>
                <w:rFonts w:cs="Lucida Sans Unicode"/>
                <w:sz w:val="18"/>
                <w:szCs w:val="18"/>
              </w:rPr>
            </w:pPr>
            <w:r w:rsidRPr="00306B60">
              <w:rPr>
                <w:rFonts w:cs="Lucida Sans Unicode"/>
                <w:sz w:val="18"/>
                <w:szCs w:val="18"/>
              </w:rPr>
              <w:t xml:space="preserve"> Autopreotección</w:t>
            </w:r>
          </w:p>
        </w:tc>
        <w:tc>
          <w:tcPr>
            <w:tcW w:w="1303" w:type="pct"/>
            <w:hideMark/>
          </w:tcPr>
          <w:p w:rsidR="00B134A2" w:rsidRPr="00306B60" w:rsidRDefault="00B134A2" w:rsidP="00B134A2">
            <w:pPr>
              <w:jc w:val="center"/>
              <w:rPr>
                <w:rFonts w:cs="Lucida Sans Unicode"/>
                <w:sz w:val="18"/>
                <w:szCs w:val="18"/>
              </w:rPr>
            </w:pPr>
            <w:r w:rsidRPr="00306B60">
              <w:rPr>
                <w:rFonts w:cs="Lucida Sans Unicode"/>
                <w:sz w:val="18"/>
                <w:szCs w:val="18"/>
              </w:rPr>
              <w:t>Información a los trabajadores</w:t>
            </w:r>
          </w:p>
        </w:tc>
      </w:tr>
      <w:tr w:rsidR="00B134A2" w:rsidRPr="00306B60" w:rsidTr="00306B60">
        <w:trPr>
          <w:trHeight w:val="4759"/>
        </w:trPr>
        <w:tc>
          <w:tcPr>
            <w:tcW w:w="1281" w:type="pct"/>
            <w:hideMark/>
          </w:tcPr>
          <w:p w:rsidR="00B134A2" w:rsidRPr="00306B60" w:rsidRDefault="00B134A2" w:rsidP="00B134A2">
            <w:pPr>
              <w:jc w:val="center"/>
              <w:rPr>
                <w:rFonts w:cs="Lucida Sans Unicode"/>
                <w:sz w:val="18"/>
                <w:szCs w:val="18"/>
              </w:rPr>
            </w:pPr>
            <w:r w:rsidRPr="00306B60">
              <w:rPr>
                <w:rFonts w:cs="Lucida Sans Unicode"/>
                <w:sz w:val="18"/>
                <w:szCs w:val="18"/>
              </w:rPr>
              <w:t>Reunión de los órganos formales de consulta y participación de los trabajadores</w:t>
            </w:r>
          </w:p>
          <w:p w:rsidR="00B134A2" w:rsidRPr="00306B60" w:rsidRDefault="00B134A2" w:rsidP="00B134A2">
            <w:pPr>
              <w:jc w:val="center"/>
              <w:rPr>
                <w:rFonts w:cs="Lucida Sans Unicode"/>
                <w:sz w:val="18"/>
                <w:szCs w:val="18"/>
              </w:rPr>
            </w:pPr>
            <w:r w:rsidRPr="00306B60">
              <w:rPr>
                <w:rFonts w:cs="Lucida Sans Unicode"/>
                <w:sz w:val="18"/>
                <w:szCs w:val="18"/>
              </w:rPr>
              <w:t>(Comité de Seguridad y Salud)</w:t>
            </w:r>
          </w:p>
          <w:p w:rsidR="00B134A2" w:rsidRPr="00306B60" w:rsidRDefault="00B134A2" w:rsidP="00846064">
            <w:pPr>
              <w:numPr>
                <w:ilvl w:val="0"/>
                <w:numId w:val="21"/>
              </w:numPr>
              <w:shd w:val="clear" w:color="auto" w:fill="CCFFFF"/>
              <w:tabs>
                <w:tab w:val="num" w:pos="426"/>
              </w:tabs>
              <w:ind w:hanging="578"/>
              <w:rPr>
                <w:rFonts w:cs="Lucida Sans Unicode"/>
                <w:sz w:val="18"/>
                <w:szCs w:val="18"/>
              </w:rPr>
            </w:pPr>
            <w:r w:rsidRPr="00306B60">
              <w:rPr>
                <w:rFonts w:cs="Lucida Sans Unicode"/>
                <w:sz w:val="18"/>
                <w:szCs w:val="18"/>
              </w:rPr>
              <w:t>21 de enero</w:t>
            </w:r>
          </w:p>
          <w:p w:rsidR="00B134A2" w:rsidRPr="00306B60" w:rsidRDefault="00B134A2" w:rsidP="00846064">
            <w:pPr>
              <w:numPr>
                <w:ilvl w:val="0"/>
                <w:numId w:val="21"/>
              </w:numPr>
              <w:shd w:val="clear" w:color="auto" w:fill="CCFFFF"/>
              <w:tabs>
                <w:tab w:val="num" w:pos="426"/>
              </w:tabs>
              <w:ind w:hanging="578"/>
              <w:rPr>
                <w:rFonts w:cs="Lucida Sans Unicode"/>
                <w:sz w:val="18"/>
                <w:szCs w:val="18"/>
              </w:rPr>
            </w:pPr>
            <w:r w:rsidRPr="00306B60">
              <w:rPr>
                <w:rFonts w:cs="Lucida Sans Unicode"/>
                <w:sz w:val="18"/>
                <w:szCs w:val="18"/>
              </w:rPr>
              <w:t>11 de marzo (extraordinaria)</w:t>
            </w:r>
          </w:p>
          <w:p w:rsidR="00B134A2" w:rsidRPr="00306B60" w:rsidRDefault="00B134A2" w:rsidP="00846064">
            <w:pPr>
              <w:numPr>
                <w:ilvl w:val="0"/>
                <w:numId w:val="21"/>
              </w:numPr>
              <w:shd w:val="clear" w:color="auto" w:fill="CCFFFF"/>
              <w:tabs>
                <w:tab w:val="num" w:pos="426"/>
              </w:tabs>
              <w:ind w:hanging="578"/>
              <w:rPr>
                <w:rFonts w:cs="Lucida Sans Unicode"/>
                <w:sz w:val="18"/>
                <w:szCs w:val="18"/>
              </w:rPr>
            </w:pPr>
            <w:r w:rsidRPr="00306B60">
              <w:rPr>
                <w:rFonts w:cs="Lucida Sans Unicode"/>
                <w:sz w:val="18"/>
                <w:szCs w:val="18"/>
              </w:rPr>
              <w:t>14 de mayo</w:t>
            </w:r>
          </w:p>
          <w:p w:rsidR="00B134A2" w:rsidRPr="00306B60" w:rsidRDefault="00B134A2" w:rsidP="00846064">
            <w:pPr>
              <w:numPr>
                <w:ilvl w:val="0"/>
                <w:numId w:val="21"/>
              </w:numPr>
              <w:shd w:val="clear" w:color="auto" w:fill="CCFFFF"/>
              <w:tabs>
                <w:tab w:val="num" w:pos="426"/>
              </w:tabs>
              <w:ind w:hanging="578"/>
              <w:rPr>
                <w:rFonts w:cs="Lucida Sans Unicode"/>
                <w:sz w:val="18"/>
                <w:szCs w:val="18"/>
              </w:rPr>
            </w:pPr>
            <w:r w:rsidRPr="00306B60">
              <w:rPr>
                <w:rFonts w:cs="Lucida Sans Unicode"/>
                <w:sz w:val="18"/>
                <w:szCs w:val="18"/>
              </w:rPr>
              <w:t>13 de octubre</w:t>
            </w:r>
          </w:p>
          <w:p w:rsidR="00B134A2" w:rsidRPr="00306B60" w:rsidRDefault="00B134A2" w:rsidP="00846064">
            <w:pPr>
              <w:numPr>
                <w:ilvl w:val="0"/>
                <w:numId w:val="21"/>
              </w:numPr>
              <w:shd w:val="clear" w:color="auto" w:fill="CCFFFF"/>
              <w:tabs>
                <w:tab w:val="num" w:pos="426"/>
              </w:tabs>
              <w:ind w:hanging="578"/>
              <w:rPr>
                <w:rFonts w:cs="Lucida Sans Unicode"/>
                <w:sz w:val="18"/>
                <w:szCs w:val="18"/>
              </w:rPr>
            </w:pPr>
            <w:r w:rsidRPr="00306B60">
              <w:rPr>
                <w:rFonts w:cs="Lucida Sans Unicode"/>
                <w:sz w:val="18"/>
                <w:szCs w:val="18"/>
              </w:rPr>
              <w:t>27 de noviembre</w:t>
            </w:r>
          </w:p>
        </w:tc>
        <w:tc>
          <w:tcPr>
            <w:tcW w:w="1321" w:type="pct"/>
            <w:hideMark/>
          </w:tcPr>
          <w:p w:rsidR="00B134A2" w:rsidRPr="00306B60" w:rsidRDefault="00B134A2" w:rsidP="00B134A2">
            <w:pPr>
              <w:tabs>
                <w:tab w:val="left" w:pos="4792"/>
              </w:tabs>
              <w:jc w:val="center"/>
              <w:rPr>
                <w:rFonts w:cs="Lucida Sans Unicode"/>
                <w:sz w:val="18"/>
                <w:szCs w:val="18"/>
              </w:rPr>
            </w:pPr>
            <w:r w:rsidRPr="00306B60">
              <w:rPr>
                <w:rFonts w:cs="Lucida Sans Unicode"/>
                <w:sz w:val="18"/>
                <w:szCs w:val="18"/>
              </w:rPr>
              <w:t>Evaluación de Riesgos Laborales por el Servicio de Prevención.</w:t>
            </w:r>
          </w:p>
          <w:p w:rsidR="00B134A2" w:rsidRPr="00306B60" w:rsidRDefault="00B134A2" w:rsidP="00846064">
            <w:pPr>
              <w:numPr>
                <w:ilvl w:val="0"/>
                <w:numId w:val="21"/>
              </w:numPr>
              <w:shd w:val="clear" w:color="auto" w:fill="CCFFFF"/>
              <w:tabs>
                <w:tab w:val="num" w:pos="426"/>
              </w:tabs>
              <w:ind w:left="478" w:hanging="336"/>
              <w:rPr>
                <w:rFonts w:cs="Lucida Sans Unicode"/>
                <w:b/>
                <w:color w:val="FFFFFF"/>
                <w:sz w:val="18"/>
                <w:szCs w:val="18"/>
              </w:rPr>
            </w:pPr>
            <w:r w:rsidRPr="00306B60">
              <w:rPr>
                <w:rFonts w:cs="Lucida Sans Unicode"/>
                <w:sz w:val="18"/>
                <w:szCs w:val="18"/>
              </w:rPr>
              <w:t>Mayo de 2012</w:t>
            </w:r>
          </w:p>
          <w:p w:rsidR="00B134A2" w:rsidRPr="00306B60" w:rsidRDefault="00B134A2" w:rsidP="00846064">
            <w:pPr>
              <w:numPr>
                <w:ilvl w:val="0"/>
                <w:numId w:val="21"/>
              </w:numPr>
              <w:shd w:val="clear" w:color="auto" w:fill="CCFFFF"/>
              <w:tabs>
                <w:tab w:val="num" w:pos="426"/>
              </w:tabs>
              <w:ind w:left="478" w:hanging="336"/>
              <w:rPr>
                <w:rFonts w:cs="Lucida Sans Unicode"/>
                <w:b/>
                <w:color w:val="FFFFFF"/>
                <w:sz w:val="18"/>
                <w:szCs w:val="18"/>
              </w:rPr>
            </w:pPr>
            <w:r w:rsidRPr="00306B60">
              <w:rPr>
                <w:rFonts w:cs="Lucida Sans Unicode"/>
                <w:sz w:val="18"/>
                <w:szCs w:val="18"/>
              </w:rPr>
              <w:t>Mayo de 2017 (evaluación diferentes departamentos)</w:t>
            </w:r>
          </w:p>
          <w:p w:rsidR="00B134A2" w:rsidRPr="00306B60" w:rsidRDefault="00B134A2" w:rsidP="00846064">
            <w:pPr>
              <w:numPr>
                <w:ilvl w:val="0"/>
                <w:numId w:val="21"/>
              </w:numPr>
              <w:shd w:val="clear" w:color="auto" w:fill="CCFFFF"/>
              <w:tabs>
                <w:tab w:val="num" w:pos="426"/>
              </w:tabs>
              <w:ind w:left="478" w:hanging="336"/>
              <w:rPr>
                <w:rFonts w:cs="Lucida Sans Unicode"/>
                <w:b/>
                <w:color w:val="FFFFFF"/>
                <w:sz w:val="18"/>
                <w:szCs w:val="18"/>
              </w:rPr>
            </w:pPr>
            <w:r w:rsidRPr="00306B60">
              <w:rPr>
                <w:rFonts w:cs="Lucida Sans Unicode"/>
                <w:sz w:val="18"/>
                <w:szCs w:val="18"/>
              </w:rPr>
              <w:t>Septiembre de 2017 Evaluación de Riesgos Psicosociales</w:t>
            </w:r>
          </w:p>
          <w:p w:rsidR="00B134A2" w:rsidRPr="00306B60" w:rsidRDefault="00B134A2" w:rsidP="00846064">
            <w:pPr>
              <w:numPr>
                <w:ilvl w:val="0"/>
                <w:numId w:val="21"/>
              </w:numPr>
              <w:shd w:val="clear" w:color="auto" w:fill="CCFFFF"/>
              <w:tabs>
                <w:tab w:val="num" w:pos="426"/>
              </w:tabs>
              <w:ind w:left="478" w:hanging="336"/>
              <w:rPr>
                <w:rFonts w:cs="Lucida Sans Unicode"/>
                <w:b/>
                <w:color w:val="FFFFFF"/>
                <w:sz w:val="18"/>
                <w:szCs w:val="18"/>
              </w:rPr>
            </w:pPr>
            <w:r w:rsidRPr="00306B60">
              <w:rPr>
                <w:rFonts w:cs="Lucida Sans Unicode"/>
                <w:sz w:val="18"/>
                <w:szCs w:val="18"/>
              </w:rPr>
              <w:t>Octubre 2019 (valoración en diferentes departamentos)</w:t>
            </w:r>
          </w:p>
        </w:tc>
        <w:tc>
          <w:tcPr>
            <w:tcW w:w="1095" w:type="pct"/>
          </w:tcPr>
          <w:p w:rsidR="00B134A2" w:rsidRPr="00306B60" w:rsidRDefault="00B134A2" w:rsidP="00B134A2">
            <w:pPr>
              <w:tabs>
                <w:tab w:val="left" w:pos="4792"/>
              </w:tabs>
              <w:jc w:val="center"/>
              <w:rPr>
                <w:rFonts w:cs="Lucida Sans Unicode"/>
                <w:sz w:val="18"/>
                <w:szCs w:val="18"/>
              </w:rPr>
            </w:pPr>
            <w:r w:rsidRPr="00306B60">
              <w:rPr>
                <w:rFonts w:cs="Lucida Sans Unicode"/>
                <w:sz w:val="18"/>
                <w:szCs w:val="18"/>
              </w:rPr>
              <w:t>Reciclaje anual del Plan de Autoprotección para todos los trabajadores y para los equipos de intervención.</w:t>
            </w:r>
          </w:p>
          <w:p w:rsidR="00B134A2" w:rsidRPr="00306B60" w:rsidRDefault="00B134A2" w:rsidP="00B134A2">
            <w:pPr>
              <w:tabs>
                <w:tab w:val="left" w:pos="4792"/>
              </w:tabs>
              <w:jc w:val="center"/>
              <w:rPr>
                <w:rFonts w:cs="Lucida Sans Unicode"/>
                <w:sz w:val="18"/>
                <w:szCs w:val="18"/>
              </w:rPr>
            </w:pPr>
          </w:p>
          <w:p w:rsidR="00B134A2" w:rsidRPr="00306B60" w:rsidRDefault="00B134A2" w:rsidP="00846064">
            <w:pPr>
              <w:numPr>
                <w:ilvl w:val="0"/>
                <w:numId w:val="21"/>
              </w:numPr>
              <w:shd w:val="clear" w:color="auto" w:fill="CCFFFF"/>
              <w:tabs>
                <w:tab w:val="num" w:pos="426"/>
              </w:tabs>
              <w:ind w:hanging="578"/>
              <w:rPr>
                <w:rFonts w:cs="Lucida Sans Unicode"/>
                <w:sz w:val="18"/>
                <w:szCs w:val="18"/>
              </w:rPr>
            </w:pPr>
            <w:r w:rsidRPr="00306B60">
              <w:rPr>
                <w:rFonts w:cs="Lucida Sans Unicode"/>
                <w:sz w:val="18"/>
                <w:szCs w:val="18"/>
              </w:rPr>
              <w:t>25 Noviem</w:t>
            </w:r>
          </w:p>
          <w:p w:rsidR="00B134A2" w:rsidRPr="00306B60" w:rsidRDefault="00B134A2" w:rsidP="00B134A2">
            <w:pPr>
              <w:tabs>
                <w:tab w:val="left" w:pos="4792"/>
              </w:tabs>
              <w:jc w:val="center"/>
              <w:rPr>
                <w:rFonts w:cs="Lucida Sans Unicode"/>
                <w:sz w:val="18"/>
                <w:szCs w:val="18"/>
              </w:rPr>
            </w:pPr>
          </w:p>
          <w:p w:rsidR="00B134A2" w:rsidRPr="00306B60" w:rsidRDefault="00B134A2" w:rsidP="00B134A2">
            <w:pPr>
              <w:tabs>
                <w:tab w:val="left" w:pos="4792"/>
              </w:tabs>
              <w:jc w:val="center"/>
              <w:rPr>
                <w:rFonts w:cs="Lucida Sans Unicode"/>
                <w:sz w:val="18"/>
                <w:szCs w:val="18"/>
              </w:rPr>
            </w:pPr>
            <w:r w:rsidRPr="00306B60">
              <w:rPr>
                <w:rFonts w:cs="Lucida Sans Unicode"/>
                <w:sz w:val="18"/>
                <w:szCs w:val="18"/>
              </w:rPr>
              <w:t>Simulacro de Emergencia</w:t>
            </w:r>
          </w:p>
          <w:p w:rsidR="00B134A2" w:rsidRPr="00306B60" w:rsidRDefault="00B134A2" w:rsidP="00B134A2">
            <w:pPr>
              <w:tabs>
                <w:tab w:val="left" w:pos="4792"/>
              </w:tabs>
              <w:jc w:val="center"/>
              <w:rPr>
                <w:rFonts w:cs="Lucida Sans Unicode"/>
                <w:sz w:val="18"/>
                <w:szCs w:val="18"/>
              </w:rPr>
            </w:pPr>
            <w:r w:rsidRPr="00306B60">
              <w:rPr>
                <w:rFonts w:cs="Lucida Sans Unicode"/>
                <w:sz w:val="18"/>
                <w:szCs w:val="18"/>
              </w:rPr>
              <w:t xml:space="preserve"> y Evacuación</w:t>
            </w:r>
          </w:p>
          <w:p w:rsidR="00B134A2" w:rsidRPr="00306B60" w:rsidRDefault="00B134A2" w:rsidP="00B134A2">
            <w:pPr>
              <w:tabs>
                <w:tab w:val="left" w:pos="4792"/>
              </w:tabs>
              <w:jc w:val="center"/>
              <w:rPr>
                <w:rFonts w:cs="Lucida Sans Unicode"/>
                <w:sz w:val="18"/>
                <w:szCs w:val="18"/>
              </w:rPr>
            </w:pPr>
            <w:r w:rsidRPr="00306B60">
              <w:rPr>
                <w:rFonts w:cs="Lucida Sans Unicode"/>
                <w:sz w:val="18"/>
                <w:szCs w:val="18"/>
              </w:rPr>
              <w:t>(Turnos mañana y tarde).</w:t>
            </w:r>
          </w:p>
          <w:p w:rsidR="00B134A2" w:rsidRPr="00306B60" w:rsidRDefault="00B134A2" w:rsidP="00846064">
            <w:pPr>
              <w:numPr>
                <w:ilvl w:val="0"/>
                <w:numId w:val="21"/>
              </w:numPr>
              <w:shd w:val="clear" w:color="auto" w:fill="CCFFFF"/>
              <w:tabs>
                <w:tab w:val="num" w:pos="426"/>
              </w:tabs>
              <w:ind w:hanging="578"/>
              <w:rPr>
                <w:rFonts w:cs="Lucida Sans Unicode"/>
                <w:b/>
                <w:sz w:val="18"/>
                <w:szCs w:val="18"/>
              </w:rPr>
            </w:pPr>
            <w:r w:rsidRPr="00306B60">
              <w:rPr>
                <w:rFonts w:cs="Lucida Sans Unicode"/>
                <w:sz w:val="18"/>
                <w:szCs w:val="18"/>
              </w:rPr>
              <w:t>Noviembre</w:t>
            </w:r>
          </w:p>
        </w:tc>
        <w:tc>
          <w:tcPr>
            <w:tcW w:w="1303" w:type="pct"/>
            <w:hideMark/>
          </w:tcPr>
          <w:p w:rsidR="00B134A2" w:rsidRPr="00306B60" w:rsidRDefault="00B134A2" w:rsidP="00B134A2">
            <w:pPr>
              <w:tabs>
                <w:tab w:val="left" w:pos="4792"/>
              </w:tabs>
              <w:jc w:val="center"/>
              <w:rPr>
                <w:rFonts w:cs="Lucida Sans Unicode"/>
                <w:sz w:val="18"/>
                <w:szCs w:val="18"/>
              </w:rPr>
            </w:pPr>
            <w:r w:rsidRPr="00306B60">
              <w:rPr>
                <w:rFonts w:cs="Lucida Sans Unicode"/>
                <w:sz w:val="18"/>
                <w:szCs w:val="18"/>
              </w:rPr>
              <w:t>Información de los trabajadores en materia preventiva.</w:t>
            </w:r>
          </w:p>
          <w:p w:rsidR="00B134A2" w:rsidRPr="00306B60" w:rsidRDefault="00B134A2" w:rsidP="00846064">
            <w:pPr>
              <w:numPr>
                <w:ilvl w:val="0"/>
                <w:numId w:val="22"/>
              </w:numPr>
              <w:shd w:val="clear" w:color="auto" w:fill="CCFFFF"/>
              <w:ind w:left="1170" w:hanging="425"/>
              <w:rPr>
                <w:rFonts w:cs="Lucida Sans Unicode"/>
                <w:sz w:val="18"/>
                <w:szCs w:val="18"/>
              </w:rPr>
            </w:pPr>
            <w:r w:rsidRPr="00306B60">
              <w:rPr>
                <w:rFonts w:cs="Lucida Sans Unicode"/>
                <w:sz w:val="18"/>
                <w:szCs w:val="18"/>
              </w:rPr>
              <w:t>2 julio</w:t>
            </w:r>
          </w:p>
        </w:tc>
      </w:tr>
      <w:tr w:rsidR="00B134A2" w:rsidRPr="00306B60" w:rsidTr="00306B60">
        <w:trPr>
          <w:gridAfter w:val="3"/>
          <w:wAfter w:w="6188" w:type="dxa"/>
          <w:trHeight w:val="984"/>
        </w:trPr>
        <w:tc>
          <w:tcPr>
            <w:tcW w:w="1281" w:type="pct"/>
            <w:hideMark/>
          </w:tcPr>
          <w:p w:rsidR="00B134A2" w:rsidRPr="00306B60" w:rsidRDefault="00B134A2" w:rsidP="00B134A2">
            <w:pPr>
              <w:jc w:val="center"/>
              <w:rPr>
                <w:rFonts w:cs="Lucida Sans Unicode"/>
                <w:sz w:val="18"/>
                <w:szCs w:val="18"/>
              </w:rPr>
            </w:pPr>
            <w:r w:rsidRPr="00306B60">
              <w:rPr>
                <w:rFonts w:cs="Lucida Sans Unicode"/>
                <w:sz w:val="18"/>
                <w:szCs w:val="18"/>
              </w:rPr>
              <w:t>Revisión de las Fichas de Datos de Seguridad de los laboratorios</w:t>
            </w:r>
          </w:p>
        </w:tc>
      </w:tr>
    </w:tbl>
    <w:p w:rsidR="00BC636A" w:rsidRDefault="00BC636A" w:rsidP="003D5581">
      <w:pPr>
        <w:pStyle w:val="Ttulo2"/>
      </w:pPr>
    </w:p>
    <w:p w:rsidR="00BC636A" w:rsidRDefault="00BC636A">
      <w:pPr>
        <w:rPr>
          <w:rFonts w:ascii="Montserrat SemiBold" w:eastAsia="Times New Roman" w:hAnsi="Montserrat SemiBold" w:cs="Times New Roman"/>
          <w:b/>
          <w:bCs/>
          <w:color w:val="0099CC"/>
          <w:szCs w:val="26"/>
          <w:lang w:val="x-none" w:eastAsia="x-none"/>
        </w:rPr>
      </w:pPr>
      <w:r>
        <w:br w:type="page"/>
      </w:r>
    </w:p>
    <w:p w:rsidR="00B134A2" w:rsidRPr="00306B60" w:rsidRDefault="00B134A2" w:rsidP="00306B60">
      <w:pPr>
        <w:pStyle w:val="Ttulo2"/>
      </w:pPr>
      <w:bookmarkStart w:id="99" w:name="_Toc90584913"/>
      <w:r w:rsidRPr="00306B60">
        <w:lastRenderedPageBreak/>
        <w:t>Notificación e investigación de accidentes laborales</w:t>
      </w:r>
      <w:bookmarkEnd w:id="99"/>
    </w:p>
    <w:p w:rsidR="00B134A2" w:rsidRPr="00A71B61" w:rsidRDefault="00B134A2" w:rsidP="00B134A2">
      <w:pPr>
        <w:rPr>
          <w:szCs w:val="20"/>
          <w:lang w:val="x-none" w:eastAsia="x-none"/>
        </w:rPr>
      </w:pPr>
    </w:p>
    <w:p w:rsidR="00B134A2" w:rsidRPr="00A71B61" w:rsidRDefault="00B134A2" w:rsidP="00B134A2">
      <w:pPr>
        <w:rPr>
          <w:szCs w:val="20"/>
          <w:lang w:val="x-none" w:eastAsia="x-none"/>
        </w:rPr>
      </w:pPr>
      <w:r w:rsidRPr="00A71B61">
        <w:rPr>
          <w:noProof/>
          <w:szCs w:val="20"/>
          <w:lang w:eastAsia="es-ES"/>
        </w:rPr>
        <w:drawing>
          <wp:inline distT="0" distB="0" distL="0" distR="0">
            <wp:extent cx="5041265" cy="2660015"/>
            <wp:effectExtent l="0" t="0" r="6985" b="698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35" cstate="screen">
                      <a:extLst>
                        <a:ext uri="{28A0092B-C50C-407E-A947-70E740481C1C}">
                          <a14:useLocalDpi xmlns:a14="http://schemas.microsoft.com/office/drawing/2010/main" val="0"/>
                        </a:ext>
                      </a:extLst>
                    </a:blip>
                    <a:srcRect/>
                    <a:stretch>
                      <a:fillRect/>
                    </a:stretch>
                  </pic:blipFill>
                  <pic:spPr bwMode="auto">
                    <a:xfrm>
                      <a:off x="0" y="0"/>
                      <a:ext cx="5041265" cy="2660015"/>
                    </a:xfrm>
                    <a:prstGeom prst="rect">
                      <a:avLst/>
                    </a:prstGeom>
                    <a:noFill/>
                    <a:ln>
                      <a:noFill/>
                    </a:ln>
                  </pic:spPr>
                </pic:pic>
              </a:graphicData>
            </a:graphic>
          </wp:inline>
        </w:drawing>
      </w:r>
    </w:p>
    <w:p w:rsidR="00B134A2" w:rsidRPr="00A71B61" w:rsidRDefault="00B134A2" w:rsidP="00B134A2">
      <w:pPr>
        <w:rPr>
          <w:szCs w:val="20"/>
          <w:lang w:eastAsia="x-none"/>
        </w:rPr>
      </w:pPr>
    </w:p>
    <w:p w:rsidR="00B134A2" w:rsidRDefault="00B134A2" w:rsidP="00BC636A">
      <w:pPr>
        <w:pStyle w:val="Ttulo2"/>
      </w:pPr>
      <w:bookmarkStart w:id="100" w:name="_Toc90584914"/>
      <w:r w:rsidRPr="00BC636A">
        <w:t>Vigilancia de la salud</w:t>
      </w:r>
      <w:bookmarkEnd w:id="100"/>
    </w:p>
    <w:p w:rsidR="00306B60" w:rsidRPr="00306B60" w:rsidRDefault="00306B60" w:rsidP="00306B60">
      <w:pPr>
        <w:rPr>
          <w:lang w:val="x-none" w:eastAsia="x-none"/>
        </w:rPr>
      </w:pPr>
    </w:p>
    <w:p w:rsidR="00B134A2" w:rsidRPr="00A71B61" w:rsidRDefault="00B134A2" w:rsidP="00306B60">
      <w:r w:rsidRPr="00A71B61">
        <w:t>El Servicio de Prevención Mancomunado del Hospital Universitario Infanta Leonor en el marco de la actividad realizada en Vigilancia de la Salud en el Ejercicio 2020 realizó:</w:t>
      </w:r>
    </w:p>
    <w:p w:rsidR="00B134A2" w:rsidRPr="00A71B61" w:rsidRDefault="00B134A2" w:rsidP="00846064">
      <w:pPr>
        <w:pStyle w:val="Prrafodelista"/>
        <w:numPr>
          <w:ilvl w:val="0"/>
          <w:numId w:val="33"/>
        </w:numPr>
      </w:pPr>
      <w:r w:rsidRPr="00A71B61">
        <w:t>18 exámenes de salud</w:t>
      </w:r>
    </w:p>
    <w:p w:rsidR="00B134A2" w:rsidRPr="00A71B61" w:rsidRDefault="00B134A2" w:rsidP="00846064">
      <w:pPr>
        <w:pStyle w:val="Prrafodelista"/>
        <w:numPr>
          <w:ilvl w:val="0"/>
          <w:numId w:val="33"/>
        </w:numPr>
      </w:pPr>
      <w:r w:rsidRPr="00A71B61">
        <w:t>10 iniciales</w:t>
      </w:r>
    </w:p>
    <w:p w:rsidR="00B134A2" w:rsidRPr="00A71B61" w:rsidRDefault="00B134A2" w:rsidP="00846064">
      <w:pPr>
        <w:pStyle w:val="Prrafodelista"/>
        <w:numPr>
          <w:ilvl w:val="0"/>
          <w:numId w:val="33"/>
        </w:numPr>
      </w:pPr>
      <w:r w:rsidRPr="00A71B61">
        <w:t>8 periódicos</w:t>
      </w:r>
    </w:p>
    <w:p w:rsidR="00B134A2" w:rsidRPr="00A71B61" w:rsidRDefault="00B134A2" w:rsidP="00846064">
      <w:pPr>
        <w:pStyle w:val="Prrafodelista"/>
        <w:numPr>
          <w:ilvl w:val="0"/>
          <w:numId w:val="33"/>
        </w:numPr>
      </w:pPr>
      <w:r w:rsidRPr="00A71B61">
        <w:t>1 adaptación de puesto de trabajo.</w:t>
      </w:r>
    </w:p>
    <w:p w:rsidR="00B134A2" w:rsidRPr="00A71B61" w:rsidRDefault="00B134A2" w:rsidP="00846064">
      <w:pPr>
        <w:pStyle w:val="Prrafodelista"/>
        <w:numPr>
          <w:ilvl w:val="0"/>
          <w:numId w:val="33"/>
        </w:numPr>
      </w:pPr>
      <w:r w:rsidRPr="00A71B61">
        <w:t>17 Vacunaciones</w:t>
      </w:r>
    </w:p>
    <w:p w:rsidR="00B134A2" w:rsidRPr="00A71B61" w:rsidRDefault="00B134A2" w:rsidP="00846064">
      <w:pPr>
        <w:pStyle w:val="Prrafodelista"/>
        <w:numPr>
          <w:ilvl w:val="0"/>
          <w:numId w:val="33"/>
        </w:numPr>
      </w:pPr>
      <w:r w:rsidRPr="00A71B61">
        <w:t>3 VHA</w:t>
      </w:r>
    </w:p>
    <w:p w:rsidR="00B134A2" w:rsidRPr="00A71B61" w:rsidRDefault="00B134A2" w:rsidP="00846064">
      <w:pPr>
        <w:pStyle w:val="Prrafodelista"/>
        <w:numPr>
          <w:ilvl w:val="0"/>
          <w:numId w:val="33"/>
        </w:numPr>
      </w:pPr>
      <w:r w:rsidRPr="00A71B61">
        <w:t>6 VHB</w:t>
      </w:r>
    </w:p>
    <w:p w:rsidR="00B134A2" w:rsidRPr="00A71B61" w:rsidRDefault="00B134A2" w:rsidP="00846064">
      <w:pPr>
        <w:pStyle w:val="Prrafodelista"/>
        <w:numPr>
          <w:ilvl w:val="0"/>
          <w:numId w:val="33"/>
        </w:numPr>
      </w:pPr>
      <w:r w:rsidRPr="00A71B61">
        <w:t>1 tétanos-difteria</w:t>
      </w:r>
    </w:p>
    <w:p w:rsidR="00B134A2" w:rsidRPr="00A71B61" w:rsidRDefault="00B134A2" w:rsidP="00846064">
      <w:pPr>
        <w:pStyle w:val="Prrafodelista"/>
        <w:numPr>
          <w:ilvl w:val="0"/>
          <w:numId w:val="33"/>
        </w:numPr>
      </w:pPr>
      <w:r w:rsidRPr="00A71B61">
        <w:t>1 triple vírica</w:t>
      </w:r>
    </w:p>
    <w:p w:rsidR="00B134A2" w:rsidRPr="00A71B61" w:rsidRDefault="00B134A2" w:rsidP="00846064">
      <w:pPr>
        <w:pStyle w:val="Prrafodelista"/>
        <w:numPr>
          <w:ilvl w:val="0"/>
          <w:numId w:val="33"/>
        </w:numPr>
      </w:pPr>
      <w:r w:rsidRPr="00A71B61">
        <w:t>5 PPD</w:t>
      </w:r>
    </w:p>
    <w:p w:rsidR="00B134A2" w:rsidRPr="00A71B61" w:rsidRDefault="00B134A2" w:rsidP="00306B60">
      <w:r w:rsidRPr="00A71B61">
        <w:t>El Centro de Transfusión se ha encargado de administrar la vacuna antigripal que ha proporcionado el Servicio de Prevención, se han vacunado 69 trabajadores.</w:t>
      </w:r>
    </w:p>
    <w:p w:rsidR="00B134A2" w:rsidRPr="00BC636A" w:rsidRDefault="00B134A2" w:rsidP="00BC636A">
      <w:pPr>
        <w:pStyle w:val="Ttulo2"/>
      </w:pPr>
      <w:bookmarkStart w:id="101" w:name="_Toc90584915"/>
      <w:r w:rsidRPr="00BC636A">
        <w:t>Red de hospitales sin humo</w:t>
      </w:r>
      <w:bookmarkEnd w:id="101"/>
    </w:p>
    <w:p w:rsidR="00B134A2" w:rsidRPr="00A71B61" w:rsidRDefault="00B134A2" w:rsidP="00306B60">
      <w:r w:rsidRPr="00A71B61">
        <w:t>El Centro pertenece a la Red de Hospitales sin Humo (HsH), debido a la epidemia de COVID-19 no se ha realizado la entrega de acreditaciones por la actividad preventiva durante el ejercicio de 2019.</w:t>
      </w:r>
    </w:p>
    <w:p w:rsidR="00B134A2" w:rsidRPr="00BC636A" w:rsidRDefault="00B134A2" w:rsidP="00BC636A">
      <w:pPr>
        <w:pStyle w:val="Ttulo2"/>
      </w:pPr>
      <w:bookmarkStart w:id="102" w:name="_Toc90584916"/>
      <w:r w:rsidRPr="00BC636A">
        <w:lastRenderedPageBreak/>
        <w:t>Coordinación de actividades empresariales</w:t>
      </w:r>
      <w:bookmarkEnd w:id="102"/>
    </w:p>
    <w:p w:rsidR="00B134A2" w:rsidRPr="00A71B61" w:rsidRDefault="00B134A2" w:rsidP="00306B60">
      <w:r w:rsidRPr="00A71B61">
        <w:t>Se realiza la coordinación de actividades empresariales así como el control de la documentación de las empresas que realizan su labor en el CTCM.</w:t>
      </w:r>
    </w:p>
    <w:p w:rsidR="00B134A2" w:rsidRPr="00A71B61" w:rsidRDefault="00B134A2" w:rsidP="00B134A2">
      <w:pPr>
        <w:rPr>
          <w:szCs w:val="20"/>
          <w:lang w:eastAsia="x-none"/>
        </w:rPr>
      </w:pPr>
    </w:p>
    <w:p w:rsidR="00303C38" w:rsidRPr="00A71B61" w:rsidRDefault="00303C38" w:rsidP="0099762D">
      <w:pPr>
        <w:autoSpaceDE w:val="0"/>
        <w:autoSpaceDN w:val="0"/>
        <w:adjustRightInd w:val="0"/>
        <w:spacing w:after="0" w:line="240" w:lineRule="auto"/>
        <w:rPr>
          <w:rFonts w:asciiTheme="majorHAnsi" w:hAnsiTheme="majorHAnsi" w:cs="AdvTTa9c1b374"/>
          <w:b/>
          <w:szCs w:val="20"/>
        </w:rPr>
      </w:pPr>
    </w:p>
    <w:p w:rsidR="0099762D" w:rsidRPr="00A71B61" w:rsidRDefault="0099762D" w:rsidP="0099762D">
      <w:pPr>
        <w:autoSpaceDE w:val="0"/>
        <w:autoSpaceDN w:val="0"/>
        <w:adjustRightInd w:val="0"/>
        <w:spacing w:after="0" w:line="240" w:lineRule="auto"/>
        <w:rPr>
          <w:rFonts w:asciiTheme="majorHAnsi" w:hAnsiTheme="majorHAnsi" w:cs="Calibri"/>
          <w:b/>
          <w:szCs w:val="20"/>
        </w:rPr>
      </w:pPr>
    </w:p>
    <w:sectPr w:rsidR="0099762D" w:rsidRPr="00A71B61" w:rsidSect="00431B21">
      <w:pgSz w:w="11906" w:h="16838" w:code="9"/>
      <w:pgMar w:top="1276" w:right="2268" w:bottom="1702" w:left="1701" w:header="73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6064" w:rsidRDefault="00846064" w:rsidP="00D538BD">
      <w:pPr>
        <w:spacing w:after="0" w:line="240" w:lineRule="auto"/>
      </w:pPr>
      <w:r>
        <w:separator/>
      </w:r>
    </w:p>
  </w:endnote>
  <w:endnote w:type="continuationSeparator" w:id="0">
    <w:p w:rsidR="00846064" w:rsidRDefault="00846064" w:rsidP="00D538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Times New Roman"/>
    <w:panose1 w:val="00000500000000000000"/>
    <w:charset w:val="00"/>
    <w:family w:val="modern"/>
    <w:notTrueType/>
    <w:pitch w:val="variable"/>
    <w:sig w:usb0="2000020F" w:usb1="00000003" w:usb2="00000000" w:usb3="00000000" w:csb0="00000197" w:csb1="00000000"/>
  </w:font>
  <w:font w:name="Montserrat SemiBold">
    <w:panose1 w:val="00000700000000000000"/>
    <w:charset w:val="00"/>
    <w:family w:val="modern"/>
    <w:notTrueType/>
    <w:pitch w:val="variable"/>
    <w:sig w:usb0="2000020F" w:usb1="00000003" w:usb2="00000000" w:usb3="00000000" w:csb0="00000197"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LucidaSansUnicode">
    <w:panose1 w:val="00000000000000000000"/>
    <w:charset w:val="00"/>
    <w:family w:val="roman"/>
    <w:notTrueType/>
    <w:pitch w:val="default"/>
    <w:sig w:usb0="00000003" w:usb1="00000000" w:usb2="00000000" w:usb3="00000000" w:csb0="00000001" w:csb1="00000000"/>
  </w:font>
  <w:font w:name="LucidaSans">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AdvTT6071803a.B">
    <w:panose1 w:val="00000000000000000000"/>
    <w:charset w:val="00"/>
    <w:family w:val="swiss"/>
    <w:notTrueType/>
    <w:pitch w:val="default"/>
    <w:sig w:usb0="00000003" w:usb1="00000000" w:usb2="00000000" w:usb3="00000000" w:csb0="00000001" w:csb1="00000000"/>
  </w:font>
  <w:font w:name="StempelSchneidler-Roman">
    <w:panose1 w:val="00000000000000000000"/>
    <w:charset w:val="00"/>
    <w:family w:val="swiss"/>
    <w:notTrueType/>
    <w:pitch w:val="default"/>
    <w:sig w:usb0="00000003" w:usb1="00000000" w:usb2="00000000" w:usb3="00000000" w:csb0="00000001" w:csb1="00000000"/>
  </w:font>
  <w:font w:name="AdvTTa9c1b374">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8589122"/>
      <w:docPartObj>
        <w:docPartGallery w:val="Page Numbers (Bottom of Page)"/>
        <w:docPartUnique/>
      </w:docPartObj>
    </w:sdtPr>
    <w:sdtContent>
      <w:p w:rsidR="00E87599" w:rsidRDefault="00E87599">
        <w:pPr>
          <w:pStyle w:val="Piedepgina"/>
          <w:jc w:val="center"/>
        </w:pPr>
        <w:r>
          <w:rPr>
            <w:noProof/>
            <w:lang w:eastAsia="es-ES"/>
          </w:rPr>
          <w:drawing>
            <wp:anchor distT="0" distB="0" distL="114300" distR="114300" simplePos="0" relativeHeight="251659264" behindDoc="1" locked="0" layoutInCell="1" allowOverlap="1" wp14:anchorId="683E20C4" wp14:editId="327BEACD">
              <wp:simplePos x="0" y="0"/>
              <wp:positionH relativeFrom="page">
                <wp:align>right</wp:align>
              </wp:positionH>
              <wp:positionV relativeFrom="paragraph">
                <wp:posOffset>-550545</wp:posOffset>
              </wp:positionV>
              <wp:extent cx="7669530" cy="1120775"/>
              <wp:effectExtent l="0" t="0" r="762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431B21">
          <w:rPr>
            <w:rFonts w:ascii="Montserrat SemiBold" w:hAnsi="Montserrat SemiBold"/>
            <w:color w:val="0099CC"/>
          </w:rPr>
          <w:fldChar w:fldCharType="begin"/>
        </w:r>
        <w:r w:rsidRPr="00431B21">
          <w:rPr>
            <w:rFonts w:ascii="Montserrat SemiBold" w:hAnsi="Montserrat SemiBold"/>
            <w:color w:val="0099CC"/>
          </w:rPr>
          <w:instrText>PAGE   \* MERGEFORMAT</w:instrText>
        </w:r>
        <w:r w:rsidRPr="00431B21">
          <w:rPr>
            <w:rFonts w:ascii="Montserrat SemiBold" w:hAnsi="Montserrat SemiBold"/>
            <w:color w:val="0099CC"/>
          </w:rPr>
          <w:fldChar w:fldCharType="separate"/>
        </w:r>
        <w:r w:rsidR="00AB3790">
          <w:rPr>
            <w:rFonts w:ascii="Montserrat SemiBold" w:hAnsi="Montserrat SemiBold"/>
            <w:noProof/>
            <w:color w:val="0099CC"/>
          </w:rPr>
          <w:t>4</w:t>
        </w:r>
        <w:r w:rsidRPr="00431B21">
          <w:rPr>
            <w:rFonts w:ascii="Montserrat SemiBold" w:hAnsi="Montserrat SemiBold"/>
            <w:color w:val="0099CC"/>
          </w:rPr>
          <w:fldChar w:fldCharType="end"/>
        </w:r>
      </w:p>
    </w:sdtContent>
  </w:sdt>
  <w:p w:rsidR="00E87599" w:rsidRDefault="00E875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6064" w:rsidRDefault="00846064" w:rsidP="00D538BD">
      <w:pPr>
        <w:spacing w:after="0" w:line="240" w:lineRule="auto"/>
      </w:pPr>
      <w:r>
        <w:separator/>
      </w:r>
    </w:p>
  </w:footnote>
  <w:footnote w:type="continuationSeparator" w:id="0">
    <w:p w:rsidR="00846064" w:rsidRDefault="00846064" w:rsidP="00D538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599" w:rsidRPr="001A5663" w:rsidRDefault="00E87599" w:rsidP="00431B21">
    <w:pPr>
      <w:pStyle w:val="Piedepgina"/>
      <w:pBdr>
        <w:bottom w:val="single" w:sz="2" w:space="1" w:color="BDD6EE" w:themeColor="accent1" w:themeTint="66"/>
      </w:pBdr>
      <w:rPr>
        <w:rFonts w:ascii="Montserrat SemiBold" w:hAnsi="Montserrat SemiBold" w:cs="Arial"/>
        <w:color w:val="7F7F7F" w:themeColor="text1" w:themeTint="80"/>
        <w:sz w:val="18"/>
      </w:rPr>
    </w:pPr>
    <w:r w:rsidRPr="00431B21">
      <w:rPr>
        <w:noProof/>
        <w:color w:val="7F7F7F" w:themeColor="text1" w:themeTint="80"/>
        <w:sz w:val="16"/>
        <w:szCs w:val="16"/>
      </w:rPr>
      <w:t>Centro de Transfusión de la Comunidad de Madrid</w:t>
    </w:r>
    <w:r w:rsidRPr="001A5663">
      <w:rPr>
        <w:rFonts w:ascii="Montserrat SemiBold" w:hAnsi="Montserrat SemiBold"/>
        <w:noProof/>
        <w:color w:val="7F7F7F" w:themeColor="text1" w:themeTint="80"/>
      </w:rPr>
      <w:tab/>
    </w:r>
    <w:r w:rsidRPr="001A5663">
      <w:rPr>
        <w:rFonts w:ascii="Montserrat SemiBold" w:hAnsi="Montserrat SemiBold"/>
        <w:noProof/>
        <w:color w:val="7F7F7F" w:themeColor="text1" w:themeTint="80"/>
      </w:rPr>
      <w:tab/>
    </w:r>
    <w:r w:rsidRPr="00431B21">
      <w:rPr>
        <w:rFonts w:ascii="Montserrat SemiBold" w:hAnsi="Montserrat SemiBold" w:cs="Arial"/>
        <w:color w:val="1485BE"/>
        <w:sz w:val="16"/>
        <w:szCs w:val="16"/>
      </w:rPr>
      <w:t>Memoria 2020</w:t>
    </w:r>
  </w:p>
  <w:p w:rsidR="00E87599" w:rsidRDefault="00E8759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4791B"/>
    <w:multiLevelType w:val="hybridMultilevel"/>
    <w:tmpl w:val="928C9A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35B7C36"/>
    <w:multiLevelType w:val="hybridMultilevel"/>
    <w:tmpl w:val="EFDC702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 w15:restartNumberingAfterBreak="0">
    <w:nsid w:val="04F679DF"/>
    <w:multiLevelType w:val="hybridMultilevel"/>
    <w:tmpl w:val="300EEAE0"/>
    <w:lvl w:ilvl="0" w:tplc="86A6330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876531D"/>
    <w:multiLevelType w:val="hybridMultilevel"/>
    <w:tmpl w:val="E0D02290"/>
    <w:lvl w:ilvl="0" w:tplc="24DEE326">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B131918"/>
    <w:multiLevelType w:val="hybridMultilevel"/>
    <w:tmpl w:val="E6FA8D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C1B26CF"/>
    <w:multiLevelType w:val="hybridMultilevel"/>
    <w:tmpl w:val="F8AA3C6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15:restartNumberingAfterBreak="0">
    <w:nsid w:val="0D4125D0"/>
    <w:multiLevelType w:val="hybridMultilevel"/>
    <w:tmpl w:val="A8EA8920"/>
    <w:lvl w:ilvl="0" w:tplc="A1825FE0">
      <w:start w:val="1"/>
      <w:numFmt w:val="bullet"/>
      <w:lvlText w:val="‐"/>
      <w:lvlJc w:val="left"/>
      <w:pPr>
        <w:ind w:left="1080" w:hanging="360"/>
      </w:pPr>
      <w:rPr>
        <w:rFonts w:ascii="Calibri" w:hAnsi="Calibri"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 w15:restartNumberingAfterBreak="0">
    <w:nsid w:val="0DC5613D"/>
    <w:multiLevelType w:val="hybridMultilevel"/>
    <w:tmpl w:val="7BF4C176"/>
    <w:lvl w:ilvl="0" w:tplc="A1825FE0">
      <w:start w:val="1"/>
      <w:numFmt w:val="bullet"/>
      <w:lvlText w:val="‐"/>
      <w:lvlJc w:val="left"/>
      <w:pPr>
        <w:ind w:left="720" w:hanging="360"/>
      </w:pPr>
      <w:rPr>
        <w:rFonts w:ascii="Calibri" w:hAnsi="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374018A"/>
    <w:multiLevelType w:val="hybridMultilevel"/>
    <w:tmpl w:val="6A52648E"/>
    <w:lvl w:ilvl="0" w:tplc="0C0A0005">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Courier New"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Courier New" w:hint="default"/>
      </w:rPr>
    </w:lvl>
    <w:lvl w:ilvl="8" w:tplc="0C0A0005">
      <w:start w:val="1"/>
      <w:numFmt w:val="bullet"/>
      <w:lvlText w:val=""/>
      <w:lvlJc w:val="left"/>
      <w:pPr>
        <w:ind w:left="7200" w:hanging="360"/>
      </w:pPr>
      <w:rPr>
        <w:rFonts w:ascii="Wingdings" w:hAnsi="Wingdings" w:hint="default"/>
      </w:rPr>
    </w:lvl>
  </w:abstractNum>
  <w:abstractNum w:abstractNumId="9" w15:restartNumberingAfterBreak="0">
    <w:nsid w:val="1C674B8F"/>
    <w:multiLevelType w:val="hybridMultilevel"/>
    <w:tmpl w:val="E57EABE8"/>
    <w:lvl w:ilvl="0" w:tplc="A1825FE0">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160077B"/>
    <w:multiLevelType w:val="hybridMultilevel"/>
    <w:tmpl w:val="7616B9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A443379"/>
    <w:multiLevelType w:val="hybridMultilevel"/>
    <w:tmpl w:val="6FDE2254"/>
    <w:lvl w:ilvl="0" w:tplc="38A0E4D8">
      <w:start w:val="1"/>
      <w:numFmt w:val="bullet"/>
      <w:lvlText w:val=""/>
      <w:lvlJc w:val="left"/>
      <w:pPr>
        <w:tabs>
          <w:tab w:val="num" w:pos="720"/>
        </w:tabs>
        <w:ind w:left="720" w:hanging="360"/>
      </w:pPr>
      <w:rPr>
        <w:rFonts w:ascii="Wingdings" w:hAnsi="Wingdings"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B2306F0"/>
    <w:multiLevelType w:val="hybridMultilevel"/>
    <w:tmpl w:val="73A2796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2C683A86"/>
    <w:multiLevelType w:val="hybridMultilevel"/>
    <w:tmpl w:val="E02A3AA4"/>
    <w:lvl w:ilvl="0" w:tplc="A1825FE0">
      <w:start w:val="1"/>
      <w:numFmt w:val="bullet"/>
      <w:lvlText w:val="‐"/>
      <w:lvlJc w:val="left"/>
      <w:pPr>
        <w:ind w:left="1080" w:hanging="360"/>
      </w:pPr>
      <w:rPr>
        <w:rFonts w:ascii="Calibri" w:hAnsi="Calibri"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2E511AFB"/>
    <w:multiLevelType w:val="hybridMultilevel"/>
    <w:tmpl w:val="42006A46"/>
    <w:lvl w:ilvl="0" w:tplc="6D84B938">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5E1761"/>
    <w:multiLevelType w:val="hybridMultilevel"/>
    <w:tmpl w:val="48CAFB1A"/>
    <w:lvl w:ilvl="0" w:tplc="0C0A0003">
      <w:start w:val="1"/>
      <w:numFmt w:val="bullet"/>
      <w:lvlText w:val="o"/>
      <w:lvlJc w:val="left"/>
      <w:pPr>
        <w:ind w:left="1496" w:hanging="360"/>
      </w:pPr>
      <w:rPr>
        <w:rFonts w:ascii="Courier New" w:hAnsi="Courier New" w:cs="Courier New" w:hint="default"/>
      </w:rPr>
    </w:lvl>
    <w:lvl w:ilvl="1" w:tplc="0C0A0003" w:tentative="1">
      <w:start w:val="1"/>
      <w:numFmt w:val="bullet"/>
      <w:lvlText w:val="o"/>
      <w:lvlJc w:val="left"/>
      <w:pPr>
        <w:ind w:left="2216" w:hanging="360"/>
      </w:pPr>
      <w:rPr>
        <w:rFonts w:ascii="Courier New" w:hAnsi="Courier New" w:cs="Courier New" w:hint="default"/>
      </w:rPr>
    </w:lvl>
    <w:lvl w:ilvl="2" w:tplc="0C0A0005" w:tentative="1">
      <w:start w:val="1"/>
      <w:numFmt w:val="bullet"/>
      <w:lvlText w:val=""/>
      <w:lvlJc w:val="left"/>
      <w:pPr>
        <w:ind w:left="2936" w:hanging="360"/>
      </w:pPr>
      <w:rPr>
        <w:rFonts w:ascii="Wingdings" w:hAnsi="Wingdings" w:hint="default"/>
      </w:rPr>
    </w:lvl>
    <w:lvl w:ilvl="3" w:tplc="0C0A0001" w:tentative="1">
      <w:start w:val="1"/>
      <w:numFmt w:val="bullet"/>
      <w:lvlText w:val=""/>
      <w:lvlJc w:val="left"/>
      <w:pPr>
        <w:ind w:left="3656" w:hanging="360"/>
      </w:pPr>
      <w:rPr>
        <w:rFonts w:ascii="Symbol" w:hAnsi="Symbol" w:hint="default"/>
      </w:rPr>
    </w:lvl>
    <w:lvl w:ilvl="4" w:tplc="0C0A0003" w:tentative="1">
      <w:start w:val="1"/>
      <w:numFmt w:val="bullet"/>
      <w:lvlText w:val="o"/>
      <w:lvlJc w:val="left"/>
      <w:pPr>
        <w:ind w:left="4376" w:hanging="360"/>
      </w:pPr>
      <w:rPr>
        <w:rFonts w:ascii="Courier New" w:hAnsi="Courier New" w:cs="Courier New" w:hint="default"/>
      </w:rPr>
    </w:lvl>
    <w:lvl w:ilvl="5" w:tplc="0C0A0005" w:tentative="1">
      <w:start w:val="1"/>
      <w:numFmt w:val="bullet"/>
      <w:lvlText w:val=""/>
      <w:lvlJc w:val="left"/>
      <w:pPr>
        <w:ind w:left="5096" w:hanging="360"/>
      </w:pPr>
      <w:rPr>
        <w:rFonts w:ascii="Wingdings" w:hAnsi="Wingdings" w:hint="default"/>
      </w:rPr>
    </w:lvl>
    <w:lvl w:ilvl="6" w:tplc="0C0A0001" w:tentative="1">
      <w:start w:val="1"/>
      <w:numFmt w:val="bullet"/>
      <w:lvlText w:val=""/>
      <w:lvlJc w:val="left"/>
      <w:pPr>
        <w:ind w:left="5816" w:hanging="360"/>
      </w:pPr>
      <w:rPr>
        <w:rFonts w:ascii="Symbol" w:hAnsi="Symbol" w:hint="default"/>
      </w:rPr>
    </w:lvl>
    <w:lvl w:ilvl="7" w:tplc="0C0A0003" w:tentative="1">
      <w:start w:val="1"/>
      <w:numFmt w:val="bullet"/>
      <w:lvlText w:val="o"/>
      <w:lvlJc w:val="left"/>
      <w:pPr>
        <w:ind w:left="6536" w:hanging="360"/>
      </w:pPr>
      <w:rPr>
        <w:rFonts w:ascii="Courier New" w:hAnsi="Courier New" w:cs="Courier New" w:hint="default"/>
      </w:rPr>
    </w:lvl>
    <w:lvl w:ilvl="8" w:tplc="0C0A0005" w:tentative="1">
      <w:start w:val="1"/>
      <w:numFmt w:val="bullet"/>
      <w:lvlText w:val=""/>
      <w:lvlJc w:val="left"/>
      <w:pPr>
        <w:ind w:left="7256" w:hanging="360"/>
      </w:pPr>
      <w:rPr>
        <w:rFonts w:ascii="Wingdings" w:hAnsi="Wingdings" w:hint="default"/>
      </w:rPr>
    </w:lvl>
  </w:abstractNum>
  <w:abstractNum w:abstractNumId="16" w15:restartNumberingAfterBreak="0">
    <w:nsid w:val="356F2A63"/>
    <w:multiLevelType w:val="hybridMultilevel"/>
    <w:tmpl w:val="C42698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7A6207B"/>
    <w:multiLevelType w:val="hybridMultilevel"/>
    <w:tmpl w:val="DB62FD1E"/>
    <w:lvl w:ilvl="0" w:tplc="908E13D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8B24CAC"/>
    <w:multiLevelType w:val="hybridMultilevel"/>
    <w:tmpl w:val="6DEA270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38BE7FEC"/>
    <w:multiLevelType w:val="hybridMultilevel"/>
    <w:tmpl w:val="7D6ADDFA"/>
    <w:lvl w:ilvl="0" w:tplc="4F56F54A">
      <w:start w:val="1"/>
      <w:numFmt w:val="bullet"/>
      <w:pStyle w:val="Piedetabla"/>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5451E0F"/>
    <w:multiLevelType w:val="hybridMultilevel"/>
    <w:tmpl w:val="D5B08302"/>
    <w:lvl w:ilvl="0" w:tplc="52FE3E7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48F76C9C"/>
    <w:multiLevelType w:val="hybridMultilevel"/>
    <w:tmpl w:val="F17A9D1A"/>
    <w:lvl w:ilvl="0" w:tplc="3336E4F2">
      <w:start w:val="1"/>
      <w:numFmt w:val="bullet"/>
      <w:lvlText w:val=""/>
      <w:lvlJc w:val="righ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DCA6475"/>
    <w:multiLevelType w:val="hybridMultilevel"/>
    <w:tmpl w:val="6FF2272E"/>
    <w:lvl w:ilvl="0" w:tplc="A1825FE0">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0DD54F4"/>
    <w:multiLevelType w:val="singleLevel"/>
    <w:tmpl w:val="4B2AE444"/>
    <w:lvl w:ilvl="0">
      <w:start w:val="1"/>
      <w:numFmt w:val="decimal"/>
      <w:lvlText w:val="%1."/>
      <w:lvlJc w:val="left"/>
      <w:pPr>
        <w:tabs>
          <w:tab w:val="num" w:pos="360"/>
        </w:tabs>
        <w:ind w:left="360" w:hanging="360"/>
      </w:pPr>
      <w:rPr>
        <w:b w:val="0"/>
      </w:rPr>
    </w:lvl>
  </w:abstractNum>
  <w:abstractNum w:abstractNumId="24" w15:restartNumberingAfterBreak="0">
    <w:nsid w:val="69500031"/>
    <w:multiLevelType w:val="hybridMultilevel"/>
    <w:tmpl w:val="19A2A7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B572D7C"/>
    <w:multiLevelType w:val="hybridMultilevel"/>
    <w:tmpl w:val="758ABF06"/>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6" w15:restartNumberingAfterBreak="0">
    <w:nsid w:val="712B5199"/>
    <w:multiLevelType w:val="hybridMultilevel"/>
    <w:tmpl w:val="17989352"/>
    <w:lvl w:ilvl="0" w:tplc="1DDC0B76">
      <w:start w:val="3"/>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2CE1717"/>
    <w:multiLevelType w:val="hybridMultilevel"/>
    <w:tmpl w:val="0812E2E0"/>
    <w:lvl w:ilvl="0" w:tplc="539E4F14">
      <w:start w:val="9"/>
      <w:numFmt w:val="decimal"/>
      <w:lvlText w:val="%1."/>
      <w:lvlJc w:val="left"/>
      <w:pPr>
        <w:ind w:left="732" w:hanging="360"/>
      </w:pPr>
      <w:rPr>
        <w:rFonts w:hint="default"/>
      </w:rPr>
    </w:lvl>
    <w:lvl w:ilvl="1" w:tplc="0C0A0019" w:tentative="1">
      <w:start w:val="1"/>
      <w:numFmt w:val="lowerLetter"/>
      <w:lvlText w:val="%2."/>
      <w:lvlJc w:val="left"/>
      <w:pPr>
        <w:ind w:left="1452" w:hanging="360"/>
      </w:pPr>
    </w:lvl>
    <w:lvl w:ilvl="2" w:tplc="0C0A001B" w:tentative="1">
      <w:start w:val="1"/>
      <w:numFmt w:val="lowerRoman"/>
      <w:lvlText w:val="%3."/>
      <w:lvlJc w:val="right"/>
      <w:pPr>
        <w:ind w:left="2172" w:hanging="180"/>
      </w:pPr>
    </w:lvl>
    <w:lvl w:ilvl="3" w:tplc="0C0A000F" w:tentative="1">
      <w:start w:val="1"/>
      <w:numFmt w:val="decimal"/>
      <w:lvlText w:val="%4."/>
      <w:lvlJc w:val="left"/>
      <w:pPr>
        <w:ind w:left="2892" w:hanging="360"/>
      </w:pPr>
    </w:lvl>
    <w:lvl w:ilvl="4" w:tplc="0C0A0019" w:tentative="1">
      <w:start w:val="1"/>
      <w:numFmt w:val="lowerLetter"/>
      <w:lvlText w:val="%5."/>
      <w:lvlJc w:val="left"/>
      <w:pPr>
        <w:ind w:left="3612" w:hanging="360"/>
      </w:pPr>
    </w:lvl>
    <w:lvl w:ilvl="5" w:tplc="0C0A001B" w:tentative="1">
      <w:start w:val="1"/>
      <w:numFmt w:val="lowerRoman"/>
      <w:lvlText w:val="%6."/>
      <w:lvlJc w:val="right"/>
      <w:pPr>
        <w:ind w:left="4332" w:hanging="180"/>
      </w:pPr>
    </w:lvl>
    <w:lvl w:ilvl="6" w:tplc="0C0A000F" w:tentative="1">
      <w:start w:val="1"/>
      <w:numFmt w:val="decimal"/>
      <w:lvlText w:val="%7."/>
      <w:lvlJc w:val="left"/>
      <w:pPr>
        <w:ind w:left="5052" w:hanging="360"/>
      </w:pPr>
    </w:lvl>
    <w:lvl w:ilvl="7" w:tplc="0C0A0019" w:tentative="1">
      <w:start w:val="1"/>
      <w:numFmt w:val="lowerLetter"/>
      <w:lvlText w:val="%8."/>
      <w:lvlJc w:val="left"/>
      <w:pPr>
        <w:ind w:left="5772" w:hanging="360"/>
      </w:pPr>
    </w:lvl>
    <w:lvl w:ilvl="8" w:tplc="0C0A001B" w:tentative="1">
      <w:start w:val="1"/>
      <w:numFmt w:val="lowerRoman"/>
      <w:lvlText w:val="%9."/>
      <w:lvlJc w:val="right"/>
      <w:pPr>
        <w:ind w:left="6492" w:hanging="180"/>
      </w:pPr>
    </w:lvl>
  </w:abstractNum>
  <w:abstractNum w:abstractNumId="28" w15:restartNumberingAfterBreak="0">
    <w:nsid w:val="74B22267"/>
    <w:multiLevelType w:val="hybridMultilevel"/>
    <w:tmpl w:val="1D2460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6F309E1"/>
    <w:multiLevelType w:val="hybridMultilevel"/>
    <w:tmpl w:val="664CDA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86B77C4"/>
    <w:multiLevelType w:val="hybridMultilevel"/>
    <w:tmpl w:val="5D6C7E5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7B07129F"/>
    <w:multiLevelType w:val="hybridMultilevel"/>
    <w:tmpl w:val="2AC08AEE"/>
    <w:lvl w:ilvl="0" w:tplc="3336E4F2">
      <w:start w:val="1"/>
      <w:numFmt w:val="bullet"/>
      <w:lvlText w:val=""/>
      <w:lvlJc w:val="righ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C675237"/>
    <w:multiLevelType w:val="hybridMultilevel"/>
    <w:tmpl w:val="BF42FCA8"/>
    <w:lvl w:ilvl="0" w:tplc="A1825FE0">
      <w:start w:val="1"/>
      <w:numFmt w:val="bullet"/>
      <w:lvlText w:val="‐"/>
      <w:lvlJc w:val="left"/>
      <w:pPr>
        <w:ind w:left="1080" w:hanging="360"/>
      </w:pPr>
      <w:rPr>
        <w:rFonts w:ascii="Calibri" w:hAnsi="Calibri"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num w:numId="1">
    <w:abstractNumId w:val="7"/>
  </w:num>
  <w:num w:numId="2">
    <w:abstractNumId w:val="15"/>
  </w:num>
  <w:num w:numId="3">
    <w:abstractNumId w:val="27"/>
  </w:num>
  <w:num w:numId="4">
    <w:abstractNumId w:val="19"/>
  </w:num>
  <w:num w:numId="5">
    <w:abstractNumId w:val="20"/>
  </w:num>
  <w:num w:numId="6">
    <w:abstractNumId w:val="2"/>
  </w:num>
  <w:num w:numId="7">
    <w:abstractNumId w:val="17"/>
  </w:num>
  <w:num w:numId="8">
    <w:abstractNumId w:val="21"/>
  </w:num>
  <w:num w:numId="9">
    <w:abstractNumId w:val="31"/>
  </w:num>
  <w:num w:numId="10">
    <w:abstractNumId w:val="22"/>
  </w:num>
  <w:num w:numId="11">
    <w:abstractNumId w:val="12"/>
  </w:num>
  <w:num w:numId="12">
    <w:abstractNumId w:val="3"/>
  </w:num>
  <w:num w:numId="13">
    <w:abstractNumId w:val="23"/>
  </w:num>
  <w:num w:numId="14">
    <w:abstractNumId w:val="30"/>
  </w:num>
  <w:num w:numId="15">
    <w:abstractNumId w:val="9"/>
  </w:num>
  <w:num w:numId="16">
    <w:abstractNumId w:val="32"/>
  </w:num>
  <w:num w:numId="17">
    <w:abstractNumId w:val="13"/>
  </w:num>
  <w:num w:numId="18">
    <w:abstractNumId w:val="6"/>
  </w:num>
  <w:num w:numId="19">
    <w:abstractNumId w:val="16"/>
  </w:num>
  <w:num w:numId="20">
    <w:abstractNumId w:val="29"/>
  </w:num>
  <w:num w:numId="21">
    <w:abstractNumId w:val="11"/>
  </w:num>
  <w:num w:numId="22">
    <w:abstractNumId w:val="8"/>
  </w:num>
  <w:num w:numId="23">
    <w:abstractNumId w:val="28"/>
  </w:num>
  <w:num w:numId="24">
    <w:abstractNumId w:val="0"/>
  </w:num>
  <w:num w:numId="25">
    <w:abstractNumId w:val="25"/>
  </w:num>
  <w:num w:numId="26">
    <w:abstractNumId w:val="24"/>
  </w:num>
  <w:num w:numId="27">
    <w:abstractNumId w:val="1"/>
  </w:num>
  <w:num w:numId="28">
    <w:abstractNumId w:val="18"/>
  </w:num>
  <w:num w:numId="29">
    <w:abstractNumId w:val="5"/>
  </w:num>
  <w:num w:numId="30">
    <w:abstractNumId w:val="14"/>
  </w:num>
  <w:num w:numId="31">
    <w:abstractNumId w:val="26"/>
  </w:num>
  <w:num w:numId="32">
    <w:abstractNumId w:val="10"/>
  </w:num>
  <w:num w:numId="33">
    <w:abstractNumId w:val="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pt-BR" w:vendorID="64" w:dllVersion="131078" w:nlCheck="1" w:checkStyle="0"/>
  <w:activeWritingStyle w:appName="MSWord" w:lang="es-ES"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n-IE"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38BD"/>
    <w:rsid w:val="00001F87"/>
    <w:rsid w:val="00015CEE"/>
    <w:rsid w:val="0002242D"/>
    <w:rsid w:val="00061D21"/>
    <w:rsid w:val="000B0280"/>
    <w:rsid w:val="000E3BAD"/>
    <w:rsid w:val="000F4E67"/>
    <w:rsid w:val="0011164E"/>
    <w:rsid w:val="00116E27"/>
    <w:rsid w:val="00156720"/>
    <w:rsid w:val="001A6FF4"/>
    <w:rsid w:val="001B2153"/>
    <w:rsid w:val="001C1FFC"/>
    <w:rsid w:val="0021384B"/>
    <w:rsid w:val="002278D2"/>
    <w:rsid w:val="0023367C"/>
    <w:rsid w:val="00243353"/>
    <w:rsid w:val="00253EFE"/>
    <w:rsid w:val="00260936"/>
    <w:rsid w:val="00263462"/>
    <w:rsid w:val="0026356C"/>
    <w:rsid w:val="00263D80"/>
    <w:rsid w:val="0027605B"/>
    <w:rsid w:val="002A4647"/>
    <w:rsid w:val="002B1485"/>
    <w:rsid w:val="002B47C1"/>
    <w:rsid w:val="00303C38"/>
    <w:rsid w:val="00306B60"/>
    <w:rsid w:val="0031025C"/>
    <w:rsid w:val="00333EBA"/>
    <w:rsid w:val="00340B43"/>
    <w:rsid w:val="00374BA3"/>
    <w:rsid w:val="00395E82"/>
    <w:rsid w:val="003A6973"/>
    <w:rsid w:val="003B35FF"/>
    <w:rsid w:val="003B467E"/>
    <w:rsid w:val="003B6DCB"/>
    <w:rsid w:val="003B7974"/>
    <w:rsid w:val="003C6805"/>
    <w:rsid w:val="003D2172"/>
    <w:rsid w:val="003D5581"/>
    <w:rsid w:val="00431B21"/>
    <w:rsid w:val="004400F5"/>
    <w:rsid w:val="00456D38"/>
    <w:rsid w:val="004918DB"/>
    <w:rsid w:val="004D69BD"/>
    <w:rsid w:val="004E0812"/>
    <w:rsid w:val="004E7EC9"/>
    <w:rsid w:val="00504824"/>
    <w:rsid w:val="00514C5E"/>
    <w:rsid w:val="00516F66"/>
    <w:rsid w:val="00534209"/>
    <w:rsid w:val="00546058"/>
    <w:rsid w:val="00551775"/>
    <w:rsid w:val="00566C05"/>
    <w:rsid w:val="00571319"/>
    <w:rsid w:val="005B4780"/>
    <w:rsid w:val="005D6601"/>
    <w:rsid w:val="005D7187"/>
    <w:rsid w:val="005E430A"/>
    <w:rsid w:val="006054ED"/>
    <w:rsid w:val="0065006F"/>
    <w:rsid w:val="0066036C"/>
    <w:rsid w:val="00663374"/>
    <w:rsid w:val="006738D9"/>
    <w:rsid w:val="0069273D"/>
    <w:rsid w:val="00697084"/>
    <w:rsid w:val="006A0CA8"/>
    <w:rsid w:val="006B48AF"/>
    <w:rsid w:val="006B5C9E"/>
    <w:rsid w:val="006C2819"/>
    <w:rsid w:val="006C3E47"/>
    <w:rsid w:val="006E1660"/>
    <w:rsid w:val="006F0BB9"/>
    <w:rsid w:val="00746270"/>
    <w:rsid w:val="0074730F"/>
    <w:rsid w:val="007477EB"/>
    <w:rsid w:val="007504C4"/>
    <w:rsid w:val="00771E00"/>
    <w:rsid w:val="007874C9"/>
    <w:rsid w:val="007C79BA"/>
    <w:rsid w:val="00827AB1"/>
    <w:rsid w:val="00831F4C"/>
    <w:rsid w:val="00846064"/>
    <w:rsid w:val="00854F09"/>
    <w:rsid w:val="008707AC"/>
    <w:rsid w:val="00871546"/>
    <w:rsid w:val="008836CD"/>
    <w:rsid w:val="008B4AA9"/>
    <w:rsid w:val="008C500C"/>
    <w:rsid w:val="008E2170"/>
    <w:rsid w:val="008E7FF7"/>
    <w:rsid w:val="00957D8B"/>
    <w:rsid w:val="00966BB8"/>
    <w:rsid w:val="009811E2"/>
    <w:rsid w:val="0099012C"/>
    <w:rsid w:val="0099564A"/>
    <w:rsid w:val="0099617B"/>
    <w:rsid w:val="0099762D"/>
    <w:rsid w:val="009A7E7F"/>
    <w:rsid w:val="009B088C"/>
    <w:rsid w:val="009B45EC"/>
    <w:rsid w:val="009E04A8"/>
    <w:rsid w:val="00A00660"/>
    <w:rsid w:val="00A108A2"/>
    <w:rsid w:val="00A122A0"/>
    <w:rsid w:val="00A271B5"/>
    <w:rsid w:val="00A4087B"/>
    <w:rsid w:val="00A71B61"/>
    <w:rsid w:val="00A72871"/>
    <w:rsid w:val="00A94115"/>
    <w:rsid w:val="00A950F5"/>
    <w:rsid w:val="00AA71D4"/>
    <w:rsid w:val="00AB3790"/>
    <w:rsid w:val="00AB3AB9"/>
    <w:rsid w:val="00AC680B"/>
    <w:rsid w:val="00AD6D6B"/>
    <w:rsid w:val="00AE04FA"/>
    <w:rsid w:val="00B134A2"/>
    <w:rsid w:val="00B35D13"/>
    <w:rsid w:val="00B51AC6"/>
    <w:rsid w:val="00B65CFB"/>
    <w:rsid w:val="00B8099B"/>
    <w:rsid w:val="00BA624A"/>
    <w:rsid w:val="00BB1FC6"/>
    <w:rsid w:val="00BC636A"/>
    <w:rsid w:val="00BF0F28"/>
    <w:rsid w:val="00C00CBB"/>
    <w:rsid w:val="00C00E33"/>
    <w:rsid w:val="00C04F53"/>
    <w:rsid w:val="00C13BAB"/>
    <w:rsid w:val="00C14C6A"/>
    <w:rsid w:val="00C17333"/>
    <w:rsid w:val="00C45C2C"/>
    <w:rsid w:val="00C56B6E"/>
    <w:rsid w:val="00C645E5"/>
    <w:rsid w:val="00CA401D"/>
    <w:rsid w:val="00CB0D9A"/>
    <w:rsid w:val="00CB1C33"/>
    <w:rsid w:val="00CB74B4"/>
    <w:rsid w:val="00CE0355"/>
    <w:rsid w:val="00CE1C32"/>
    <w:rsid w:val="00CF4E6B"/>
    <w:rsid w:val="00D01C83"/>
    <w:rsid w:val="00D12E4B"/>
    <w:rsid w:val="00D225EF"/>
    <w:rsid w:val="00D27103"/>
    <w:rsid w:val="00D324BE"/>
    <w:rsid w:val="00D40A75"/>
    <w:rsid w:val="00D538BD"/>
    <w:rsid w:val="00D63FF9"/>
    <w:rsid w:val="00D9208F"/>
    <w:rsid w:val="00DA7551"/>
    <w:rsid w:val="00DB4C7B"/>
    <w:rsid w:val="00E207AE"/>
    <w:rsid w:val="00E2139A"/>
    <w:rsid w:val="00E63500"/>
    <w:rsid w:val="00E83196"/>
    <w:rsid w:val="00E87599"/>
    <w:rsid w:val="00EA016A"/>
    <w:rsid w:val="00EA3573"/>
    <w:rsid w:val="00EC5BB4"/>
    <w:rsid w:val="00EC7E86"/>
    <w:rsid w:val="00ED7F9B"/>
    <w:rsid w:val="00EF00D6"/>
    <w:rsid w:val="00F10EE0"/>
    <w:rsid w:val="00F1367D"/>
    <w:rsid w:val="00F14849"/>
    <w:rsid w:val="00F2402E"/>
    <w:rsid w:val="00F30515"/>
    <w:rsid w:val="00F50BE6"/>
    <w:rsid w:val="00FB078D"/>
    <w:rsid w:val="00FB5E67"/>
    <w:rsid w:val="00FB785E"/>
    <w:rsid w:val="00FD1BAB"/>
    <w:rsid w:val="00FD2BD2"/>
    <w:rsid w:val="00FE42F2"/>
    <w:rsid w:val="00FF52B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63A517"/>
  <w14:defaultImageDpi w14:val="150"/>
  <w15:chartTrackingRefBased/>
  <w15:docId w15:val="{4F31B659-7E79-419C-BA62-D4695C202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iPriority="0"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515"/>
    <w:pPr>
      <w:jc w:val="both"/>
    </w:pPr>
    <w:rPr>
      <w:sz w:val="20"/>
    </w:rPr>
  </w:style>
  <w:style w:type="paragraph" w:styleId="Ttulo1">
    <w:name w:val="heading 1"/>
    <w:basedOn w:val="Normal"/>
    <w:next w:val="Normal"/>
    <w:link w:val="Ttulo1Car"/>
    <w:uiPriority w:val="9"/>
    <w:qFormat/>
    <w:rsid w:val="00B51AC6"/>
    <w:pPr>
      <w:keepNext/>
      <w:keepLines/>
      <w:pBdr>
        <w:bottom w:val="single" w:sz="4" w:space="1" w:color="0099CC"/>
      </w:pBdr>
      <w:spacing w:before="480" w:after="0" w:line="276" w:lineRule="auto"/>
      <w:outlineLvl w:val="0"/>
    </w:pPr>
    <w:rPr>
      <w:rFonts w:ascii="Montserrat SemiBold" w:eastAsia="Times New Roman" w:hAnsi="Montserrat SemiBold" w:cs="Times New Roman"/>
      <w:b/>
      <w:bCs/>
      <w:color w:val="0099CC"/>
      <w:sz w:val="24"/>
      <w:szCs w:val="28"/>
      <w:lang w:val="x-none" w:eastAsia="x-none"/>
    </w:rPr>
  </w:style>
  <w:style w:type="paragraph" w:styleId="Ttulo2">
    <w:name w:val="heading 2"/>
    <w:basedOn w:val="Normal"/>
    <w:next w:val="Normal"/>
    <w:link w:val="Ttulo2Car"/>
    <w:uiPriority w:val="9"/>
    <w:unhideWhenUsed/>
    <w:qFormat/>
    <w:rsid w:val="00AB3AB9"/>
    <w:pPr>
      <w:keepNext/>
      <w:keepLines/>
      <w:spacing w:before="200" w:after="0" w:line="276" w:lineRule="auto"/>
      <w:outlineLvl w:val="1"/>
    </w:pPr>
    <w:rPr>
      <w:rFonts w:ascii="Montserrat SemiBold" w:eastAsia="Times New Roman" w:hAnsi="Montserrat SemiBold" w:cs="Times New Roman"/>
      <w:b/>
      <w:bCs/>
      <w:color w:val="0099CC"/>
      <w:szCs w:val="26"/>
      <w:lang w:val="x-none" w:eastAsia="x-none"/>
    </w:rPr>
  </w:style>
  <w:style w:type="paragraph" w:styleId="Ttulo3">
    <w:name w:val="heading 3"/>
    <w:basedOn w:val="Normal"/>
    <w:next w:val="Normal"/>
    <w:link w:val="Ttulo3Car"/>
    <w:uiPriority w:val="9"/>
    <w:unhideWhenUsed/>
    <w:qFormat/>
    <w:rsid w:val="00A108A2"/>
    <w:pPr>
      <w:keepNext/>
      <w:keepLines/>
      <w:spacing w:before="40" w:after="0"/>
      <w:contextualSpacing/>
      <w:outlineLvl w:val="2"/>
    </w:pPr>
    <w:rPr>
      <w:rFonts w:asciiTheme="majorHAnsi" w:eastAsiaTheme="majorEastAsia" w:hAnsiTheme="majorHAnsi" w:cstheme="majorBidi"/>
      <w:color w:val="5B9BD5" w:themeColor="accent1"/>
      <w:szCs w:val="20"/>
    </w:rPr>
  </w:style>
  <w:style w:type="paragraph" w:styleId="Ttulo4">
    <w:name w:val="heading 4"/>
    <w:basedOn w:val="Normal"/>
    <w:next w:val="Normal"/>
    <w:link w:val="Ttulo4Car"/>
    <w:uiPriority w:val="9"/>
    <w:semiHidden/>
    <w:unhideWhenUsed/>
    <w:qFormat/>
    <w:rsid w:val="0069708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51AC6"/>
    <w:rPr>
      <w:rFonts w:ascii="Montserrat SemiBold" w:eastAsia="Times New Roman" w:hAnsi="Montserrat SemiBold" w:cs="Times New Roman"/>
      <w:b/>
      <w:bCs/>
      <w:color w:val="0099CC"/>
      <w:sz w:val="24"/>
      <w:szCs w:val="28"/>
      <w:lang w:val="x-none" w:eastAsia="x-none"/>
    </w:rPr>
  </w:style>
  <w:style w:type="character" w:customStyle="1" w:styleId="Ttulo2Car">
    <w:name w:val="Título 2 Car"/>
    <w:basedOn w:val="Fuentedeprrafopredeter"/>
    <w:link w:val="Ttulo2"/>
    <w:uiPriority w:val="9"/>
    <w:rsid w:val="00AB3AB9"/>
    <w:rPr>
      <w:rFonts w:ascii="Montserrat SemiBold" w:eastAsia="Times New Roman" w:hAnsi="Montserrat SemiBold" w:cs="Times New Roman"/>
      <w:b/>
      <w:bCs/>
      <w:color w:val="0099CC"/>
      <w:szCs w:val="26"/>
      <w:lang w:val="x-none" w:eastAsia="x-none"/>
    </w:rPr>
  </w:style>
  <w:style w:type="character" w:customStyle="1" w:styleId="Ttulo3Car">
    <w:name w:val="Título 3 Car"/>
    <w:basedOn w:val="Fuentedeprrafopredeter"/>
    <w:link w:val="Ttulo3"/>
    <w:uiPriority w:val="9"/>
    <w:rsid w:val="00A108A2"/>
    <w:rPr>
      <w:rFonts w:asciiTheme="majorHAnsi" w:eastAsiaTheme="majorEastAsia" w:hAnsiTheme="majorHAnsi" w:cstheme="majorBidi"/>
      <w:color w:val="5B9BD5" w:themeColor="accent1"/>
      <w:szCs w:val="20"/>
    </w:rPr>
  </w:style>
  <w:style w:type="character" w:customStyle="1" w:styleId="Ttulo4Car">
    <w:name w:val="Título 4 Car"/>
    <w:basedOn w:val="Fuentedeprrafopredeter"/>
    <w:link w:val="Ttulo4"/>
    <w:uiPriority w:val="9"/>
    <w:semiHidden/>
    <w:rsid w:val="00697084"/>
    <w:rPr>
      <w:rFonts w:asciiTheme="majorHAnsi" w:eastAsiaTheme="majorEastAsia" w:hAnsiTheme="majorHAnsi" w:cstheme="majorBidi"/>
      <w:i/>
      <w:iCs/>
      <w:color w:val="2E74B5" w:themeColor="accent1" w:themeShade="BF"/>
    </w:rPr>
  </w:style>
  <w:style w:type="paragraph" w:styleId="Encabezado">
    <w:name w:val="header"/>
    <w:basedOn w:val="Normal"/>
    <w:link w:val="EncabezadoCar"/>
    <w:uiPriority w:val="99"/>
    <w:unhideWhenUsed/>
    <w:rsid w:val="00D538B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538BD"/>
  </w:style>
  <w:style w:type="paragraph" w:styleId="Piedepgina">
    <w:name w:val="footer"/>
    <w:basedOn w:val="Normal"/>
    <w:link w:val="PiedepginaCar"/>
    <w:uiPriority w:val="99"/>
    <w:unhideWhenUsed/>
    <w:rsid w:val="00D538B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538BD"/>
  </w:style>
  <w:style w:type="paragraph" w:styleId="Prrafodelista">
    <w:name w:val="List Paragraph"/>
    <w:basedOn w:val="Normal"/>
    <w:uiPriority w:val="99"/>
    <w:qFormat/>
    <w:rsid w:val="0011164E"/>
    <w:pPr>
      <w:ind w:left="720"/>
      <w:contextualSpacing/>
    </w:pPr>
  </w:style>
  <w:style w:type="paragraph" w:styleId="NormalWeb">
    <w:name w:val="Normal (Web)"/>
    <w:basedOn w:val="Normal"/>
    <w:uiPriority w:val="99"/>
    <w:unhideWhenUsed/>
    <w:rsid w:val="004E7EC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decuadrcula6concolores-nfasis1">
    <w:name w:val="Grid Table 6 Colorful Accent 1"/>
    <w:basedOn w:val="Tablanormal"/>
    <w:uiPriority w:val="51"/>
    <w:rsid w:val="0023367C"/>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Hipervnculo">
    <w:name w:val="Hyperlink"/>
    <w:basedOn w:val="Fuentedeprrafopredeter"/>
    <w:uiPriority w:val="99"/>
    <w:unhideWhenUsed/>
    <w:rsid w:val="00CA401D"/>
    <w:rPr>
      <w:rFonts w:cs="Times New Roman"/>
      <w:color w:val="0000FF"/>
      <w:u w:val="single"/>
    </w:rPr>
  </w:style>
  <w:style w:type="paragraph" w:customStyle="1" w:styleId="Default">
    <w:name w:val="Default"/>
    <w:rsid w:val="009811E2"/>
    <w:pPr>
      <w:autoSpaceDE w:val="0"/>
      <w:autoSpaceDN w:val="0"/>
      <w:adjustRightInd w:val="0"/>
      <w:spacing w:after="0" w:line="240" w:lineRule="auto"/>
    </w:pPr>
    <w:rPr>
      <w:rFonts w:ascii="Calibri" w:hAnsi="Calibri" w:cs="Calibri"/>
      <w:color w:val="000000"/>
      <w:sz w:val="24"/>
      <w:szCs w:val="24"/>
    </w:rPr>
  </w:style>
  <w:style w:type="paragraph" w:styleId="TtuloTDC">
    <w:name w:val="TOC Heading"/>
    <w:basedOn w:val="Ttulo1"/>
    <w:next w:val="Normal"/>
    <w:uiPriority w:val="39"/>
    <w:unhideWhenUsed/>
    <w:qFormat/>
    <w:rsid w:val="00340B43"/>
    <w:pPr>
      <w:spacing w:before="240" w:line="259" w:lineRule="auto"/>
      <w:outlineLvl w:val="9"/>
    </w:pPr>
    <w:rPr>
      <w:rFonts w:asciiTheme="majorHAnsi" w:eastAsiaTheme="majorEastAsia" w:hAnsiTheme="majorHAnsi" w:cstheme="majorBidi"/>
      <w:b w:val="0"/>
      <w:bCs w:val="0"/>
      <w:color w:val="2E74B5" w:themeColor="accent1" w:themeShade="BF"/>
      <w:sz w:val="32"/>
      <w:szCs w:val="32"/>
      <w:lang w:val="es-ES" w:eastAsia="es-ES"/>
    </w:rPr>
  </w:style>
  <w:style w:type="paragraph" w:styleId="TDC1">
    <w:name w:val="toc 1"/>
    <w:basedOn w:val="Normal"/>
    <w:next w:val="Normal"/>
    <w:autoRedefine/>
    <w:uiPriority w:val="39"/>
    <w:unhideWhenUsed/>
    <w:qFormat/>
    <w:rsid w:val="00871546"/>
    <w:pPr>
      <w:tabs>
        <w:tab w:val="right" w:leader="dot" w:pos="7927"/>
      </w:tabs>
      <w:spacing w:after="0"/>
    </w:pPr>
    <w:rPr>
      <w:rFonts w:ascii="Montserrat SemiBold" w:hAnsi="Montserrat SemiBold"/>
      <w:noProof/>
      <w:color w:val="0099CC"/>
      <w:sz w:val="22"/>
    </w:rPr>
  </w:style>
  <w:style w:type="paragraph" w:styleId="TDC2">
    <w:name w:val="toc 2"/>
    <w:basedOn w:val="Normal"/>
    <w:next w:val="Normal"/>
    <w:autoRedefine/>
    <w:uiPriority w:val="39"/>
    <w:unhideWhenUsed/>
    <w:rsid w:val="00001F87"/>
    <w:pPr>
      <w:spacing w:after="0"/>
      <w:ind w:left="221"/>
    </w:pPr>
    <w:rPr>
      <w:color w:val="0099CC"/>
    </w:rPr>
  </w:style>
  <w:style w:type="table" w:styleId="Tabladecuadrcula5oscura-nfasis1">
    <w:name w:val="Grid Table 5 Dark Accent 1"/>
    <w:basedOn w:val="Tablanormal"/>
    <w:uiPriority w:val="50"/>
    <w:rsid w:val="00A271B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cuadrcula1clara-nfasis1">
    <w:name w:val="Grid Table 1 Light Accent 1"/>
    <w:basedOn w:val="Tablanormal"/>
    <w:uiPriority w:val="46"/>
    <w:rsid w:val="00A271B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delista3-nfasis1">
    <w:name w:val="List Table 3 Accent 1"/>
    <w:basedOn w:val="Tablanormal"/>
    <w:uiPriority w:val="48"/>
    <w:rsid w:val="00156720"/>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decuadrcula4-nfasis1">
    <w:name w:val="Grid Table 4 Accent 1"/>
    <w:basedOn w:val="Tablanormal"/>
    <w:uiPriority w:val="49"/>
    <w:rsid w:val="00F10EE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DC3">
    <w:name w:val="toc 3"/>
    <w:basedOn w:val="Normal"/>
    <w:next w:val="Normal"/>
    <w:autoRedefine/>
    <w:uiPriority w:val="39"/>
    <w:unhideWhenUsed/>
    <w:rsid w:val="000E3BAD"/>
    <w:pPr>
      <w:spacing w:after="100"/>
      <w:ind w:left="440"/>
    </w:pPr>
  </w:style>
  <w:style w:type="paragraph" w:customStyle="1" w:styleId="Carlos1">
    <w:name w:val="Carlos 1"/>
    <w:basedOn w:val="Normal"/>
    <w:rsid w:val="00771E00"/>
    <w:pPr>
      <w:pBdr>
        <w:top w:val="threeDEmboss" w:sz="24" w:space="2" w:color="auto"/>
        <w:bottom w:val="threeDEngrave" w:sz="24" w:space="5" w:color="auto"/>
      </w:pBdr>
      <w:spacing w:after="0" w:line="240" w:lineRule="auto"/>
    </w:pPr>
    <w:rPr>
      <w:rFonts w:ascii="Garamond" w:eastAsia="Times New Roman" w:hAnsi="Garamond" w:cs="Times New Roman"/>
      <w:b/>
      <w:sz w:val="24"/>
      <w:szCs w:val="20"/>
      <w:lang w:val="es-ES_tradnl" w:eastAsia="es-ES"/>
    </w:rPr>
  </w:style>
  <w:style w:type="paragraph" w:styleId="Sangradetextonormal">
    <w:name w:val="Body Text Indent"/>
    <w:basedOn w:val="Normal"/>
    <w:link w:val="SangradetextonormalCar"/>
    <w:rsid w:val="00771E00"/>
    <w:pPr>
      <w:spacing w:after="0" w:line="240" w:lineRule="auto"/>
      <w:ind w:firstLine="708"/>
    </w:pPr>
    <w:rPr>
      <w:rFonts w:ascii="Arial" w:eastAsia="Times New Roman" w:hAnsi="Arial" w:cs="Times New Roman"/>
      <w:sz w:val="24"/>
      <w:szCs w:val="24"/>
      <w:lang w:val="x-none" w:eastAsia="es-ES"/>
    </w:rPr>
  </w:style>
  <w:style w:type="character" w:customStyle="1" w:styleId="SangradetextonormalCar">
    <w:name w:val="Sangría de texto normal Car"/>
    <w:basedOn w:val="Fuentedeprrafopredeter"/>
    <w:link w:val="Sangradetextonormal"/>
    <w:rsid w:val="00771E00"/>
    <w:rPr>
      <w:rFonts w:ascii="Arial" w:eastAsia="Times New Roman" w:hAnsi="Arial" w:cs="Times New Roman"/>
      <w:sz w:val="24"/>
      <w:szCs w:val="24"/>
      <w:lang w:val="x-none" w:eastAsia="es-ES"/>
    </w:rPr>
  </w:style>
  <w:style w:type="table" w:styleId="Tablaconcuadrcula">
    <w:name w:val="Table Grid"/>
    <w:basedOn w:val="Tablanormal"/>
    <w:rsid w:val="00566C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dice7">
    <w:name w:val="index 7"/>
    <w:basedOn w:val="Normal"/>
    <w:next w:val="Normal"/>
    <w:autoRedefine/>
    <w:semiHidden/>
    <w:rsid w:val="00516F66"/>
    <w:pPr>
      <w:spacing w:after="0" w:line="240" w:lineRule="auto"/>
      <w:ind w:left="1400" w:hanging="200"/>
    </w:pPr>
    <w:rPr>
      <w:rFonts w:ascii="Arial" w:eastAsia="Times New Roman" w:hAnsi="Arial" w:cs="Times New Roman"/>
      <w:szCs w:val="20"/>
      <w:lang w:val="es-ES_tradnl" w:eastAsia="es-ES"/>
    </w:rPr>
  </w:style>
  <w:style w:type="paragraph" w:customStyle="1" w:styleId="desc2">
    <w:name w:val="desc2"/>
    <w:basedOn w:val="Normal"/>
    <w:rsid w:val="00395E82"/>
    <w:pPr>
      <w:spacing w:after="0" w:line="240" w:lineRule="auto"/>
    </w:pPr>
    <w:rPr>
      <w:rFonts w:ascii="Times New Roman" w:eastAsia="Times New Roman" w:hAnsi="Times New Roman" w:cs="Times New Roman"/>
      <w:sz w:val="26"/>
      <w:szCs w:val="26"/>
      <w:lang w:eastAsia="es-ES"/>
    </w:rPr>
  </w:style>
  <w:style w:type="paragraph" w:customStyle="1" w:styleId="Puesto1">
    <w:name w:val="Puesto1"/>
    <w:basedOn w:val="Normal"/>
    <w:rsid w:val="00395E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GuidanceChar">
    <w:name w:val="Guidance Char"/>
    <w:link w:val="Guidance"/>
    <w:locked/>
    <w:rsid w:val="00303C38"/>
    <w:rPr>
      <w:rFonts w:ascii="Arial" w:eastAsia="SimSun" w:hAnsi="Arial"/>
      <w:i/>
      <w:color w:val="7F7F7F"/>
      <w:sz w:val="24"/>
      <w:lang w:val="en-GB" w:eastAsia="zh-CN"/>
    </w:rPr>
  </w:style>
  <w:style w:type="paragraph" w:customStyle="1" w:styleId="Guidance">
    <w:name w:val="Guidance"/>
    <w:basedOn w:val="Normal"/>
    <w:link w:val="GuidanceChar"/>
    <w:qFormat/>
    <w:rsid w:val="00303C38"/>
    <w:pPr>
      <w:spacing w:after="120" w:line="240" w:lineRule="atLeast"/>
      <w:ind w:left="720"/>
    </w:pPr>
    <w:rPr>
      <w:rFonts w:ascii="Arial" w:eastAsia="SimSun" w:hAnsi="Arial"/>
      <w:i/>
      <w:color w:val="7F7F7F"/>
      <w:sz w:val="24"/>
      <w:lang w:val="en-GB" w:eastAsia="zh-CN"/>
    </w:rPr>
  </w:style>
  <w:style w:type="character" w:customStyle="1" w:styleId="fm-vol-iss-date">
    <w:name w:val="fm-vol-iss-date"/>
    <w:basedOn w:val="Fuentedeprrafopredeter"/>
    <w:rsid w:val="00303C38"/>
  </w:style>
  <w:style w:type="character" w:customStyle="1" w:styleId="doi">
    <w:name w:val="doi"/>
    <w:basedOn w:val="Fuentedeprrafopredeter"/>
    <w:rsid w:val="00303C38"/>
  </w:style>
  <w:style w:type="paragraph" w:styleId="TDC4">
    <w:name w:val="toc 4"/>
    <w:basedOn w:val="Normal"/>
    <w:next w:val="Normal"/>
    <w:autoRedefine/>
    <w:uiPriority w:val="39"/>
    <w:unhideWhenUsed/>
    <w:rsid w:val="00957D8B"/>
    <w:pPr>
      <w:spacing w:after="100"/>
      <w:ind w:left="660"/>
    </w:pPr>
    <w:rPr>
      <w:rFonts w:eastAsiaTheme="minorEastAsia"/>
      <w:lang w:eastAsia="es-ES"/>
    </w:rPr>
  </w:style>
  <w:style w:type="paragraph" w:styleId="TDC5">
    <w:name w:val="toc 5"/>
    <w:basedOn w:val="Normal"/>
    <w:next w:val="Normal"/>
    <w:autoRedefine/>
    <w:uiPriority w:val="39"/>
    <w:unhideWhenUsed/>
    <w:rsid w:val="00957D8B"/>
    <w:pPr>
      <w:spacing w:after="100"/>
      <w:ind w:left="880"/>
    </w:pPr>
    <w:rPr>
      <w:rFonts w:eastAsiaTheme="minorEastAsia"/>
      <w:lang w:eastAsia="es-ES"/>
    </w:rPr>
  </w:style>
  <w:style w:type="paragraph" w:styleId="TDC6">
    <w:name w:val="toc 6"/>
    <w:basedOn w:val="Normal"/>
    <w:next w:val="Normal"/>
    <w:autoRedefine/>
    <w:uiPriority w:val="39"/>
    <w:unhideWhenUsed/>
    <w:rsid w:val="00957D8B"/>
    <w:pPr>
      <w:spacing w:after="100"/>
      <w:ind w:left="1100"/>
    </w:pPr>
    <w:rPr>
      <w:rFonts w:eastAsiaTheme="minorEastAsia"/>
      <w:lang w:eastAsia="es-ES"/>
    </w:rPr>
  </w:style>
  <w:style w:type="paragraph" w:styleId="TDC7">
    <w:name w:val="toc 7"/>
    <w:basedOn w:val="Normal"/>
    <w:next w:val="Normal"/>
    <w:autoRedefine/>
    <w:uiPriority w:val="39"/>
    <w:unhideWhenUsed/>
    <w:rsid w:val="00957D8B"/>
    <w:pPr>
      <w:spacing w:after="100"/>
      <w:ind w:left="1320"/>
    </w:pPr>
    <w:rPr>
      <w:rFonts w:eastAsiaTheme="minorEastAsia"/>
      <w:lang w:eastAsia="es-ES"/>
    </w:rPr>
  </w:style>
  <w:style w:type="paragraph" w:styleId="TDC8">
    <w:name w:val="toc 8"/>
    <w:basedOn w:val="Normal"/>
    <w:next w:val="Normal"/>
    <w:autoRedefine/>
    <w:uiPriority w:val="39"/>
    <w:unhideWhenUsed/>
    <w:rsid w:val="00957D8B"/>
    <w:pPr>
      <w:spacing w:after="100"/>
      <w:ind w:left="1540"/>
    </w:pPr>
    <w:rPr>
      <w:rFonts w:eastAsiaTheme="minorEastAsia"/>
      <w:lang w:eastAsia="es-ES"/>
    </w:rPr>
  </w:style>
  <w:style w:type="paragraph" w:styleId="TDC9">
    <w:name w:val="toc 9"/>
    <w:basedOn w:val="Normal"/>
    <w:next w:val="Normal"/>
    <w:autoRedefine/>
    <w:uiPriority w:val="39"/>
    <w:unhideWhenUsed/>
    <w:rsid w:val="00957D8B"/>
    <w:pPr>
      <w:spacing w:after="100"/>
      <w:ind w:left="1760"/>
    </w:pPr>
    <w:rPr>
      <w:rFonts w:eastAsiaTheme="minorEastAsia"/>
      <w:lang w:eastAsia="es-ES"/>
    </w:rPr>
  </w:style>
  <w:style w:type="table" w:styleId="Tablanormal2">
    <w:name w:val="Plain Table 2"/>
    <w:basedOn w:val="Tablanormal"/>
    <w:uiPriority w:val="42"/>
    <w:rsid w:val="00A0066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cuadrcula5oscura-nfasis5">
    <w:name w:val="Grid Table 5 Dark Accent 5"/>
    <w:basedOn w:val="Tablanormal"/>
    <w:uiPriority w:val="50"/>
    <w:rsid w:val="00A0066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Piedetabla">
    <w:name w:val="Pie de tabla"/>
    <w:basedOn w:val="Normal"/>
    <w:qFormat/>
    <w:rsid w:val="00B51AC6"/>
    <w:pPr>
      <w:numPr>
        <w:numId w:val="4"/>
      </w:numPr>
      <w:spacing w:after="0" w:line="240" w:lineRule="auto"/>
      <w:ind w:left="284" w:hanging="284"/>
    </w:pPr>
    <w:rPr>
      <w:color w:val="7F7F7F" w:themeColor="text1" w:themeTint="80"/>
      <w:sz w:val="18"/>
      <w:szCs w:val="20"/>
    </w:rPr>
  </w:style>
  <w:style w:type="character" w:styleId="Textoennegrita">
    <w:name w:val="Strong"/>
    <w:basedOn w:val="Fuentedeprrafopredeter"/>
    <w:uiPriority w:val="22"/>
    <w:qFormat/>
    <w:rsid w:val="00546058"/>
    <w:rPr>
      <w:b/>
      <w:bCs/>
    </w:rPr>
  </w:style>
  <w:style w:type="paragraph" w:styleId="Textodeglobo">
    <w:name w:val="Balloon Text"/>
    <w:basedOn w:val="Normal"/>
    <w:link w:val="TextodegloboCar"/>
    <w:uiPriority w:val="99"/>
    <w:semiHidden/>
    <w:unhideWhenUsed/>
    <w:rsid w:val="005B4780"/>
    <w:pPr>
      <w:spacing w:after="0" w:line="240" w:lineRule="auto"/>
      <w:jc w:val="left"/>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5B4780"/>
    <w:rPr>
      <w:rFonts w:ascii="Tahoma" w:eastAsia="Calibri" w:hAnsi="Tahoma" w:cs="Tahoma"/>
      <w:sz w:val="16"/>
      <w:szCs w:val="16"/>
    </w:rPr>
  </w:style>
  <w:style w:type="paragraph" w:styleId="Descripcin">
    <w:name w:val="caption"/>
    <w:basedOn w:val="Normal"/>
    <w:next w:val="Normal"/>
    <w:uiPriority w:val="35"/>
    <w:unhideWhenUsed/>
    <w:qFormat/>
    <w:rsid w:val="005B4780"/>
    <w:pPr>
      <w:spacing w:after="200" w:line="240" w:lineRule="auto"/>
      <w:jc w:val="left"/>
    </w:pPr>
    <w:rPr>
      <w:rFonts w:ascii="Calibri" w:eastAsia="Calibri" w:hAnsi="Calibri" w:cs="Times New Roman"/>
      <w:b/>
      <w:bCs/>
      <w:color w:val="5B9BD5" w:themeColor="accent1"/>
      <w:sz w:val="18"/>
      <w:szCs w:val="18"/>
    </w:rPr>
  </w:style>
  <w:style w:type="paragraph" w:styleId="Sinespaciado">
    <w:name w:val="No Spacing"/>
    <w:link w:val="SinespaciadoCar"/>
    <w:uiPriority w:val="1"/>
    <w:qFormat/>
    <w:rsid w:val="005B4780"/>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5B4780"/>
    <w:rPr>
      <w:rFonts w:eastAsiaTheme="minorEastAsia"/>
    </w:rPr>
  </w:style>
  <w:style w:type="character" w:styleId="nfasissutil">
    <w:name w:val="Subtle Emphasis"/>
    <w:basedOn w:val="Fuentedeprrafopredeter"/>
    <w:uiPriority w:val="19"/>
    <w:qFormat/>
    <w:rsid w:val="005B4780"/>
    <w:rPr>
      <w:i/>
      <w:iCs/>
      <w:color w:val="808080" w:themeColor="text1" w:themeTint="7F"/>
    </w:rPr>
  </w:style>
  <w:style w:type="table" w:styleId="Tabladecuadrcula5oscura-nfasis2">
    <w:name w:val="Grid Table 5 Dark Accent 2"/>
    <w:basedOn w:val="Tablanormal"/>
    <w:uiPriority w:val="50"/>
    <w:rsid w:val="00A108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CC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000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000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000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0000" w:themeFill="accent2"/>
      </w:tcPr>
    </w:tblStylePr>
    <w:tblStylePr w:type="band1Vert">
      <w:tblPr/>
      <w:tcPr>
        <w:shd w:val="clear" w:color="auto" w:fill="FF9999" w:themeFill="accent2" w:themeFillTint="66"/>
      </w:tcPr>
    </w:tblStylePr>
    <w:tblStylePr w:type="band1Horz">
      <w:tblPr/>
      <w:tcPr>
        <w:shd w:val="clear" w:color="auto" w:fill="FF9999" w:themeFill="accent2" w:themeFillTint="66"/>
      </w:tcPr>
    </w:tblStylePr>
  </w:style>
  <w:style w:type="table" w:styleId="Tabladecuadrcula4-nfasis5">
    <w:name w:val="Grid Table 4 Accent 5"/>
    <w:basedOn w:val="Tablanormal"/>
    <w:uiPriority w:val="49"/>
    <w:rsid w:val="00D2710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5oscura">
    <w:name w:val="Grid Table 5 Dark"/>
    <w:basedOn w:val="Tablanormal"/>
    <w:uiPriority w:val="50"/>
    <w:rsid w:val="00E8759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4-nfasis4">
    <w:name w:val="Grid Table 4 Accent 4"/>
    <w:basedOn w:val="Tablanormal"/>
    <w:uiPriority w:val="49"/>
    <w:rsid w:val="00E87599"/>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cuadrcula4">
    <w:name w:val="Grid Table 4"/>
    <w:basedOn w:val="Tablanormal"/>
    <w:uiPriority w:val="49"/>
    <w:rsid w:val="00E8759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
    <w:name w:val="List Table 4"/>
    <w:basedOn w:val="Tablanormal"/>
    <w:uiPriority w:val="49"/>
    <w:rsid w:val="00E8759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3-nfasis4">
    <w:name w:val="List Table 3 Accent 4"/>
    <w:basedOn w:val="Tablanormal"/>
    <w:uiPriority w:val="48"/>
    <w:rsid w:val="00AB3790"/>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Tablanormal1">
    <w:name w:val="Plain Table 1"/>
    <w:basedOn w:val="Tablanormal"/>
    <w:uiPriority w:val="41"/>
    <w:rsid w:val="00AB379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430427">
      <w:bodyDiv w:val="1"/>
      <w:marLeft w:val="0"/>
      <w:marRight w:val="0"/>
      <w:marTop w:val="0"/>
      <w:marBottom w:val="0"/>
      <w:divBdr>
        <w:top w:val="none" w:sz="0" w:space="0" w:color="auto"/>
        <w:left w:val="none" w:sz="0" w:space="0" w:color="auto"/>
        <w:bottom w:val="none" w:sz="0" w:space="0" w:color="auto"/>
        <w:right w:val="none" w:sz="0" w:space="0" w:color="auto"/>
      </w:divBdr>
      <w:divsChild>
        <w:div w:id="2037778660">
          <w:marLeft w:val="547"/>
          <w:marRight w:val="0"/>
          <w:marTop w:val="0"/>
          <w:marBottom w:val="0"/>
          <w:divBdr>
            <w:top w:val="none" w:sz="0" w:space="0" w:color="auto"/>
            <w:left w:val="none" w:sz="0" w:space="0" w:color="auto"/>
            <w:bottom w:val="none" w:sz="0" w:space="0" w:color="auto"/>
            <w:right w:val="none" w:sz="0" w:space="0" w:color="auto"/>
          </w:divBdr>
        </w:div>
        <w:div w:id="1278488052">
          <w:marLeft w:val="547"/>
          <w:marRight w:val="0"/>
          <w:marTop w:val="0"/>
          <w:marBottom w:val="0"/>
          <w:divBdr>
            <w:top w:val="none" w:sz="0" w:space="0" w:color="auto"/>
            <w:left w:val="none" w:sz="0" w:space="0" w:color="auto"/>
            <w:bottom w:val="none" w:sz="0" w:space="0" w:color="auto"/>
            <w:right w:val="none" w:sz="0" w:space="0" w:color="auto"/>
          </w:divBdr>
        </w:div>
        <w:div w:id="1585917347">
          <w:marLeft w:val="1267"/>
          <w:marRight w:val="0"/>
          <w:marTop w:val="0"/>
          <w:marBottom w:val="0"/>
          <w:divBdr>
            <w:top w:val="none" w:sz="0" w:space="0" w:color="auto"/>
            <w:left w:val="none" w:sz="0" w:space="0" w:color="auto"/>
            <w:bottom w:val="none" w:sz="0" w:space="0" w:color="auto"/>
            <w:right w:val="none" w:sz="0" w:space="0" w:color="auto"/>
          </w:divBdr>
        </w:div>
        <w:div w:id="1081834475">
          <w:marLeft w:val="1267"/>
          <w:marRight w:val="0"/>
          <w:marTop w:val="0"/>
          <w:marBottom w:val="0"/>
          <w:divBdr>
            <w:top w:val="none" w:sz="0" w:space="0" w:color="auto"/>
            <w:left w:val="none" w:sz="0" w:space="0" w:color="auto"/>
            <w:bottom w:val="none" w:sz="0" w:space="0" w:color="auto"/>
            <w:right w:val="none" w:sz="0" w:space="0" w:color="auto"/>
          </w:divBdr>
        </w:div>
        <w:div w:id="782187394">
          <w:marLeft w:val="547"/>
          <w:marRight w:val="0"/>
          <w:marTop w:val="0"/>
          <w:marBottom w:val="0"/>
          <w:divBdr>
            <w:top w:val="none" w:sz="0" w:space="0" w:color="auto"/>
            <w:left w:val="none" w:sz="0" w:space="0" w:color="auto"/>
            <w:bottom w:val="none" w:sz="0" w:space="0" w:color="auto"/>
            <w:right w:val="none" w:sz="0" w:space="0" w:color="auto"/>
          </w:divBdr>
        </w:div>
      </w:divsChild>
    </w:div>
    <w:div w:id="65611110">
      <w:bodyDiv w:val="1"/>
      <w:marLeft w:val="0"/>
      <w:marRight w:val="0"/>
      <w:marTop w:val="0"/>
      <w:marBottom w:val="0"/>
      <w:divBdr>
        <w:top w:val="none" w:sz="0" w:space="0" w:color="auto"/>
        <w:left w:val="none" w:sz="0" w:space="0" w:color="auto"/>
        <w:bottom w:val="none" w:sz="0" w:space="0" w:color="auto"/>
        <w:right w:val="none" w:sz="0" w:space="0" w:color="auto"/>
      </w:divBdr>
    </w:div>
    <w:div w:id="106777683">
      <w:bodyDiv w:val="1"/>
      <w:marLeft w:val="0"/>
      <w:marRight w:val="0"/>
      <w:marTop w:val="0"/>
      <w:marBottom w:val="0"/>
      <w:divBdr>
        <w:top w:val="none" w:sz="0" w:space="0" w:color="auto"/>
        <w:left w:val="none" w:sz="0" w:space="0" w:color="auto"/>
        <w:bottom w:val="none" w:sz="0" w:space="0" w:color="auto"/>
        <w:right w:val="none" w:sz="0" w:space="0" w:color="auto"/>
      </w:divBdr>
    </w:div>
    <w:div w:id="130174162">
      <w:bodyDiv w:val="1"/>
      <w:marLeft w:val="0"/>
      <w:marRight w:val="0"/>
      <w:marTop w:val="0"/>
      <w:marBottom w:val="0"/>
      <w:divBdr>
        <w:top w:val="none" w:sz="0" w:space="0" w:color="auto"/>
        <w:left w:val="none" w:sz="0" w:space="0" w:color="auto"/>
        <w:bottom w:val="none" w:sz="0" w:space="0" w:color="auto"/>
        <w:right w:val="none" w:sz="0" w:space="0" w:color="auto"/>
      </w:divBdr>
    </w:div>
    <w:div w:id="137038849">
      <w:bodyDiv w:val="1"/>
      <w:marLeft w:val="0"/>
      <w:marRight w:val="0"/>
      <w:marTop w:val="0"/>
      <w:marBottom w:val="0"/>
      <w:divBdr>
        <w:top w:val="none" w:sz="0" w:space="0" w:color="auto"/>
        <w:left w:val="none" w:sz="0" w:space="0" w:color="auto"/>
        <w:bottom w:val="none" w:sz="0" w:space="0" w:color="auto"/>
        <w:right w:val="none" w:sz="0" w:space="0" w:color="auto"/>
      </w:divBdr>
    </w:div>
    <w:div w:id="527959478">
      <w:bodyDiv w:val="1"/>
      <w:marLeft w:val="0"/>
      <w:marRight w:val="0"/>
      <w:marTop w:val="0"/>
      <w:marBottom w:val="0"/>
      <w:divBdr>
        <w:top w:val="none" w:sz="0" w:space="0" w:color="auto"/>
        <w:left w:val="none" w:sz="0" w:space="0" w:color="auto"/>
        <w:bottom w:val="none" w:sz="0" w:space="0" w:color="auto"/>
        <w:right w:val="none" w:sz="0" w:space="0" w:color="auto"/>
      </w:divBdr>
    </w:div>
    <w:div w:id="545340336">
      <w:bodyDiv w:val="1"/>
      <w:marLeft w:val="0"/>
      <w:marRight w:val="0"/>
      <w:marTop w:val="0"/>
      <w:marBottom w:val="0"/>
      <w:divBdr>
        <w:top w:val="none" w:sz="0" w:space="0" w:color="auto"/>
        <w:left w:val="none" w:sz="0" w:space="0" w:color="auto"/>
        <w:bottom w:val="none" w:sz="0" w:space="0" w:color="auto"/>
        <w:right w:val="none" w:sz="0" w:space="0" w:color="auto"/>
      </w:divBdr>
    </w:div>
    <w:div w:id="654603189">
      <w:bodyDiv w:val="1"/>
      <w:marLeft w:val="0"/>
      <w:marRight w:val="0"/>
      <w:marTop w:val="0"/>
      <w:marBottom w:val="0"/>
      <w:divBdr>
        <w:top w:val="none" w:sz="0" w:space="0" w:color="auto"/>
        <w:left w:val="none" w:sz="0" w:space="0" w:color="auto"/>
        <w:bottom w:val="none" w:sz="0" w:space="0" w:color="auto"/>
        <w:right w:val="none" w:sz="0" w:space="0" w:color="auto"/>
      </w:divBdr>
    </w:div>
    <w:div w:id="655648829">
      <w:bodyDiv w:val="1"/>
      <w:marLeft w:val="0"/>
      <w:marRight w:val="0"/>
      <w:marTop w:val="0"/>
      <w:marBottom w:val="0"/>
      <w:divBdr>
        <w:top w:val="none" w:sz="0" w:space="0" w:color="auto"/>
        <w:left w:val="none" w:sz="0" w:space="0" w:color="auto"/>
        <w:bottom w:val="none" w:sz="0" w:space="0" w:color="auto"/>
        <w:right w:val="none" w:sz="0" w:space="0" w:color="auto"/>
      </w:divBdr>
    </w:div>
    <w:div w:id="723673040">
      <w:bodyDiv w:val="1"/>
      <w:marLeft w:val="0"/>
      <w:marRight w:val="0"/>
      <w:marTop w:val="0"/>
      <w:marBottom w:val="0"/>
      <w:divBdr>
        <w:top w:val="none" w:sz="0" w:space="0" w:color="auto"/>
        <w:left w:val="none" w:sz="0" w:space="0" w:color="auto"/>
        <w:bottom w:val="none" w:sz="0" w:space="0" w:color="auto"/>
        <w:right w:val="none" w:sz="0" w:space="0" w:color="auto"/>
      </w:divBdr>
    </w:div>
    <w:div w:id="950743178">
      <w:bodyDiv w:val="1"/>
      <w:marLeft w:val="0"/>
      <w:marRight w:val="0"/>
      <w:marTop w:val="0"/>
      <w:marBottom w:val="0"/>
      <w:divBdr>
        <w:top w:val="none" w:sz="0" w:space="0" w:color="auto"/>
        <w:left w:val="none" w:sz="0" w:space="0" w:color="auto"/>
        <w:bottom w:val="none" w:sz="0" w:space="0" w:color="auto"/>
        <w:right w:val="none" w:sz="0" w:space="0" w:color="auto"/>
      </w:divBdr>
    </w:div>
    <w:div w:id="1171408492">
      <w:bodyDiv w:val="1"/>
      <w:marLeft w:val="0"/>
      <w:marRight w:val="0"/>
      <w:marTop w:val="0"/>
      <w:marBottom w:val="0"/>
      <w:divBdr>
        <w:top w:val="none" w:sz="0" w:space="0" w:color="auto"/>
        <w:left w:val="none" w:sz="0" w:space="0" w:color="auto"/>
        <w:bottom w:val="none" w:sz="0" w:space="0" w:color="auto"/>
        <w:right w:val="none" w:sz="0" w:space="0" w:color="auto"/>
      </w:divBdr>
    </w:div>
    <w:div w:id="1207765095">
      <w:bodyDiv w:val="1"/>
      <w:marLeft w:val="0"/>
      <w:marRight w:val="0"/>
      <w:marTop w:val="0"/>
      <w:marBottom w:val="0"/>
      <w:divBdr>
        <w:top w:val="none" w:sz="0" w:space="0" w:color="auto"/>
        <w:left w:val="none" w:sz="0" w:space="0" w:color="auto"/>
        <w:bottom w:val="none" w:sz="0" w:space="0" w:color="auto"/>
        <w:right w:val="none" w:sz="0" w:space="0" w:color="auto"/>
      </w:divBdr>
    </w:div>
    <w:div w:id="1247811943">
      <w:bodyDiv w:val="1"/>
      <w:marLeft w:val="0"/>
      <w:marRight w:val="0"/>
      <w:marTop w:val="0"/>
      <w:marBottom w:val="0"/>
      <w:divBdr>
        <w:top w:val="none" w:sz="0" w:space="0" w:color="auto"/>
        <w:left w:val="none" w:sz="0" w:space="0" w:color="auto"/>
        <w:bottom w:val="none" w:sz="0" w:space="0" w:color="auto"/>
        <w:right w:val="none" w:sz="0" w:space="0" w:color="auto"/>
      </w:divBdr>
      <w:divsChild>
        <w:div w:id="401217297">
          <w:marLeft w:val="360"/>
          <w:marRight w:val="0"/>
          <w:marTop w:val="120"/>
          <w:marBottom w:val="120"/>
          <w:divBdr>
            <w:top w:val="none" w:sz="0" w:space="0" w:color="auto"/>
            <w:left w:val="none" w:sz="0" w:space="0" w:color="auto"/>
            <w:bottom w:val="none" w:sz="0" w:space="0" w:color="auto"/>
            <w:right w:val="none" w:sz="0" w:space="0" w:color="auto"/>
          </w:divBdr>
        </w:div>
        <w:div w:id="923732105">
          <w:marLeft w:val="360"/>
          <w:marRight w:val="0"/>
          <w:marTop w:val="120"/>
          <w:marBottom w:val="120"/>
          <w:divBdr>
            <w:top w:val="none" w:sz="0" w:space="0" w:color="auto"/>
            <w:left w:val="none" w:sz="0" w:space="0" w:color="auto"/>
            <w:bottom w:val="none" w:sz="0" w:space="0" w:color="auto"/>
            <w:right w:val="none" w:sz="0" w:space="0" w:color="auto"/>
          </w:divBdr>
        </w:div>
        <w:div w:id="161284513">
          <w:marLeft w:val="360"/>
          <w:marRight w:val="0"/>
          <w:marTop w:val="120"/>
          <w:marBottom w:val="120"/>
          <w:divBdr>
            <w:top w:val="none" w:sz="0" w:space="0" w:color="auto"/>
            <w:left w:val="none" w:sz="0" w:space="0" w:color="auto"/>
            <w:bottom w:val="none" w:sz="0" w:space="0" w:color="auto"/>
            <w:right w:val="none" w:sz="0" w:space="0" w:color="auto"/>
          </w:divBdr>
        </w:div>
        <w:div w:id="1629437437">
          <w:marLeft w:val="360"/>
          <w:marRight w:val="0"/>
          <w:marTop w:val="120"/>
          <w:marBottom w:val="120"/>
          <w:divBdr>
            <w:top w:val="none" w:sz="0" w:space="0" w:color="auto"/>
            <w:left w:val="none" w:sz="0" w:space="0" w:color="auto"/>
            <w:bottom w:val="none" w:sz="0" w:space="0" w:color="auto"/>
            <w:right w:val="none" w:sz="0" w:space="0" w:color="auto"/>
          </w:divBdr>
        </w:div>
        <w:div w:id="577327769">
          <w:marLeft w:val="360"/>
          <w:marRight w:val="0"/>
          <w:marTop w:val="120"/>
          <w:marBottom w:val="120"/>
          <w:divBdr>
            <w:top w:val="none" w:sz="0" w:space="0" w:color="auto"/>
            <w:left w:val="none" w:sz="0" w:space="0" w:color="auto"/>
            <w:bottom w:val="none" w:sz="0" w:space="0" w:color="auto"/>
            <w:right w:val="none" w:sz="0" w:space="0" w:color="auto"/>
          </w:divBdr>
        </w:div>
      </w:divsChild>
    </w:div>
    <w:div w:id="1324353918">
      <w:bodyDiv w:val="1"/>
      <w:marLeft w:val="0"/>
      <w:marRight w:val="0"/>
      <w:marTop w:val="0"/>
      <w:marBottom w:val="0"/>
      <w:divBdr>
        <w:top w:val="none" w:sz="0" w:space="0" w:color="auto"/>
        <w:left w:val="none" w:sz="0" w:space="0" w:color="auto"/>
        <w:bottom w:val="none" w:sz="0" w:space="0" w:color="auto"/>
        <w:right w:val="none" w:sz="0" w:space="0" w:color="auto"/>
      </w:divBdr>
    </w:div>
    <w:div w:id="1341852890">
      <w:bodyDiv w:val="1"/>
      <w:marLeft w:val="0"/>
      <w:marRight w:val="0"/>
      <w:marTop w:val="0"/>
      <w:marBottom w:val="0"/>
      <w:divBdr>
        <w:top w:val="none" w:sz="0" w:space="0" w:color="auto"/>
        <w:left w:val="none" w:sz="0" w:space="0" w:color="auto"/>
        <w:bottom w:val="none" w:sz="0" w:space="0" w:color="auto"/>
        <w:right w:val="none" w:sz="0" w:space="0" w:color="auto"/>
      </w:divBdr>
    </w:div>
    <w:div w:id="1546210023">
      <w:bodyDiv w:val="1"/>
      <w:marLeft w:val="0"/>
      <w:marRight w:val="0"/>
      <w:marTop w:val="0"/>
      <w:marBottom w:val="0"/>
      <w:divBdr>
        <w:top w:val="none" w:sz="0" w:space="0" w:color="auto"/>
        <w:left w:val="none" w:sz="0" w:space="0" w:color="auto"/>
        <w:bottom w:val="none" w:sz="0" w:space="0" w:color="auto"/>
        <w:right w:val="none" w:sz="0" w:space="0" w:color="auto"/>
      </w:divBdr>
      <w:divsChild>
        <w:div w:id="1578243800">
          <w:marLeft w:val="360"/>
          <w:marRight w:val="0"/>
          <w:marTop w:val="120"/>
          <w:marBottom w:val="120"/>
          <w:divBdr>
            <w:top w:val="none" w:sz="0" w:space="0" w:color="auto"/>
            <w:left w:val="none" w:sz="0" w:space="0" w:color="auto"/>
            <w:bottom w:val="none" w:sz="0" w:space="0" w:color="auto"/>
            <w:right w:val="none" w:sz="0" w:space="0" w:color="auto"/>
          </w:divBdr>
        </w:div>
        <w:div w:id="974213280">
          <w:marLeft w:val="360"/>
          <w:marRight w:val="0"/>
          <w:marTop w:val="120"/>
          <w:marBottom w:val="120"/>
          <w:divBdr>
            <w:top w:val="none" w:sz="0" w:space="0" w:color="auto"/>
            <w:left w:val="none" w:sz="0" w:space="0" w:color="auto"/>
            <w:bottom w:val="none" w:sz="0" w:space="0" w:color="auto"/>
            <w:right w:val="none" w:sz="0" w:space="0" w:color="auto"/>
          </w:divBdr>
        </w:div>
        <w:div w:id="1856309526">
          <w:marLeft w:val="360"/>
          <w:marRight w:val="0"/>
          <w:marTop w:val="120"/>
          <w:marBottom w:val="120"/>
          <w:divBdr>
            <w:top w:val="none" w:sz="0" w:space="0" w:color="auto"/>
            <w:left w:val="none" w:sz="0" w:space="0" w:color="auto"/>
            <w:bottom w:val="none" w:sz="0" w:space="0" w:color="auto"/>
            <w:right w:val="none" w:sz="0" w:space="0" w:color="auto"/>
          </w:divBdr>
        </w:div>
        <w:div w:id="314720139">
          <w:marLeft w:val="360"/>
          <w:marRight w:val="0"/>
          <w:marTop w:val="120"/>
          <w:marBottom w:val="120"/>
          <w:divBdr>
            <w:top w:val="none" w:sz="0" w:space="0" w:color="auto"/>
            <w:left w:val="none" w:sz="0" w:space="0" w:color="auto"/>
            <w:bottom w:val="none" w:sz="0" w:space="0" w:color="auto"/>
            <w:right w:val="none" w:sz="0" w:space="0" w:color="auto"/>
          </w:divBdr>
        </w:div>
        <w:div w:id="1409571268">
          <w:marLeft w:val="360"/>
          <w:marRight w:val="0"/>
          <w:marTop w:val="120"/>
          <w:marBottom w:val="120"/>
          <w:divBdr>
            <w:top w:val="none" w:sz="0" w:space="0" w:color="auto"/>
            <w:left w:val="none" w:sz="0" w:space="0" w:color="auto"/>
            <w:bottom w:val="none" w:sz="0" w:space="0" w:color="auto"/>
            <w:right w:val="none" w:sz="0" w:space="0" w:color="auto"/>
          </w:divBdr>
        </w:div>
      </w:divsChild>
    </w:div>
    <w:div w:id="1601375228">
      <w:bodyDiv w:val="1"/>
      <w:marLeft w:val="0"/>
      <w:marRight w:val="0"/>
      <w:marTop w:val="0"/>
      <w:marBottom w:val="0"/>
      <w:divBdr>
        <w:top w:val="none" w:sz="0" w:space="0" w:color="auto"/>
        <w:left w:val="none" w:sz="0" w:space="0" w:color="auto"/>
        <w:bottom w:val="none" w:sz="0" w:space="0" w:color="auto"/>
        <w:right w:val="none" w:sz="0" w:space="0" w:color="auto"/>
      </w:divBdr>
      <w:divsChild>
        <w:div w:id="848568244">
          <w:marLeft w:val="360"/>
          <w:marRight w:val="0"/>
          <w:marTop w:val="120"/>
          <w:marBottom w:val="120"/>
          <w:divBdr>
            <w:top w:val="none" w:sz="0" w:space="0" w:color="auto"/>
            <w:left w:val="none" w:sz="0" w:space="0" w:color="auto"/>
            <w:bottom w:val="none" w:sz="0" w:space="0" w:color="auto"/>
            <w:right w:val="none" w:sz="0" w:space="0" w:color="auto"/>
          </w:divBdr>
        </w:div>
        <w:div w:id="706296211">
          <w:marLeft w:val="360"/>
          <w:marRight w:val="0"/>
          <w:marTop w:val="120"/>
          <w:marBottom w:val="120"/>
          <w:divBdr>
            <w:top w:val="none" w:sz="0" w:space="0" w:color="auto"/>
            <w:left w:val="none" w:sz="0" w:space="0" w:color="auto"/>
            <w:bottom w:val="none" w:sz="0" w:space="0" w:color="auto"/>
            <w:right w:val="none" w:sz="0" w:space="0" w:color="auto"/>
          </w:divBdr>
        </w:div>
        <w:div w:id="189025864">
          <w:marLeft w:val="360"/>
          <w:marRight w:val="0"/>
          <w:marTop w:val="120"/>
          <w:marBottom w:val="120"/>
          <w:divBdr>
            <w:top w:val="none" w:sz="0" w:space="0" w:color="auto"/>
            <w:left w:val="none" w:sz="0" w:space="0" w:color="auto"/>
            <w:bottom w:val="none" w:sz="0" w:space="0" w:color="auto"/>
            <w:right w:val="none" w:sz="0" w:space="0" w:color="auto"/>
          </w:divBdr>
        </w:div>
        <w:div w:id="1336305881">
          <w:marLeft w:val="360"/>
          <w:marRight w:val="0"/>
          <w:marTop w:val="120"/>
          <w:marBottom w:val="120"/>
          <w:divBdr>
            <w:top w:val="none" w:sz="0" w:space="0" w:color="auto"/>
            <w:left w:val="none" w:sz="0" w:space="0" w:color="auto"/>
            <w:bottom w:val="none" w:sz="0" w:space="0" w:color="auto"/>
            <w:right w:val="none" w:sz="0" w:space="0" w:color="auto"/>
          </w:divBdr>
        </w:div>
        <w:div w:id="61295277">
          <w:marLeft w:val="360"/>
          <w:marRight w:val="0"/>
          <w:marTop w:val="120"/>
          <w:marBottom w:val="120"/>
          <w:divBdr>
            <w:top w:val="none" w:sz="0" w:space="0" w:color="auto"/>
            <w:left w:val="none" w:sz="0" w:space="0" w:color="auto"/>
            <w:bottom w:val="none" w:sz="0" w:space="0" w:color="auto"/>
            <w:right w:val="none" w:sz="0" w:space="0" w:color="auto"/>
          </w:divBdr>
        </w:div>
      </w:divsChild>
    </w:div>
    <w:div w:id="1779911162">
      <w:bodyDiv w:val="1"/>
      <w:marLeft w:val="0"/>
      <w:marRight w:val="0"/>
      <w:marTop w:val="0"/>
      <w:marBottom w:val="0"/>
      <w:divBdr>
        <w:top w:val="none" w:sz="0" w:space="0" w:color="auto"/>
        <w:left w:val="none" w:sz="0" w:space="0" w:color="auto"/>
        <w:bottom w:val="none" w:sz="0" w:space="0" w:color="auto"/>
        <w:right w:val="none" w:sz="0" w:space="0" w:color="auto"/>
      </w:divBdr>
    </w:div>
    <w:div w:id="1816292104">
      <w:bodyDiv w:val="1"/>
      <w:marLeft w:val="0"/>
      <w:marRight w:val="0"/>
      <w:marTop w:val="0"/>
      <w:marBottom w:val="0"/>
      <w:divBdr>
        <w:top w:val="none" w:sz="0" w:space="0" w:color="auto"/>
        <w:left w:val="none" w:sz="0" w:space="0" w:color="auto"/>
        <w:bottom w:val="none" w:sz="0" w:space="0" w:color="auto"/>
        <w:right w:val="none" w:sz="0" w:space="0" w:color="auto"/>
      </w:divBdr>
    </w:div>
    <w:div w:id="2033677832">
      <w:bodyDiv w:val="1"/>
      <w:marLeft w:val="0"/>
      <w:marRight w:val="0"/>
      <w:marTop w:val="0"/>
      <w:marBottom w:val="0"/>
      <w:divBdr>
        <w:top w:val="none" w:sz="0" w:space="0" w:color="auto"/>
        <w:left w:val="none" w:sz="0" w:space="0" w:color="auto"/>
        <w:bottom w:val="none" w:sz="0" w:space="0" w:color="auto"/>
        <w:right w:val="none" w:sz="0" w:space="0" w:color="auto"/>
      </w:divBdr>
    </w:div>
    <w:div w:id="2099011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chart" Target="charts/chart57.xml"/><Relationship Id="rId21" Type="http://schemas.openxmlformats.org/officeDocument/2006/relationships/chart" Target="charts/chart9.xml"/><Relationship Id="rId42" Type="http://schemas.openxmlformats.org/officeDocument/2006/relationships/image" Target="media/image16.jpe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hyperlink" Target="file:///C:\Users\25150229M\AppData\Local\Microsoft\Windows\INetCache\Content.MSO\6506C91A.xlsx" TargetMode="External"/><Relationship Id="rId89" Type="http://schemas.openxmlformats.org/officeDocument/2006/relationships/chart" Target="charts/chart29.xml"/><Relationship Id="rId112" Type="http://schemas.openxmlformats.org/officeDocument/2006/relationships/chart" Target="charts/chart52.xml"/><Relationship Id="rId133" Type="http://schemas.openxmlformats.org/officeDocument/2006/relationships/hyperlink" Target="https://investigacionpuertadehierro.com/investigacion/areas-de-investigacion/biopatologia-cardiovascular-digestiva-y-reumatologia/12-grupo-de-investigacion-en-farmacologia-clinica/" TargetMode="External"/><Relationship Id="rId16" Type="http://schemas.openxmlformats.org/officeDocument/2006/relationships/chart" Target="charts/chart4.xml"/><Relationship Id="rId107" Type="http://schemas.openxmlformats.org/officeDocument/2006/relationships/chart" Target="charts/chart47.xml"/><Relationship Id="rId11" Type="http://schemas.openxmlformats.org/officeDocument/2006/relationships/image" Target="media/image3.tiff"/><Relationship Id="rId32" Type="http://schemas.openxmlformats.org/officeDocument/2006/relationships/image" Target="media/image10.emf"/><Relationship Id="rId37" Type="http://schemas.openxmlformats.org/officeDocument/2006/relationships/image" Target="media/image12.gif"/><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chart" Target="charts/chart18.xml"/><Relationship Id="rId79" Type="http://schemas.openxmlformats.org/officeDocument/2006/relationships/image" Target="media/image49.emf"/><Relationship Id="rId102" Type="http://schemas.openxmlformats.org/officeDocument/2006/relationships/chart" Target="charts/chart42.xml"/><Relationship Id="rId123" Type="http://schemas.openxmlformats.org/officeDocument/2006/relationships/chart" Target="charts/chart63.xml"/><Relationship Id="rId128" Type="http://schemas.openxmlformats.org/officeDocument/2006/relationships/image" Target="media/image54.emf"/><Relationship Id="rId5" Type="http://schemas.openxmlformats.org/officeDocument/2006/relationships/webSettings" Target="webSettings.xml"/><Relationship Id="rId90" Type="http://schemas.openxmlformats.org/officeDocument/2006/relationships/chart" Target="charts/chart30.xml"/><Relationship Id="rId95" Type="http://schemas.openxmlformats.org/officeDocument/2006/relationships/chart" Target="charts/chart35.xml"/><Relationship Id="rId14" Type="http://schemas.openxmlformats.org/officeDocument/2006/relationships/chart" Target="charts/chart2.xml"/><Relationship Id="rId22" Type="http://schemas.openxmlformats.org/officeDocument/2006/relationships/image" Target="media/image5.png"/><Relationship Id="rId27" Type="http://schemas.openxmlformats.org/officeDocument/2006/relationships/image" Target="media/image7.emf"/><Relationship Id="rId30" Type="http://schemas.openxmlformats.org/officeDocument/2006/relationships/image" Target="media/image8.png"/><Relationship Id="rId35" Type="http://schemas.openxmlformats.org/officeDocument/2006/relationships/chart" Target="charts/chart16.xm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chart" Target="charts/chart21.xml"/><Relationship Id="rId100" Type="http://schemas.openxmlformats.org/officeDocument/2006/relationships/chart" Target="charts/chart40.xml"/><Relationship Id="rId105" Type="http://schemas.openxmlformats.org/officeDocument/2006/relationships/chart" Target="charts/chart45.xml"/><Relationship Id="rId113" Type="http://schemas.openxmlformats.org/officeDocument/2006/relationships/chart" Target="charts/chart53.xml"/><Relationship Id="rId118" Type="http://schemas.openxmlformats.org/officeDocument/2006/relationships/chart" Target="charts/chart58.xml"/><Relationship Id="rId126" Type="http://schemas.openxmlformats.org/officeDocument/2006/relationships/image" Target="media/image52.emf"/><Relationship Id="rId134" Type="http://schemas.openxmlformats.org/officeDocument/2006/relationships/hyperlink" Target="https://dx.doi.org/10.1016%2Fj.jcvp.2021.100022" TargetMode="External"/><Relationship Id="rId8" Type="http://schemas.openxmlformats.org/officeDocument/2006/relationships/header" Target="header1.xml"/><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0.png"/><Relationship Id="rId85" Type="http://schemas.openxmlformats.org/officeDocument/2006/relationships/chart" Target="charts/chart25.xml"/><Relationship Id="rId93" Type="http://schemas.openxmlformats.org/officeDocument/2006/relationships/chart" Target="charts/chart33.xml"/><Relationship Id="rId98" Type="http://schemas.openxmlformats.org/officeDocument/2006/relationships/chart" Target="charts/chart38.xml"/><Relationship Id="rId121" Type="http://schemas.openxmlformats.org/officeDocument/2006/relationships/chart" Target="charts/chart6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5.xml"/><Relationship Id="rId25" Type="http://schemas.openxmlformats.org/officeDocument/2006/relationships/chart" Target="charts/chart12.xml"/><Relationship Id="rId33" Type="http://schemas.openxmlformats.org/officeDocument/2006/relationships/image" Target="media/image11.jpeg"/><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chart" Target="charts/chart43.xml"/><Relationship Id="rId108" Type="http://schemas.openxmlformats.org/officeDocument/2006/relationships/chart" Target="charts/chart48.xml"/><Relationship Id="rId116" Type="http://schemas.openxmlformats.org/officeDocument/2006/relationships/chart" Target="charts/chart56.xml"/><Relationship Id="rId124" Type="http://schemas.openxmlformats.org/officeDocument/2006/relationships/chart" Target="charts/chart64.xml"/><Relationship Id="rId129" Type="http://schemas.openxmlformats.org/officeDocument/2006/relationships/chart" Target="charts/chart65.xml"/><Relationship Id="rId137" Type="http://schemas.openxmlformats.org/officeDocument/2006/relationships/theme" Target="theme/theme1.xml"/><Relationship Id="rId20" Type="http://schemas.openxmlformats.org/officeDocument/2006/relationships/chart" Target="charts/chart8.xm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chart" Target="charts/chart19.xml"/><Relationship Id="rId83" Type="http://schemas.openxmlformats.org/officeDocument/2006/relationships/chart" Target="charts/chart24.xml"/><Relationship Id="rId88" Type="http://schemas.openxmlformats.org/officeDocument/2006/relationships/chart" Target="charts/chart28.xml"/><Relationship Id="rId91" Type="http://schemas.openxmlformats.org/officeDocument/2006/relationships/chart" Target="charts/chart31.xml"/><Relationship Id="rId96" Type="http://schemas.openxmlformats.org/officeDocument/2006/relationships/chart" Target="charts/chart36.xml"/><Relationship Id="rId111" Type="http://schemas.openxmlformats.org/officeDocument/2006/relationships/chart" Target="charts/chart51.xml"/><Relationship Id="rId13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0.xml"/><Relationship Id="rId28" Type="http://schemas.openxmlformats.org/officeDocument/2006/relationships/chart" Target="charts/chart13.xml"/><Relationship Id="rId36" Type="http://schemas.openxmlformats.org/officeDocument/2006/relationships/chart" Target="charts/chart17.xml"/><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chart" Target="charts/chart46.xml"/><Relationship Id="rId114" Type="http://schemas.openxmlformats.org/officeDocument/2006/relationships/chart" Target="charts/chart54.xml"/><Relationship Id="rId119" Type="http://schemas.openxmlformats.org/officeDocument/2006/relationships/chart" Target="charts/chart59.xml"/><Relationship Id="rId127" Type="http://schemas.openxmlformats.org/officeDocument/2006/relationships/image" Target="media/image53.emf"/><Relationship Id="rId10" Type="http://schemas.openxmlformats.org/officeDocument/2006/relationships/image" Target="media/image2.jpeg"/><Relationship Id="rId31" Type="http://schemas.openxmlformats.org/officeDocument/2006/relationships/image" Target="media/image9.emf"/><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emf"/><Relationship Id="rId78" Type="http://schemas.openxmlformats.org/officeDocument/2006/relationships/image" Target="media/image48.jpeg"/><Relationship Id="rId81" Type="http://schemas.openxmlformats.org/officeDocument/2006/relationships/chart" Target="charts/chart22.xml"/><Relationship Id="rId86" Type="http://schemas.openxmlformats.org/officeDocument/2006/relationships/chart" Target="charts/chart26.xml"/><Relationship Id="rId94" Type="http://schemas.openxmlformats.org/officeDocument/2006/relationships/chart" Target="charts/chart34.xml"/><Relationship Id="rId99" Type="http://schemas.openxmlformats.org/officeDocument/2006/relationships/chart" Target="charts/chart39.xml"/><Relationship Id="rId101" Type="http://schemas.openxmlformats.org/officeDocument/2006/relationships/chart" Target="charts/chart41.xml"/><Relationship Id="rId122" Type="http://schemas.openxmlformats.org/officeDocument/2006/relationships/chart" Target="charts/chart62.xml"/><Relationship Id="rId130" Type="http://schemas.openxmlformats.org/officeDocument/2006/relationships/image" Target="media/image55.png"/><Relationship Id="rId135" Type="http://schemas.openxmlformats.org/officeDocument/2006/relationships/image" Target="media/image58.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chart" Target="charts/chart6.xml"/><Relationship Id="rId39" Type="http://schemas.microsoft.com/office/2007/relationships/hdphoto" Target="media/hdphoto1.wdp"/><Relationship Id="rId109" Type="http://schemas.openxmlformats.org/officeDocument/2006/relationships/chart" Target="charts/chart49.xml"/><Relationship Id="rId34" Type="http://schemas.openxmlformats.org/officeDocument/2006/relationships/chart" Target="charts/chart15.xml"/><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chart" Target="charts/chart20.xml"/><Relationship Id="rId97" Type="http://schemas.openxmlformats.org/officeDocument/2006/relationships/chart" Target="charts/chart37.xml"/><Relationship Id="rId104" Type="http://schemas.openxmlformats.org/officeDocument/2006/relationships/chart" Target="charts/chart44.xml"/><Relationship Id="rId120" Type="http://schemas.openxmlformats.org/officeDocument/2006/relationships/chart" Target="charts/chart60.xml"/><Relationship Id="rId125"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chart" Target="charts/chart32.xml"/><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11.xm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chart" Target="charts/chart27.xml"/><Relationship Id="rId110" Type="http://schemas.openxmlformats.org/officeDocument/2006/relationships/chart" Target="charts/chart50.xml"/><Relationship Id="rId115" Type="http://schemas.openxmlformats.org/officeDocument/2006/relationships/chart" Target="charts/chart55.xml"/><Relationship Id="rId131" Type="http://schemas.openxmlformats.org/officeDocument/2006/relationships/image" Target="media/image56.png"/><Relationship Id="rId136" Type="http://schemas.openxmlformats.org/officeDocument/2006/relationships/fontTable" Target="fontTable.xml"/><Relationship Id="rId61" Type="http://schemas.openxmlformats.org/officeDocument/2006/relationships/image" Target="media/image35.png"/><Relationship Id="rId82" Type="http://schemas.openxmlformats.org/officeDocument/2006/relationships/chart" Target="charts/chart23.xml"/><Relationship Id="rId19" Type="http://schemas.openxmlformats.org/officeDocument/2006/relationships/chart" Target="charts/chart7.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50698571Q\Desktop\CUADRO%20DE%20MANDOS\2020\Totales\Unidades%20Extraidas%20ENERO-DICIEMBRE%202020.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1.xml"/><Relationship Id="rId4" Type="http://schemas.openxmlformats.org/officeDocument/2006/relationships/oleObject" Target="file:///C:\Users\50698571Q\Desktop\MEMORIAS\2020\Colectas%20CR\Colectas%20Cr%202020.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C:\Users\50698571Q\Desktop\MEMORIAS\2020\Pta%20del%20Sol\Pta%20del%20Sol%20x%20meses.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50698571Q\Desktop\MEMORIAS\2020\Donantes\Dtes%20CTCM\Donacionesxdonante%20CTCM.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50698571Q\Desktop\CUADRO%20DE%20MANDOS\2020\Totales\Unidades%20Extraidas%20ENERO-DICIEMBRE%202020.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gustavo.montes\Desktop\nuria\Copia%20de%20Impactos%202020_ultimo.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gustavo.montes\Desktop\nuria\Copia%20de%20Impactos%202020_ultimo.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gustavo.montes\Desktop\nuria\Copia%20de%20Impactos%202020_ultimo.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08981550G\Estadisticas%20web\Centro%20de%20Transfusi&#243;n_2018-2020.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H:\memoria%202020\Estadistica_2019_2020.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50698571Q\Desktop\CUADRO%20DE%20MANDOS\2020\Totales\Unidades%20Extraidas%20ENERO-DICIEMBRE%202020.xlsx"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oleObject" Target="file:///H:\memoria%202020\Estadistica_2019_2020.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Hoja_de_c_lculo_de_Microsoft_Excel2.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50047396v\Documents\Mis%20documentos\listados%20CCP\Archivos&#231;\donaciones%20%20C+P+K%20%20BUENO%20&#218;LTIMO%20copiado%20%20MINISTERIO%20perfecto-2.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Hoja_de_c_lculo_de_Microsoft_Excel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50698571Q\Desktop\CUADRO%20DE%20MANDOS\2020\Totales\Unidades%20Extraidas%20ENERO-DICIEMBRE%202020.xlsx" TargetMode="External"/><Relationship Id="rId2" Type="http://schemas.microsoft.com/office/2011/relationships/chartColorStyle" Target="colors2.xml"/><Relationship Id="rId1" Type="http://schemas.microsoft.com/office/2011/relationships/chartStyle" Target="style2.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23.xml"/><Relationship Id="rId1" Type="http://schemas.microsoft.com/office/2011/relationships/chartStyle" Target="style23.xml"/></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24.xml"/><Relationship Id="rId1" Type="http://schemas.microsoft.com/office/2011/relationships/chartStyle" Target="style24.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25.xml"/><Relationship Id="rId1" Type="http://schemas.microsoft.com/office/2011/relationships/chartStyle" Target="style25.xml"/></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36.xml.rels><?xml version="1.0" encoding="UTF-8" standalone="yes"?>
<Relationships xmlns="http://schemas.openxmlformats.org/package/2006/relationships"><Relationship Id="rId3" Type="http://schemas.openxmlformats.org/officeDocument/2006/relationships/oleObject" Target="Gr&#225;fico%20en%20Microsoft%20Word" TargetMode="External"/><Relationship Id="rId2" Type="http://schemas.microsoft.com/office/2011/relationships/chartColorStyle" Target="colors26.xml"/><Relationship Id="rId1" Type="http://schemas.microsoft.com/office/2011/relationships/chartStyle" Target="style26.xml"/></Relationships>
</file>

<file path=word/charts/_rels/chart37.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50698571Q\Desktop\CUADRO%20DE%20MANDOS\2020\Totales\Unidades%20Extraidas%20ENERO-DICIEMBRE%202020.xlsx" TargetMode="External"/><Relationship Id="rId2" Type="http://schemas.microsoft.com/office/2011/relationships/chartColorStyle" Target="colors3.xml"/><Relationship Id="rId1" Type="http://schemas.microsoft.com/office/2011/relationships/chartStyle" Target="style3.xml"/></Relationships>
</file>

<file path=word/charts/_rels/chart40.xml.rels><?xml version="1.0" encoding="UTF-8" standalone="yes"?>
<Relationships xmlns="http://schemas.openxmlformats.org/package/2006/relationships"><Relationship Id="rId1" Type="http://schemas.openxmlformats.org/officeDocument/2006/relationships/package" Target="../embeddings/Hoja_de_c_lculo_de_Microsoft_Excel19.xlsx"/></Relationships>
</file>

<file path=word/charts/_rels/chart41.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7.xml"/><Relationship Id="rId1" Type="http://schemas.microsoft.com/office/2011/relationships/chartStyle" Target="style27.xml"/></Relationships>
</file>

<file path=word/charts/_rels/chart42.xml.rels><?xml version="1.0" encoding="UTF-8" standalone="yes"?>
<Relationships xmlns="http://schemas.openxmlformats.org/package/2006/relationships"><Relationship Id="rId1" Type="http://schemas.openxmlformats.org/officeDocument/2006/relationships/package" Target="../embeddings/Hoja_de_c_lculo_de_Microsoft_Excel21.xlsx"/></Relationships>
</file>

<file path=word/charts/_rels/chart4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4.xml.rels><?xml version="1.0" encoding="UTF-8" standalone="yes"?>
<Relationships xmlns="http://schemas.openxmlformats.org/package/2006/relationships"><Relationship Id="rId1" Type="http://schemas.openxmlformats.org/officeDocument/2006/relationships/package" Target="../embeddings/Hoja_de_c_lculo_de_Microsoft_Excel2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Hoja_de_c_lculo_de_Microsoft_Excel2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Hoja_de_c_lculo_de_Microsoft_Excel24.xlsx"/></Relationships>
</file>

<file path=word/charts/_rels/chart47.xml.rels><?xml version="1.0" encoding="UTF-8" standalone="yes"?>
<Relationships xmlns="http://schemas.openxmlformats.org/package/2006/relationships"><Relationship Id="rId2" Type="http://schemas.openxmlformats.org/officeDocument/2006/relationships/package" Target="../embeddings/Hoja_de_c_lculo_de_Microsoft_Excel25.xlsx"/><Relationship Id="rId1" Type="http://schemas.openxmlformats.org/officeDocument/2006/relationships/themeOverride" Target="../theme/themeOverride8.xml"/></Relationships>
</file>

<file path=word/charts/_rels/chart48.xml.rels><?xml version="1.0" encoding="UTF-8" standalone="yes"?>
<Relationships xmlns="http://schemas.openxmlformats.org/package/2006/relationships"><Relationship Id="rId1" Type="http://schemas.openxmlformats.org/officeDocument/2006/relationships/package" Target="../embeddings/Hoja_de_c_lculo_de_Microsoft_Excel26.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Hoja_de_c_lculo_de_Microsoft_Excel27.xlsx"/></Relationships>
</file>

<file path=word/charts/_rels/chart5.xml.rels><?xml version="1.0" encoding="UTF-8" standalone="yes"?>
<Relationships xmlns="http://schemas.openxmlformats.org/package/2006/relationships"><Relationship Id="rId3" Type="http://schemas.openxmlformats.org/officeDocument/2006/relationships/oleObject" Target="file:///C:\Users\50698571Q\Desktop\CUADRO%20DE%20MANDOS\2020\Totales\Unidades%20Extraidas%20ENERO-DICIEMBRE%202020.xlsx" TargetMode="External"/><Relationship Id="rId2" Type="http://schemas.microsoft.com/office/2011/relationships/chartColorStyle" Target="colors4.xml"/><Relationship Id="rId1" Type="http://schemas.microsoft.com/office/2011/relationships/chartStyle" Target="style4.xml"/></Relationships>
</file>

<file path=word/charts/_rels/chart50.xml.rels><?xml version="1.0" encoding="UTF-8" standalone="yes"?>
<Relationships xmlns="http://schemas.openxmlformats.org/package/2006/relationships"><Relationship Id="rId1" Type="http://schemas.openxmlformats.org/officeDocument/2006/relationships/package" Target="../embeddings/Hoja_de_c_lculo_de_Microsoft_Excel2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Hoja_de_c_lculo_de_Microsoft_Excel29.xlsx"/></Relationships>
</file>

<file path=word/charts/_rels/chart52.xml.rels><?xml version="1.0" encoding="UTF-8" standalone="yes"?>
<Relationships xmlns="http://schemas.openxmlformats.org/package/2006/relationships"><Relationship Id="rId2" Type="http://schemas.openxmlformats.org/officeDocument/2006/relationships/package" Target="../embeddings/Hoja_de_c_lculo_de_Microsoft_Excel30.xlsx"/><Relationship Id="rId1" Type="http://schemas.openxmlformats.org/officeDocument/2006/relationships/themeOverride" Target="../theme/themeOverride9.xml"/></Relationships>
</file>

<file path=word/charts/_rels/chart53.xml.rels><?xml version="1.0" encoding="UTF-8" standalone="yes"?>
<Relationships xmlns="http://schemas.openxmlformats.org/package/2006/relationships"><Relationship Id="rId2" Type="http://schemas.openxmlformats.org/officeDocument/2006/relationships/package" Target="../embeddings/Hoja_de_c_lculo_de_Microsoft_Excel31.xlsx"/><Relationship Id="rId1" Type="http://schemas.openxmlformats.org/officeDocument/2006/relationships/themeOverride" Target="../theme/themeOverride10.xml"/></Relationships>
</file>

<file path=word/charts/_rels/chart54.xml.rels><?xml version="1.0" encoding="UTF-8" standalone="yes"?>
<Relationships xmlns="http://schemas.openxmlformats.org/package/2006/relationships"><Relationship Id="rId1" Type="http://schemas.openxmlformats.org/officeDocument/2006/relationships/package" Target="../embeddings/Hoja_de_c_lculo_de_Microsoft_Excel32.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Hoja_de_c_lculo_de_Microsoft_Excel33.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Hoja_de_c_lculo_de_Microsoft_Excel34.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Hoja_de_c_lculo_de_Microsoft_Excel35.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Hoja_de_c_lculo_de_Microsoft_Excel36.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Hoja_de_c_lculo_de_Microsoft_Excel37.xlsx"/></Relationships>
</file>

<file path=word/charts/_rels/chart6.xml.rels><?xml version="1.0" encoding="UTF-8" standalone="yes"?>
<Relationships xmlns="http://schemas.openxmlformats.org/package/2006/relationships"><Relationship Id="rId3" Type="http://schemas.openxmlformats.org/officeDocument/2006/relationships/oleObject" Target="file:///C:\Users\50698571Q\Desktop\MEMORIAS\2020\Donantes\Dtes%20x%20sexo%20y%20edad_P15.xlsx" TargetMode="External"/><Relationship Id="rId2" Type="http://schemas.microsoft.com/office/2011/relationships/chartColorStyle" Target="colors5.xml"/><Relationship Id="rId1" Type="http://schemas.microsoft.com/office/2011/relationships/chartStyle" Target="style5.xml"/></Relationships>
</file>

<file path=word/charts/_rels/chart60.xml.rels><?xml version="1.0" encoding="UTF-8" standalone="yes"?>
<Relationships xmlns="http://schemas.openxmlformats.org/package/2006/relationships"><Relationship Id="rId1" Type="http://schemas.openxmlformats.org/officeDocument/2006/relationships/package" Target="../embeddings/Hoja_de_c_lculo_de_Microsoft_Excel38.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Hoja_de_c_lculo_de_Microsoft_Excel39.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Hoja_de_c_lculo_de_Microsoft_Excel40.xlsx"/></Relationships>
</file>

<file path=word/charts/_rels/chart63.xml.rels><?xml version="1.0" encoding="UTF-8" standalone="yes"?>
<Relationships xmlns="http://schemas.openxmlformats.org/package/2006/relationships"><Relationship Id="rId3" Type="http://schemas.openxmlformats.org/officeDocument/2006/relationships/package" Target="../embeddings/Hoja_de_c_lculo_de_Microsoft_Excel41.xlsx"/><Relationship Id="rId2" Type="http://schemas.microsoft.com/office/2011/relationships/chartColorStyle" Target="colors28.xml"/><Relationship Id="rId1" Type="http://schemas.microsoft.com/office/2011/relationships/chartStyle" Target="style28.xml"/></Relationships>
</file>

<file path=word/charts/_rels/chart64.xml.rels><?xml version="1.0" encoding="UTF-8" standalone="yes"?>
<Relationships xmlns="http://schemas.openxmlformats.org/package/2006/relationships"><Relationship Id="rId1" Type="http://schemas.openxmlformats.org/officeDocument/2006/relationships/package" Target="../embeddings/Hoja_de_c_lculo_de_Microsoft_Excel42.xlsx"/></Relationships>
</file>

<file path=word/charts/_rels/chart65.xml.rels><?xml version="1.0" encoding="UTF-8" standalone="yes"?>
<Relationships xmlns="http://schemas.openxmlformats.org/package/2006/relationships"><Relationship Id="rId3" Type="http://schemas.openxmlformats.org/officeDocument/2006/relationships/oleObject" Target="file:///\\salud.madrid.org\SSCCDepartamentales\VADepartamentales\CORDINACION-DONACION%20MEDULA\+ESTADISTICAS\ENERO-DICIEMBRE%202020.xlsx" TargetMode="External"/><Relationship Id="rId2" Type="http://schemas.microsoft.com/office/2011/relationships/chartColorStyle" Target="colors29.xml"/><Relationship Id="rId1" Type="http://schemas.microsoft.com/office/2011/relationships/chartStyle" Target="style29.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Hoja_de_c_lculo_de_Microsoft_Excel1.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50698571Q\Desktop\MEMORIAS\2020\Donantes\Dtes%20x%20sexo%20y%20edad_P15.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50698571Q\Desktop\MEMORIAS\2020\Donantes\Dtes%20x%20sexo%20y%20edad_P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Hoja1!$C$1</c:f>
              <c:strCache>
                <c:ptCount val="1"/>
                <c:pt idx="0">
                  <c:v>%</c:v>
                </c:pt>
              </c:strCache>
            </c:strRef>
          </c:tx>
          <c:dPt>
            <c:idx val="0"/>
            <c:bubble3D val="0"/>
            <c:spPr>
              <a:solidFill>
                <a:schemeClr val="accent1"/>
              </a:solidFill>
              <a:ln w="25410">
                <a:solidFill>
                  <a:schemeClr val="lt1"/>
                </a:solidFill>
              </a:ln>
              <a:effectLst/>
              <a:sp3d contourW="25400">
                <a:contourClr>
                  <a:schemeClr val="lt1"/>
                </a:contourClr>
              </a:sp3d>
            </c:spPr>
            <c:extLst>
              <c:ext xmlns:c16="http://schemas.microsoft.com/office/drawing/2014/chart" uri="{C3380CC4-5D6E-409C-BE32-E72D297353CC}">
                <c16:uniqueId val="{00000001-EACF-409C-BD32-99D222FBF6B1}"/>
              </c:ext>
            </c:extLst>
          </c:dPt>
          <c:dPt>
            <c:idx val="1"/>
            <c:bubble3D val="0"/>
            <c:spPr>
              <a:solidFill>
                <a:schemeClr val="accent2"/>
              </a:solidFill>
              <a:ln w="25410">
                <a:solidFill>
                  <a:schemeClr val="lt1"/>
                </a:solidFill>
              </a:ln>
              <a:effectLst/>
              <a:sp3d contourW="25400">
                <a:contourClr>
                  <a:schemeClr val="lt1"/>
                </a:contourClr>
              </a:sp3d>
            </c:spPr>
            <c:extLst>
              <c:ext xmlns:c16="http://schemas.microsoft.com/office/drawing/2014/chart" uri="{C3380CC4-5D6E-409C-BE32-E72D297353CC}">
                <c16:uniqueId val="{00000003-EACF-409C-BD32-99D222FBF6B1}"/>
              </c:ext>
            </c:extLst>
          </c:dPt>
          <c:dPt>
            <c:idx val="2"/>
            <c:bubble3D val="0"/>
            <c:spPr>
              <a:solidFill>
                <a:schemeClr val="accent3"/>
              </a:solidFill>
              <a:ln w="25410">
                <a:solidFill>
                  <a:schemeClr val="lt1"/>
                </a:solidFill>
              </a:ln>
              <a:effectLst/>
              <a:sp3d contourW="25400">
                <a:contourClr>
                  <a:schemeClr val="lt1"/>
                </a:contourClr>
              </a:sp3d>
            </c:spPr>
            <c:extLst>
              <c:ext xmlns:c16="http://schemas.microsoft.com/office/drawing/2014/chart" uri="{C3380CC4-5D6E-409C-BE32-E72D297353CC}">
                <c16:uniqueId val="{00000005-EACF-409C-BD32-99D222FBF6B1}"/>
              </c:ext>
            </c:extLst>
          </c:dPt>
          <c:dPt>
            <c:idx val="3"/>
            <c:bubble3D val="0"/>
            <c:spPr>
              <a:solidFill>
                <a:schemeClr val="accent4"/>
              </a:solidFill>
              <a:ln w="25410">
                <a:solidFill>
                  <a:schemeClr val="lt1"/>
                </a:solidFill>
              </a:ln>
              <a:effectLst/>
              <a:sp3d contourW="25400">
                <a:contourClr>
                  <a:schemeClr val="lt1"/>
                </a:contourClr>
              </a:sp3d>
            </c:spPr>
            <c:extLst>
              <c:ext xmlns:c16="http://schemas.microsoft.com/office/drawing/2014/chart" uri="{C3380CC4-5D6E-409C-BE32-E72D297353CC}">
                <c16:uniqueId val="{00000007-EACF-409C-BD32-99D222FBF6B1}"/>
              </c:ext>
            </c:extLst>
          </c:dPt>
          <c:dPt>
            <c:idx val="4"/>
            <c:bubble3D val="0"/>
            <c:spPr>
              <a:solidFill>
                <a:schemeClr val="accent5"/>
              </a:solidFill>
              <a:ln w="25410">
                <a:solidFill>
                  <a:schemeClr val="lt1"/>
                </a:solidFill>
              </a:ln>
              <a:effectLst/>
              <a:sp3d contourW="25400">
                <a:contourClr>
                  <a:schemeClr val="lt1"/>
                </a:contourClr>
              </a:sp3d>
            </c:spPr>
            <c:extLst>
              <c:ext xmlns:c16="http://schemas.microsoft.com/office/drawing/2014/chart" uri="{C3380CC4-5D6E-409C-BE32-E72D297353CC}">
                <c16:uniqueId val="{00000009-EACF-409C-BD32-99D222FBF6B1}"/>
              </c:ext>
            </c:extLst>
          </c:dPt>
          <c:dPt>
            <c:idx val="5"/>
            <c:bubble3D val="0"/>
            <c:spPr>
              <a:solidFill>
                <a:schemeClr val="accent6"/>
              </a:solidFill>
              <a:ln w="25410">
                <a:solidFill>
                  <a:schemeClr val="lt1"/>
                </a:solidFill>
              </a:ln>
              <a:effectLst/>
              <a:sp3d contourW="25400">
                <a:contourClr>
                  <a:schemeClr val="lt1"/>
                </a:contourClr>
              </a:sp3d>
            </c:spPr>
            <c:extLst>
              <c:ext xmlns:c16="http://schemas.microsoft.com/office/drawing/2014/chart" uri="{C3380CC4-5D6E-409C-BE32-E72D297353CC}">
                <c16:uniqueId val="{0000000B-EACF-409C-BD32-99D222FBF6B1}"/>
              </c:ext>
            </c:extLst>
          </c:dPt>
          <c:dPt>
            <c:idx val="6"/>
            <c:bubble3D val="0"/>
            <c:spPr>
              <a:solidFill>
                <a:schemeClr val="accent1">
                  <a:lumMod val="60000"/>
                </a:schemeClr>
              </a:solidFill>
              <a:ln w="25410">
                <a:solidFill>
                  <a:schemeClr val="lt1"/>
                </a:solidFill>
              </a:ln>
              <a:effectLst/>
              <a:sp3d contourW="25400">
                <a:contourClr>
                  <a:schemeClr val="lt1"/>
                </a:contourClr>
              </a:sp3d>
            </c:spPr>
            <c:extLst>
              <c:ext xmlns:c16="http://schemas.microsoft.com/office/drawing/2014/chart" uri="{C3380CC4-5D6E-409C-BE32-E72D297353CC}">
                <c16:uniqueId val="{0000000D-EACF-409C-BD32-99D222FBF6B1}"/>
              </c:ext>
            </c:extLst>
          </c:dPt>
          <c:dPt>
            <c:idx val="7"/>
            <c:bubble3D val="0"/>
            <c:spPr>
              <a:solidFill>
                <a:schemeClr val="accent2">
                  <a:lumMod val="60000"/>
                </a:schemeClr>
              </a:solidFill>
              <a:ln w="25410">
                <a:solidFill>
                  <a:schemeClr val="lt1"/>
                </a:solidFill>
              </a:ln>
              <a:effectLst/>
              <a:sp3d contourW="25400">
                <a:contourClr>
                  <a:schemeClr val="lt1"/>
                </a:contourClr>
              </a:sp3d>
            </c:spPr>
            <c:extLst>
              <c:ext xmlns:c16="http://schemas.microsoft.com/office/drawing/2014/chart" uri="{C3380CC4-5D6E-409C-BE32-E72D297353CC}">
                <c16:uniqueId val="{0000000F-EACF-409C-BD32-99D222FBF6B1}"/>
              </c:ext>
            </c:extLst>
          </c:dPt>
          <c:dPt>
            <c:idx val="8"/>
            <c:bubble3D val="0"/>
            <c:spPr>
              <a:solidFill>
                <a:schemeClr val="accent3">
                  <a:lumMod val="60000"/>
                </a:schemeClr>
              </a:solidFill>
              <a:ln w="25410">
                <a:solidFill>
                  <a:schemeClr val="lt1"/>
                </a:solidFill>
              </a:ln>
              <a:effectLst/>
              <a:sp3d contourW="25400">
                <a:contourClr>
                  <a:schemeClr val="lt1"/>
                </a:contourClr>
              </a:sp3d>
            </c:spPr>
            <c:extLst>
              <c:ext xmlns:c16="http://schemas.microsoft.com/office/drawing/2014/chart" uri="{C3380CC4-5D6E-409C-BE32-E72D297353CC}">
                <c16:uniqueId val="{00000011-EACF-409C-BD32-99D222FBF6B1}"/>
              </c:ext>
            </c:extLst>
          </c:dPt>
          <c:dPt>
            <c:idx val="9"/>
            <c:bubble3D val="0"/>
            <c:spPr>
              <a:solidFill>
                <a:schemeClr val="accent4">
                  <a:lumMod val="60000"/>
                </a:schemeClr>
              </a:solidFill>
              <a:ln w="25410">
                <a:solidFill>
                  <a:schemeClr val="lt1"/>
                </a:solidFill>
              </a:ln>
              <a:effectLst/>
              <a:sp3d contourW="25400">
                <a:contourClr>
                  <a:schemeClr val="lt1"/>
                </a:contourClr>
              </a:sp3d>
            </c:spPr>
            <c:extLst>
              <c:ext xmlns:c16="http://schemas.microsoft.com/office/drawing/2014/chart" uri="{C3380CC4-5D6E-409C-BE32-E72D297353CC}">
                <c16:uniqueId val="{00000013-EACF-409C-BD32-99D222FBF6B1}"/>
              </c:ext>
            </c:extLst>
          </c:dPt>
          <c:dLbls>
            <c:spPr>
              <a:noFill/>
              <a:ln w="25410">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es-ES"/>
              </a:p>
            </c:txPr>
            <c:dLblPos val="bestFit"/>
            <c:showLegendKey val="0"/>
            <c:showVal val="1"/>
            <c:showCatName val="0"/>
            <c:showSerName val="0"/>
            <c:showPercent val="0"/>
            <c:showBubbleSize val="0"/>
            <c:showLeaderLines val="1"/>
            <c:leaderLines>
              <c:spPr>
                <a:ln w="9529"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Hoja1!$B$2:$B$11</c:f>
              <c:strCache>
                <c:ptCount val="10"/>
                <c:pt idx="0">
                  <c:v>Retraso en atención</c:v>
                </c:pt>
                <c:pt idx="1">
                  <c:v>Otras insuficiencias</c:v>
                </c:pt>
                <c:pt idx="2">
                  <c:v>Desacuerdo con organización y normas del Centro</c:v>
                </c:pt>
                <c:pt idx="3">
                  <c:v>Refrigerio</c:v>
                </c:pt>
                <c:pt idx="4">
                  <c:v>Información clínica</c:v>
                </c:pt>
                <c:pt idx="5">
                  <c:v>Disconformidad asistencia</c:v>
                </c:pt>
                <c:pt idx="6">
                  <c:v>Información general</c:v>
                </c:pt>
                <c:pt idx="7">
                  <c:v>Trato personal</c:v>
                </c:pt>
                <c:pt idx="8">
                  <c:v>Citación erróneas</c:v>
                </c:pt>
                <c:pt idx="9">
                  <c:v>Efectos adversos</c:v>
                </c:pt>
              </c:strCache>
            </c:strRef>
          </c:cat>
          <c:val>
            <c:numRef>
              <c:f>Hoja1!$C$2:$C$11</c:f>
              <c:numCache>
                <c:formatCode>0.00%</c:formatCode>
                <c:ptCount val="10"/>
                <c:pt idx="0">
                  <c:v>0.377</c:v>
                </c:pt>
                <c:pt idx="1">
                  <c:v>0.14630000000000001</c:v>
                </c:pt>
                <c:pt idx="2">
                  <c:v>0.39019999999999999</c:v>
                </c:pt>
                <c:pt idx="3">
                  <c:v>0.39019999999999999</c:v>
                </c:pt>
                <c:pt idx="4">
                  <c:v>0.39019999999999999</c:v>
                </c:pt>
                <c:pt idx="5">
                  <c:v>7.3099999999999998E-2</c:v>
                </c:pt>
                <c:pt idx="6">
                  <c:v>4.87E-2</c:v>
                </c:pt>
                <c:pt idx="7">
                  <c:v>2.4299999999999999E-2</c:v>
                </c:pt>
                <c:pt idx="8">
                  <c:v>2.4299999999999999E-2</c:v>
                </c:pt>
                <c:pt idx="9">
                  <c:v>2.4299999999999999E-2</c:v>
                </c:pt>
              </c:numCache>
            </c:numRef>
          </c:val>
          <c:extLst>
            <c:ext xmlns:c16="http://schemas.microsoft.com/office/drawing/2014/chart" uri="{C3380CC4-5D6E-409C-BE32-E72D297353CC}">
              <c16:uniqueId val="{00000014-EACF-409C-BD32-99D222FBF6B1}"/>
            </c:ext>
          </c:extLst>
        </c:ser>
        <c:dLbls>
          <c:showLegendKey val="0"/>
          <c:showVal val="0"/>
          <c:showCatName val="0"/>
          <c:showSerName val="0"/>
          <c:showPercent val="0"/>
          <c:showBubbleSize val="0"/>
          <c:showLeaderLines val="1"/>
        </c:dLbls>
      </c:pie3DChart>
      <c:spPr>
        <a:noFill/>
        <a:ln w="25410">
          <a:noFill/>
        </a:ln>
      </c:spPr>
    </c:plotArea>
    <c:legend>
      <c:legendPos val="r"/>
      <c:overlay val="0"/>
      <c:spPr>
        <a:noFill/>
        <a:ln w="25410">
          <a:noFill/>
        </a:ln>
      </c:spPr>
      <c:txPr>
        <a:bodyPr/>
        <a:lstStyle/>
        <a:p>
          <a:pPr>
            <a:defRPr sz="825" b="0" i="0" u="none" strike="noStrike" baseline="0">
              <a:solidFill>
                <a:srgbClr val="000000"/>
              </a:solidFill>
              <a:latin typeface="Calibri"/>
              <a:ea typeface="Calibri"/>
              <a:cs typeface="Calibri"/>
            </a:defRPr>
          </a:pPr>
          <a:endParaRPr lang="es-ES"/>
        </a:p>
      </c:txPr>
    </c:legend>
    <c:plotVisOnly val="1"/>
    <c:dispBlanksAs val="gap"/>
    <c:showDLblsOverMax val="0"/>
  </c:chart>
  <c:spPr>
    <a:solidFill>
      <a:schemeClr val="bg1"/>
    </a:solidFill>
    <a:ln w="9529" cap="flat" cmpd="sng" algn="ctr">
      <a:noFill/>
      <a:round/>
    </a:ln>
    <a:effectLst/>
  </c:spPr>
  <c:txPr>
    <a:bodyPr/>
    <a:lstStyle/>
    <a:p>
      <a:pPr>
        <a:defRPr sz="900" b="0" i="0" u="none" strike="noStrike" baseline="0">
          <a:solidFill>
            <a:srgbClr val="000000"/>
          </a:solidFill>
          <a:latin typeface="Calibri"/>
          <a:ea typeface="Calibri"/>
          <a:cs typeface="Calibri"/>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none" spc="0" baseline="0">
                <a:gradFill>
                  <a:gsLst>
                    <a:gs pos="0">
                      <a:schemeClr val="dk1">
                        <a:lumMod val="50000"/>
                        <a:lumOff val="50000"/>
                      </a:schemeClr>
                    </a:gs>
                    <a:gs pos="100000">
                      <a:schemeClr val="dk1">
                        <a:lumMod val="85000"/>
                        <a:lumOff val="15000"/>
                      </a:schemeClr>
                    </a:gs>
                  </a:gsLst>
                  <a:lin ang="5400000" scaled="0"/>
                </a:gradFill>
                <a:latin typeface="Calibri" panose="020F0502020204030204" pitchFamily="34" charset="0"/>
                <a:ea typeface="+mn-ea"/>
                <a:cs typeface="Calibri" panose="020F0502020204030204" pitchFamily="34" charset="0"/>
              </a:defRPr>
            </a:pPr>
            <a:r>
              <a:rPr lang="es-ES" sz="1000" b="1" cap="none">
                <a:latin typeface="Calibri" panose="020F0502020204030204" pitchFamily="34" charset="0"/>
                <a:cs typeface="Calibri" panose="020F0502020204030204" pitchFamily="34" charset="0"/>
              </a:rPr>
              <a:t>Variación unidades extraidas/mes colectas externas</a:t>
            </a:r>
          </a:p>
          <a:p>
            <a:pPr>
              <a:defRPr sz="1000" b="1" cap="none">
                <a:latin typeface="Calibri" panose="020F0502020204030204" pitchFamily="34" charset="0"/>
                <a:cs typeface="Calibri" panose="020F0502020204030204" pitchFamily="34" charset="0"/>
              </a:defRPr>
            </a:pPr>
            <a:r>
              <a:rPr lang="es-ES" sz="1000" b="1" cap="none">
                <a:latin typeface="Calibri" panose="020F0502020204030204" pitchFamily="34" charset="0"/>
                <a:cs typeface="Calibri" panose="020F0502020204030204" pitchFamily="34" charset="0"/>
              </a:rPr>
              <a:t>2019-20 </a:t>
            </a:r>
          </a:p>
        </c:rich>
      </c:tx>
      <c:layout>
        <c:manualLayout>
          <c:xMode val="edge"/>
          <c:yMode val="edge"/>
          <c:x val="0.16581050964135102"/>
          <c:y val="0.82399916440512422"/>
        </c:manualLayout>
      </c:layout>
      <c:overlay val="0"/>
      <c:spPr>
        <a:noFill/>
        <a:ln>
          <a:noFill/>
        </a:ln>
        <a:effectLst/>
      </c:spPr>
      <c:txPr>
        <a:bodyPr rot="0" spcFirstLastPara="1" vertOverflow="ellipsis" vert="horz" wrap="square" anchor="ctr" anchorCtr="1"/>
        <a:lstStyle/>
        <a:p>
          <a:pPr>
            <a:defRPr sz="1000" b="1" i="0" u="none" strike="noStrike" kern="1200" cap="none" spc="0" baseline="0">
              <a:gradFill>
                <a:gsLst>
                  <a:gs pos="0">
                    <a:schemeClr val="dk1">
                      <a:lumMod val="50000"/>
                      <a:lumOff val="50000"/>
                    </a:schemeClr>
                  </a:gs>
                  <a:gs pos="100000">
                    <a:schemeClr val="dk1">
                      <a:lumMod val="85000"/>
                      <a:lumOff val="15000"/>
                    </a:schemeClr>
                  </a:gs>
                </a:gsLst>
                <a:lin ang="5400000" scaled="0"/>
              </a:gradFill>
              <a:latin typeface="Calibri" panose="020F0502020204030204" pitchFamily="34" charset="0"/>
              <a:ea typeface="+mn-ea"/>
              <a:cs typeface="Calibri" panose="020F0502020204030204" pitchFamily="34" charset="0"/>
            </a:defRPr>
          </a:pPr>
          <a:endParaRPr lang="es-ES"/>
        </a:p>
      </c:txPr>
    </c:title>
    <c:autoTitleDeleted val="0"/>
    <c:plotArea>
      <c:layout>
        <c:manualLayout>
          <c:layoutTarget val="inner"/>
          <c:xMode val="edge"/>
          <c:yMode val="edge"/>
          <c:x val="2.3542001070090957E-2"/>
          <c:y val="0.21948308544765238"/>
          <c:w val="0.95291599785981806"/>
          <c:h val="0.77736111111111106"/>
        </c:manualLayout>
      </c:layout>
      <c:lineChart>
        <c:grouping val="standard"/>
        <c:varyColors val="0"/>
        <c:ser>
          <c:idx val="0"/>
          <c:order val="0"/>
          <c:tx>
            <c:strRef>
              <c:f>Hoja2!$D$73</c:f>
              <c:strCache>
                <c:ptCount val="1"/>
                <c:pt idx="0">
                  <c:v>Difrencia</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0-431D-49EF-B083-FF0B0B9B70BC}"/>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1-431D-49EF-B083-FF0B0B9B70BC}"/>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2-431D-49EF-B083-FF0B0B9B70BC}"/>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3-431D-49EF-B083-FF0B0B9B70BC}"/>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4-431D-49EF-B083-FF0B0B9B70BC}"/>
                </c:ext>
              </c:extLst>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5-431D-49EF-B083-FF0B0B9B70BC}"/>
                </c:ext>
              </c:extLst>
            </c:dLbl>
            <c:dLbl>
              <c:idx val="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6-431D-49EF-B083-FF0B0B9B70BC}"/>
                </c:ext>
              </c:extLst>
            </c:dLbl>
            <c:dLbl>
              <c:idx val="7"/>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7-431D-49EF-B083-FF0B0B9B70BC}"/>
                </c:ext>
              </c:extLst>
            </c:dLbl>
            <c:dLbl>
              <c:idx val="8"/>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8-431D-49EF-B083-FF0B0B9B70BC}"/>
                </c:ext>
              </c:extLst>
            </c:dLbl>
            <c:dLbl>
              <c:idx val="9"/>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9-431D-49EF-B083-FF0B0B9B70BC}"/>
                </c:ext>
              </c:extLst>
            </c:dLbl>
            <c:dLbl>
              <c:idx val="1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A-431D-49EF-B083-FF0B0B9B70BC}"/>
                </c:ext>
              </c:extLst>
            </c:dLbl>
            <c:dLbl>
              <c:idx val="1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ES"/>
                </a:p>
              </c:txPr>
              <c:dLblPos val="ctr"/>
              <c:showLegendKey val="0"/>
              <c:showVal val="1"/>
              <c:showCatName val="0"/>
              <c:showSerName val="0"/>
              <c:showPercent val="0"/>
              <c:showBubbleSize val="0"/>
              <c:extLst>
                <c:ext xmlns:c16="http://schemas.microsoft.com/office/drawing/2014/chart" uri="{C3380CC4-5D6E-409C-BE32-E72D297353CC}">
                  <c16:uniqueId val="{0000000B-431D-49EF-B083-FF0B0B9B70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Hoja2!$A$74:$A$85</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Hoja2!$D$74:$D$85</c:f>
              <c:numCache>
                <c:formatCode>General</c:formatCode>
                <c:ptCount val="12"/>
                <c:pt idx="0">
                  <c:v>-161</c:v>
                </c:pt>
                <c:pt idx="1">
                  <c:v>-500</c:v>
                </c:pt>
                <c:pt idx="2">
                  <c:v>-1382</c:v>
                </c:pt>
                <c:pt idx="3">
                  <c:v>746</c:v>
                </c:pt>
                <c:pt idx="4">
                  <c:v>261</c:v>
                </c:pt>
                <c:pt idx="5">
                  <c:v>-737</c:v>
                </c:pt>
                <c:pt idx="6">
                  <c:v>551</c:v>
                </c:pt>
                <c:pt idx="7">
                  <c:v>761</c:v>
                </c:pt>
                <c:pt idx="8">
                  <c:v>-825</c:v>
                </c:pt>
                <c:pt idx="9">
                  <c:v>-2008</c:v>
                </c:pt>
                <c:pt idx="10">
                  <c:v>-922</c:v>
                </c:pt>
                <c:pt idx="11">
                  <c:v>562</c:v>
                </c:pt>
              </c:numCache>
            </c:numRef>
          </c:val>
          <c:smooth val="0"/>
          <c:extLst>
            <c:ext xmlns:c16="http://schemas.microsoft.com/office/drawing/2014/chart" uri="{C3380CC4-5D6E-409C-BE32-E72D297353CC}">
              <c16:uniqueId val="{0000000C-431D-49EF-B083-FF0B0B9B70BC}"/>
            </c:ext>
          </c:extLst>
        </c:ser>
        <c:dLbls>
          <c:dLblPos val="ctr"/>
          <c:showLegendKey val="0"/>
          <c:showVal val="1"/>
          <c:showCatName val="0"/>
          <c:showSerName val="0"/>
          <c:showPercent val="0"/>
          <c:showBubbleSize val="0"/>
        </c:dLbls>
        <c:marker val="1"/>
        <c:smooth val="0"/>
        <c:axId val="908937072"/>
        <c:axId val="908939032"/>
      </c:lineChart>
      <c:catAx>
        <c:axId val="908937072"/>
        <c:scaling>
          <c:orientation val="minMax"/>
        </c:scaling>
        <c:delete val="0"/>
        <c:axPos val="b"/>
        <c:numFmt formatCode="General" sourceLinked="1"/>
        <c:majorTickMark val="none"/>
        <c:minorTickMark val="none"/>
        <c:tickLblPos val="high"/>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1050" b="0" i="0" u="none" strike="noStrike" kern="1200" baseline="0">
                <a:solidFill>
                  <a:schemeClr val="tx2">
                    <a:lumMod val="60000"/>
                    <a:lumOff val="40000"/>
                  </a:schemeClr>
                </a:solidFill>
                <a:latin typeface="+mn-lt"/>
                <a:ea typeface="+mn-ea"/>
                <a:cs typeface="+mn-cs"/>
              </a:defRPr>
            </a:pPr>
            <a:endParaRPr lang="es-ES"/>
          </a:p>
        </c:txPr>
        <c:crossAx val="908939032"/>
        <c:crosses val="autoZero"/>
        <c:auto val="1"/>
        <c:lblAlgn val="ctr"/>
        <c:lblOffset val="25"/>
        <c:noMultiLvlLbl val="0"/>
      </c:catAx>
      <c:valAx>
        <c:axId val="908939032"/>
        <c:scaling>
          <c:orientation val="minMax"/>
        </c:scaling>
        <c:delete val="1"/>
        <c:axPos val="l"/>
        <c:numFmt formatCode="General" sourceLinked="1"/>
        <c:majorTickMark val="none"/>
        <c:minorTickMark val="none"/>
        <c:tickLblPos val="nextTo"/>
        <c:crossAx val="90893707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a:t>Donaciones x sectores 2020</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title>
    <c:autoTitleDeleted val="0"/>
    <c:plotArea>
      <c:layout/>
      <c:barChart>
        <c:barDir val="col"/>
        <c:grouping val="clustered"/>
        <c:varyColors val="0"/>
        <c:ser>
          <c:idx val="0"/>
          <c:order val="0"/>
          <c:tx>
            <c:strRef>
              <c:f>Hoja2!$I$31</c:f>
              <c:strCache>
                <c:ptCount val="1"/>
                <c:pt idx="0">
                  <c:v>Presentados</c:v>
                </c:pt>
              </c:strCache>
            </c:strRef>
          </c:tx>
          <c:spPr>
            <a:solidFill>
              <a:srgbClr val="5B9BD5">
                <a:lumMod val="60000"/>
                <a:lumOff val="40000"/>
              </a:srgbClr>
            </a:solidFill>
            <a:ln>
              <a:noFill/>
            </a:ln>
            <a:effectLst/>
          </c:spPr>
          <c:invertIfNegative val="0"/>
          <c:cat>
            <c:strRef>
              <c:f>Hoja2!$H$32:$H$41</c:f>
              <c:strCache>
                <c:ptCount val="10"/>
                <c:pt idx="0">
                  <c:v>Empresas</c:v>
                </c:pt>
                <c:pt idx="1">
                  <c:v>Madrid Capital</c:v>
                </c:pt>
                <c:pt idx="2">
                  <c:v>Pueblos Comunidad de Madrid</c:v>
                </c:pt>
                <c:pt idx="3">
                  <c:v>Universidad</c:v>
                </c:pt>
                <c:pt idx="4">
                  <c:v>Corona Metropolitana</c:v>
                </c:pt>
                <c:pt idx="5">
                  <c:v>Centros de Enseñanza</c:v>
                </c:pt>
                <c:pt idx="6">
                  <c:v>Centros Comerciales</c:v>
                </c:pt>
                <c:pt idx="7">
                  <c:v>Centros de Culto</c:v>
                </c:pt>
                <c:pt idx="8">
                  <c:v>Centro Donación Cruz Roja</c:v>
                </c:pt>
                <c:pt idx="9">
                  <c:v>Otros</c:v>
                </c:pt>
              </c:strCache>
            </c:strRef>
          </c:cat>
          <c:val>
            <c:numRef>
              <c:f>Hoja2!$I$32:$I$41</c:f>
              <c:numCache>
                <c:formatCode>General</c:formatCode>
                <c:ptCount val="10"/>
                <c:pt idx="0">
                  <c:v>9663</c:v>
                </c:pt>
                <c:pt idx="1">
                  <c:v>43340</c:v>
                </c:pt>
                <c:pt idx="2">
                  <c:v>29002</c:v>
                </c:pt>
                <c:pt idx="3">
                  <c:v>4693</c:v>
                </c:pt>
                <c:pt idx="4">
                  <c:v>18261</c:v>
                </c:pt>
                <c:pt idx="5">
                  <c:v>4760</c:v>
                </c:pt>
                <c:pt idx="6">
                  <c:v>6472</c:v>
                </c:pt>
                <c:pt idx="7">
                  <c:v>2306</c:v>
                </c:pt>
                <c:pt idx="8">
                  <c:v>4079</c:v>
                </c:pt>
                <c:pt idx="9">
                  <c:v>428</c:v>
                </c:pt>
              </c:numCache>
            </c:numRef>
          </c:val>
          <c:extLst>
            <c:ext xmlns:c16="http://schemas.microsoft.com/office/drawing/2014/chart" uri="{C3380CC4-5D6E-409C-BE32-E72D297353CC}">
              <c16:uniqueId val="{00000000-68C3-43D6-AB63-278B6DF05AFB}"/>
            </c:ext>
          </c:extLst>
        </c:ser>
        <c:ser>
          <c:idx val="1"/>
          <c:order val="1"/>
          <c:tx>
            <c:strRef>
              <c:f>Hoja2!$J$31</c:f>
              <c:strCache>
                <c:ptCount val="1"/>
                <c:pt idx="0">
                  <c:v>Extraidos</c:v>
                </c:pt>
              </c:strCache>
            </c:strRef>
          </c:tx>
          <c:spPr>
            <a:solidFill>
              <a:srgbClr val="5B9BD5">
                <a:lumMod val="75000"/>
              </a:srgbClr>
            </a:solidFill>
            <a:ln>
              <a:noFill/>
            </a:ln>
            <a:effectLst/>
          </c:spPr>
          <c:invertIfNegative val="0"/>
          <c:cat>
            <c:strRef>
              <c:f>Hoja2!$H$32:$H$41</c:f>
              <c:strCache>
                <c:ptCount val="10"/>
                <c:pt idx="0">
                  <c:v>Empresas</c:v>
                </c:pt>
                <c:pt idx="1">
                  <c:v>Madrid Capital</c:v>
                </c:pt>
                <c:pt idx="2">
                  <c:v>Pueblos Comunidad de Madrid</c:v>
                </c:pt>
                <c:pt idx="3">
                  <c:v>Universidad</c:v>
                </c:pt>
                <c:pt idx="4">
                  <c:v>Corona Metropolitana</c:v>
                </c:pt>
                <c:pt idx="5">
                  <c:v>Centros de Enseñanza</c:v>
                </c:pt>
                <c:pt idx="6">
                  <c:v>Centros Comerciales</c:v>
                </c:pt>
                <c:pt idx="7">
                  <c:v>Centros de Culto</c:v>
                </c:pt>
                <c:pt idx="8">
                  <c:v>Centro Donación Cruz Roja</c:v>
                </c:pt>
                <c:pt idx="9">
                  <c:v>Otros</c:v>
                </c:pt>
              </c:strCache>
            </c:strRef>
          </c:cat>
          <c:val>
            <c:numRef>
              <c:f>Hoja2!$J$32:$J$41</c:f>
              <c:numCache>
                <c:formatCode>General</c:formatCode>
                <c:ptCount val="10"/>
                <c:pt idx="0">
                  <c:v>8495</c:v>
                </c:pt>
                <c:pt idx="1">
                  <c:v>38932</c:v>
                </c:pt>
                <c:pt idx="2">
                  <c:v>26771</c:v>
                </c:pt>
                <c:pt idx="3">
                  <c:v>3974</c:v>
                </c:pt>
                <c:pt idx="4">
                  <c:v>16649</c:v>
                </c:pt>
                <c:pt idx="5">
                  <c:v>3846</c:v>
                </c:pt>
                <c:pt idx="6">
                  <c:v>5822</c:v>
                </c:pt>
                <c:pt idx="7">
                  <c:v>2102</c:v>
                </c:pt>
                <c:pt idx="8">
                  <c:v>3627</c:v>
                </c:pt>
                <c:pt idx="9">
                  <c:v>394</c:v>
                </c:pt>
              </c:numCache>
            </c:numRef>
          </c:val>
          <c:extLst>
            <c:ext xmlns:c16="http://schemas.microsoft.com/office/drawing/2014/chart" uri="{C3380CC4-5D6E-409C-BE32-E72D297353CC}">
              <c16:uniqueId val="{00000001-68C3-43D6-AB63-278B6DF05AFB}"/>
            </c:ext>
          </c:extLst>
        </c:ser>
        <c:ser>
          <c:idx val="2"/>
          <c:order val="2"/>
          <c:tx>
            <c:strRef>
              <c:f>Hoja2!$K$31</c:f>
              <c:strCache>
                <c:ptCount val="1"/>
                <c:pt idx="0">
                  <c:v>Nuevos</c:v>
                </c:pt>
              </c:strCache>
            </c:strRef>
          </c:tx>
          <c:spPr>
            <a:solidFill>
              <a:srgbClr val="4472C4">
                <a:lumMod val="75000"/>
              </a:srgbClr>
            </a:solidFill>
            <a:ln>
              <a:noFill/>
            </a:ln>
            <a:effectLst/>
          </c:spPr>
          <c:invertIfNegative val="0"/>
          <c:cat>
            <c:strRef>
              <c:f>Hoja2!$H$32:$H$41</c:f>
              <c:strCache>
                <c:ptCount val="10"/>
                <c:pt idx="0">
                  <c:v>Empresas</c:v>
                </c:pt>
                <c:pt idx="1">
                  <c:v>Madrid Capital</c:v>
                </c:pt>
                <c:pt idx="2">
                  <c:v>Pueblos Comunidad de Madrid</c:v>
                </c:pt>
                <c:pt idx="3">
                  <c:v>Universidad</c:v>
                </c:pt>
                <c:pt idx="4">
                  <c:v>Corona Metropolitana</c:v>
                </c:pt>
                <c:pt idx="5">
                  <c:v>Centros de Enseñanza</c:v>
                </c:pt>
                <c:pt idx="6">
                  <c:v>Centros Comerciales</c:v>
                </c:pt>
                <c:pt idx="7">
                  <c:v>Centros de Culto</c:v>
                </c:pt>
                <c:pt idx="8">
                  <c:v>Centro Donación Cruz Roja</c:v>
                </c:pt>
                <c:pt idx="9">
                  <c:v>Otros</c:v>
                </c:pt>
              </c:strCache>
            </c:strRef>
          </c:cat>
          <c:val>
            <c:numRef>
              <c:f>Hoja2!$K$32:$K$41</c:f>
              <c:numCache>
                <c:formatCode>General</c:formatCode>
                <c:ptCount val="10"/>
                <c:pt idx="0">
                  <c:v>1622</c:v>
                </c:pt>
                <c:pt idx="1">
                  <c:v>8269</c:v>
                </c:pt>
                <c:pt idx="2">
                  <c:v>2733</c:v>
                </c:pt>
                <c:pt idx="3">
                  <c:v>1980</c:v>
                </c:pt>
                <c:pt idx="4">
                  <c:v>2258</c:v>
                </c:pt>
                <c:pt idx="5">
                  <c:v>2357</c:v>
                </c:pt>
                <c:pt idx="6">
                  <c:v>1242</c:v>
                </c:pt>
                <c:pt idx="7">
                  <c:v>295</c:v>
                </c:pt>
                <c:pt idx="8">
                  <c:v>591</c:v>
                </c:pt>
                <c:pt idx="9">
                  <c:v>101</c:v>
                </c:pt>
              </c:numCache>
            </c:numRef>
          </c:val>
          <c:extLst>
            <c:ext xmlns:c16="http://schemas.microsoft.com/office/drawing/2014/chart" uri="{C3380CC4-5D6E-409C-BE32-E72D297353CC}">
              <c16:uniqueId val="{00000002-68C3-43D6-AB63-278B6DF05AFB}"/>
            </c:ext>
          </c:extLst>
        </c:ser>
        <c:dLbls>
          <c:showLegendKey val="0"/>
          <c:showVal val="0"/>
          <c:showCatName val="0"/>
          <c:showSerName val="0"/>
          <c:showPercent val="0"/>
          <c:showBubbleSize val="0"/>
        </c:dLbls>
        <c:gapWidth val="65"/>
        <c:overlap val="72"/>
        <c:axId val="908945696"/>
        <c:axId val="908947264"/>
      </c:barChart>
      <c:catAx>
        <c:axId val="908945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crossAx val="908947264"/>
        <c:crosses val="autoZero"/>
        <c:auto val="1"/>
        <c:lblAlgn val="ctr"/>
        <c:lblOffset val="100"/>
        <c:noMultiLvlLbl val="0"/>
      </c:catAx>
      <c:valAx>
        <c:axId val="908947264"/>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crossAx val="9089456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Calibri" panose="020F0502020204030204" pitchFamily="34" charset="0"/>
          <a:cs typeface="Calibri" panose="020F0502020204030204" pitchFamily="34" charset="0"/>
        </a:defRPr>
      </a:pPr>
      <a:endParaRPr lang="es-E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Calibri" panose="020F0502020204030204" pitchFamily="34" charset="0"/>
                <a:ea typeface="+mn-ea"/>
                <a:cs typeface="Calibri" panose="020F0502020204030204" pitchFamily="34" charset="0"/>
              </a:defRPr>
            </a:pPr>
            <a:r>
              <a:rPr lang="es-ES" sz="1000" cap="none">
                <a:latin typeface="Calibri" panose="020F0502020204030204" pitchFamily="34" charset="0"/>
                <a:cs typeface="Calibri" panose="020F0502020204030204" pitchFamily="34" charset="0"/>
              </a:rPr>
              <a:t>Pta del Sol 2020 (indicador/flecha compartiva 2019)</a:t>
            </a:r>
          </a:p>
        </c:rich>
      </c:tx>
      <c:overlay val="0"/>
      <c:spPr>
        <a:noFill/>
        <a:ln>
          <a:noFill/>
        </a:ln>
        <a:effectLst/>
      </c:spPr>
      <c:txPr>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es-ES"/>
        </a:p>
      </c:txPr>
    </c:title>
    <c:autoTitleDeleted val="0"/>
    <c:plotArea>
      <c:layout/>
      <c:barChart>
        <c:barDir val="col"/>
        <c:grouping val="clustered"/>
        <c:varyColors val="0"/>
        <c:ser>
          <c:idx val="0"/>
          <c:order val="0"/>
          <c:tx>
            <c:strRef>
              <c:f>Hoja2!$B$18</c:f>
              <c:strCache>
                <c:ptCount val="1"/>
                <c:pt idx="0">
                  <c:v>Presentados</c:v>
                </c:pt>
              </c:strCache>
            </c:strRef>
          </c:tx>
          <c:spPr>
            <a:pattFill prst="narHorz">
              <a:fgClr>
                <a:schemeClr val="accent1">
                  <a:shade val="65000"/>
                </a:schemeClr>
              </a:fgClr>
              <a:bgClr>
                <a:schemeClr val="accent1">
                  <a:shade val="65000"/>
                  <a:lumMod val="20000"/>
                  <a:lumOff val="80000"/>
                </a:schemeClr>
              </a:bgClr>
            </a:pattFill>
            <a:ln>
              <a:noFill/>
            </a:ln>
            <a:effectLst>
              <a:innerShdw blurRad="114300">
                <a:schemeClr val="accent1">
                  <a:shade val="65000"/>
                </a:schemeClr>
              </a:innerShdw>
            </a:effectLst>
          </c:spPr>
          <c:invertIfNegative val="0"/>
          <c:cat>
            <c:strRef>
              <c:f>Hoja2!$A$19:$A$30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Hoja2!$B$19:$B$30</c:f>
              <c:numCache>
                <c:formatCode>General</c:formatCode>
                <c:ptCount val="12"/>
                <c:pt idx="0">
                  <c:v>1181</c:v>
                </c:pt>
                <c:pt idx="1">
                  <c:v>1378</c:v>
                </c:pt>
                <c:pt idx="2">
                  <c:v>897</c:v>
                </c:pt>
                <c:pt idx="3">
                  <c:v>0</c:v>
                </c:pt>
                <c:pt idx="4">
                  <c:v>0</c:v>
                </c:pt>
                <c:pt idx="5">
                  <c:v>987</c:v>
                </c:pt>
                <c:pt idx="6">
                  <c:v>1243</c:v>
                </c:pt>
                <c:pt idx="7">
                  <c:v>1294</c:v>
                </c:pt>
                <c:pt idx="8">
                  <c:v>1353</c:v>
                </c:pt>
                <c:pt idx="9">
                  <c:v>1458</c:v>
                </c:pt>
                <c:pt idx="10">
                  <c:v>1400</c:v>
                </c:pt>
                <c:pt idx="11">
                  <c:v>921</c:v>
                </c:pt>
              </c:numCache>
            </c:numRef>
          </c:val>
          <c:extLst>
            <c:ext xmlns:c16="http://schemas.microsoft.com/office/drawing/2014/chart" uri="{C3380CC4-5D6E-409C-BE32-E72D297353CC}">
              <c16:uniqueId val="{00000000-8C68-49D0-806F-E22785274B67}"/>
            </c:ext>
          </c:extLst>
        </c:ser>
        <c:ser>
          <c:idx val="1"/>
          <c:order val="1"/>
          <c:tx>
            <c:strRef>
              <c:f>Hoja2!$C$18</c:f>
              <c:strCache>
                <c:ptCount val="1"/>
                <c:pt idx="0">
                  <c:v>Extraidos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Hoja2!$A$19:$A$30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Hoja2!$C$19:$C$30</c:f>
              <c:numCache>
                <c:formatCode>General</c:formatCode>
                <c:ptCount val="12"/>
                <c:pt idx="0">
                  <c:v>976</c:v>
                </c:pt>
                <c:pt idx="1">
                  <c:v>1149</c:v>
                </c:pt>
                <c:pt idx="2">
                  <c:v>767</c:v>
                </c:pt>
                <c:pt idx="3">
                  <c:v>0</c:v>
                </c:pt>
                <c:pt idx="4">
                  <c:v>0</c:v>
                </c:pt>
                <c:pt idx="5">
                  <c:v>885</c:v>
                </c:pt>
                <c:pt idx="6">
                  <c:v>1106</c:v>
                </c:pt>
                <c:pt idx="7">
                  <c:v>1150</c:v>
                </c:pt>
                <c:pt idx="8">
                  <c:v>1183</c:v>
                </c:pt>
                <c:pt idx="9">
                  <c:v>1294</c:v>
                </c:pt>
                <c:pt idx="10">
                  <c:v>1238</c:v>
                </c:pt>
                <c:pt idx="11">
                  <c:v>820</c:v>
                </c:pt>
              </c:numCache>
            </c:numRef>
          </c:val>
          <c:extLst>
            <c:ext xmlns:c16="http://schemas.microsoft.com/office/drawing/2014/chart" uri="{C3380CC4-5D6E-409C-BE32-E72D297353CC}">
              <c16:uniqueId val="{00000001-8C68-49D0-806F-E22785274B67}"/>
            </c:ext>
          </c:extLst>
        </c:ser>
        <c:ser>
          <c:idx val="2"/>
          <c:order val="2"/>
          <c:tx>
            <c:strRef>
              <c:f>Hoja2!$D$18</c:f>
              <c:strCache>
                <c:ptCount val="1"/>
                <c:pt idx="0">
                  <c:v>Nuevos</c:v>
                </c:pt>
              </c:strCache>
            </c:strRef>
          </c:tx>
          <c:spPr>
            <a:pattFill prst="narHorz">
              <a:fgClr>
                <a:schemeClr val="accent1">
                  <a:tint val="65000"/>
                </a:schemeClr>
              </a:fgClr>
              <a:bgClr>
                <a:schemeClr val="accent1">
                  <a:tint val="65000"/>
                  <a:lumMod val="20000"/>
                  <a:lumOff val="80000"/>
                </a:schemeClr>
              </a:bgClr>
            </a:pattFill>
            <a:ln>
              <a:noFill/>
            </a:ln>
            <a:effectLst>
              <a:innerShdw blurRad="114300">
                <a:schemeClr val="accent1">
                  <a:tint val="65000"/>
                </a:schemeClr>
              </a:innerShdw>
            </a:effectLst>
          </c:spPr>
          <c:invertIfNegative val="0"/>
          <c:cat>
            <c:strRef>
              <c:f>Hoja2!$A$19:$A$30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Hoja2!$D$19:$D$30</c:f>
              <c:numCache>
                <c:formatCode>General</c:formatCode>
                <c:ptCount val="12"/>
                <c:pt idx="0">
                  <c:v>289</c:v>
                </c:pt>
                <c:pt idx="1">
                  <c:v>412</c:v>
                </c:pt>
                <c:pt idx="2">
                  <c:v>265</c:v>
                </c:pt>
                <c:pt idx="3">
                  <c:v>0</c:v>
                </c:pt>
                <c:pt idx="4">
                  <c:v>0</c:v>
                </c:pt>
                <c:pt idx="5">
                  <c:v>303</c:v>
                </c:pt>
                <c:pt idx="6">
                  <c:v>366</c:v>
                </c:pt>
                <c:pt idx="7">
                  <c:v>382</c:v>
                </c:pt>
                <c:pt idx="8">
                  <c:v>427</c:v>
                </c:pt>
                <c:pt idx="9">
                  <c:v>463</c:v>
                </c:pt>
                <c:pt idx="10">
                  <c:v>443</c:v>
                </c:pt>
                <c:pt idx="11">
                  <c:v>289</c:v>
                </c:pt>
              </c:numCache>
            </c:numRef>
          </c:val>
          <c:extLst>
            <c:ext xmlns:c16="http://schemas.microsoft.com/office/drawing/2014/chart" uri="{C3380CC4-5D6E-409C-BE32-E72D297353CC}">
              <c16:uniqueId val="{00000002-8C68-49D0-806F-E22785274B67}"/>
            </c:ext>
          </c:extLst>
        </c:ser>
        <c:dLbls>
          <c:showLegendKey val="0"/>
          <c:showVal val="0"/>
          <c:showCatName val="0"/>
          <c:showSerName val="0"/>
          <c:showPercent val="0"/>
          <c:showBubbleSize val="0"/>
        </c:dLbls>
        <c:gapWidth val="150"/>
        <c:axId val="908943736"/>
        <c:axId val="908937856"/>
      </c:barChart>
      <c:catAx>
        <c:axId val="9089437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37856"/>
        <c:crosses val="autoZero"/>
        <c:auto val="1"/>
        <c:lblAlgn val="ctr"/>
        <c:lblOffset val="100"/>
        <c:noMultiLvlLbl val="0"/>
      </c:catAx>
      <c:valAx>
        <c:axId val="90893785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437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cap="none" spc="0" normalizeH="0" baseline="0">
                <a:solidFill>
                  <a:schemeClr val="tx1">
                    <a:lumMod val="65000"/>
                    <a:lumOff val="35000"/>
                  </a:schemeClr>
                </a:solidFill>
                <a:latin typeface="Montserrat" panose="00000500000000000000" pitchFamily="2" charset="0"/>
                <a:ea typeface="+mj-ea"/>
                <a:cs typeface="+mj-cs"/>
              </a:defRPr>
            </a:pPr>
            <a:r>
              <a:rPr lang="es-ES"/>
              <a:t>Donantes x edad y sexo 2020</a:t>
            </a:r>
            <a:br>
              <a:rPr lang="es-ES"/>
            </a:br>
            <a:r>
              <a:rPr lang="es-ES"/>
              <a:t>ST</a:t>
            </a:r>
          </a:p>
        </c:rich>
      </c:tx>
      <c:overlay val="0"/>
      <c:spPr>
        <a:noFill/>
        <a:ln>
          <a:noFill/>
        </a:ln>
        <a:effectLst/>
      </c:spPr>
      <c:txPr>
        <a:bodyPr rot="0" spcFirstLastPara="1" vertOverflow="ellipsis" vert="horz" wrap="square" anchor="ctr" anchorCtr="1"/>
        <a:lstStyle/>
        <a:p>
          <a:pPr>
            <a:defRPr sz="1080" b="0" i="0" u="none" strike="noStrike" kern="1200" cap="none" spc="0" normalizeH="0" baseline="0">
              <a:solidFill>
                <a:schemeClr val="tx1">
                  <a:lumMod val="65000"/>
                  <a:lumOff val="35000"/>
                </a:schemeClr>
              </a:solidFill>
              <a:latin typeface="Montserrat" panose="00000500000000000000" pitchFamily="2" charset="0"/>
              <a:ea typeface="+mj-ea"/>
              <a:cs typeface="+mj-cs"/>
            </a:defRPr>
          </a:pPr>
          <a:endParaRPr lang="es-ES"/>
        </a:p>
      </c:txPr>
    </c:title>
    <c:autoTitleDeleted val="0"/>
    <c:plotArea>
      <c:layout/>
      <c:barChart>
        <c:barDir val="col"/>
        <c:grouping val="clustered"/>
        <c:varyColors val="0"/>
        <c:ser>
          <c:idx val="0"/>
          <c:order val="0"/>
          <c:tx>
            <c:strRef>
              <c:f>'Edad y sexo CTCM'!$B$14</c:f>
              <c:strCache>
                <c:ptCount val="1"/>
                <c:pt idx="0">
                  <c:v>Femenino</c:v>
                </c:pt>
              </c:strCache>
            </c:strRef>
          </c:tx>
          <c:spPr>
            <a:solidFill>
              <a:schemeClr val="accent1">
                <a:lumMod val="60000"/>
                <a:lumOff val="40000"/>
              </a:schemeClr>
            </a:solidFill>
            <a:ln>
              <a:noFill/>
            </a:ln>
            <a:effectLst/>
            <a:scene3d>
              <a:camera prst="orthographicFront"/>
              <a:lightRig rig="threePt" dir="t"/>
            </a:scene3d>
            <a:sp3d>
              <a:bevelT/>
            </a:sp3d>
          </c:spPr>
          <c:invertIfNegative val="0"/>
          <c:cat>
            <c:strRef>
              <c:f>'Edad y sexo CTCM'!$C$1:$N$1</c:f>
              <c:strCache>
                <c:ptCount val="12"/>
                <c:pt idx="0">
                  <c:v> &lt;18</c:v>
                </c:pt>
                <c:pt idx="1">
                  <c:v>18 - 20</c:v>
                </c:pt>
                <c:pt idx="2">
                  <c:v>21 - 25</c:v>
                </c:pt>
                <c:pt idx="3">
                  <c:v>26 - 30</c:v>
                </c:pt>
                <c:pt idx="4">
                  <c:v>31 - 35</c:v>
                </c:pt>
                <c:pt idx="5">
                  <c:v>36 - 40</c:v>
                </c:pt>
                <c:pt idx="6">
                  <c:v>41 - 45</c:v>
                </c:pt>
                <c:pt idx="7">
                  <c:v>46 - 50</c:v>
                </c:pt>
                <c:pt idx="8">
                  <c:v>51 - 55</c:v>
                </c:pt>
                <c:pt idx="9">
                  <c:v>56 - 60</c:v>
                </c:pt>
                <c:pt idx="10">
                  <c:v>61 - 65</c:v>
                </c:pt>
                <c:pt idx="11">
                  <c:v>&gt; 65</c:v>
                </c:pt>
              </c:strCache>
            </c:strRef>
          </c:cat>
          <c:val>
            <c:numRef>
              <c:f>'Edad y sexo CTCM'!$C$14:$N$14</c:f>
              <c:numCache>
                <c:formatCode>General</c:formatCode>
                <c:ptCount val="12"/>
                <c:pt idx="0">
                  <c:v>0</c:v>
                </c:pt>
                <c:pt idx="1">
                  <c:v>320</c:v>
                </c:pt>
                <c:pt idx="2">
                  <c:v>653</c:v>
                </c:pt>
                <c:pt idx="3">
                  <c:v>616</c:v>
                </c:pt>
                <c:pt idx="4">
                  <c:v>503</c:v>
                </c:pt>
                <c:pt idx="5">
                  <c:v>407</c:v>
                </c:pt>
                <c:pt idx="6">
                  <c:v>516</c:v>
                </c:pt>
                <c:pt idx="7">
                  <c:v>681</c:v>
                </c:pt>
                <c:pt idx="8">
                  <c:v>654</c:v>
                </c:pt>
                <c:pt idx="9">
                  <c:v>443</c:v>
                </c:pt>
                <c:pt idx="10">
                  <c:v>184</c:v>
                </c:pt>
                <c:pt idx="11">
                  <c:v>5</c:v>
                </c:pt>
              </c:numCache>
            </c:numRef>
          </c:val>
          <c:extLst>
            <c:ext xmlns:c16="http://schemas.microsoft.com/office/drawing/2014/chart" uri="{C3380CC4-5D6E-409C-BE32-E72D297353CC}">
              <c16:uniqueId val="{00000000-F717-47A9-BDC2-24B21B902461}"/>
            </c:ext>
          </c:extLst>
        </c:ser>
        <c:ser>
          <c:idx val="1"/>
          <c:order val="1"/>
          <c:tx>
            <c:strRef>
              <c:f>'Edad y sexo CTCM'!$B$15</c:f>
              <c:strCache>
                <c:ptCount val="1"/>
                <c:pt idx="0">
                  <c:v>Masculino</c:v>
                </c:pt>
              </c:strCache>
            </c:strRef>
          </c:tx>
          <c:spPr>
            <a:solidFill>
              <a:schemeClr val="accent1">
                <a:lumMod val="75000"/>
              </a:schemeClr>
            </a:solidFill>
            <a:ln>
              <a:noFill/>
            </a:ln>
            <a:effectLst/>
            <a:scene3d>
              <a:camera prst="orthographicFront"/>
              <a:lightRig rig="threePt" dir="t"/>
            </a:scene3d>
            <a:sp3d>
              <a:bevelT/>
            </a:sp3d>
          </c:spPr>
          <c:invertIfNegative val="0"/>
          <c:cat>
            <c:strRef>
              <c:f>'Edad y sexo CTCM'!$C$1:$N$1</c:f>
              <c:strCache>
                <c:ptCount val="12"/>
                <c:pt idx="0">
                  <c:v> &lt;18</c:v>
                </c:pt>
                <c:pt idx="1">
                  <c:v>18 - 20</c:v>
                </c:pt>
                <c:pt idx="2">
                  <c:v>21 - 25</c:v>
                </c:pt>
                <c:pt idx="3">
                  <c:v>26 - 30</c:v>
                </c:pt>
                <c:pt idx="4">
                  <c:v>31 - 35</c:v>
                </c:pt>
                <c:pt idx="5">
                  <c:v>36 - 40</c:v>
                </c:pt>
                <c:pt idx="6">
                  <c:v>41 - 45</c:v>
                </c:pt>
                <c:pt idx="7">
                  <c:v>46 - 50</c:v>
                </c:pt>
                <c:pt idx="8">
                  <c:v>51 - 55</c:v>
                </c:pt>
                <c:pt idx="9">
                  <c:v>56 - 60</c:v>
                </c:pt>
                <c:pt idx="10">
                  <c:v>61 - 65</c:v>
                </c:pt>
                <c:pt idx="11">
                  <c:v>&gt; 65</c:v>
                </c:pt>
              </c:strCache>
            </c:strRef>
          </c:cat>
          <c:val>
            <c:numRef>
              <c:f>'Edad y sexo CTCM'!$C$15:$N$15</c:f>
              <c:numCache>
                <c:formatCode>General</c:formatCode>
                <c:ptCount val="12"/>
                <c:pt idx="0">
                  <c:v>0</c:v>
                </c:pt>
                <c:pt idx="1">
                  <c:v>227</c:v>
                </c:pt>
                <c:pt idx="2">
                  <c:v>471</c:v>
                </c:pt>
                <c:pt idx="3">
                  <c:v>502</c:v>
                </c:pt>
                <c:pt idx="4">
                  <c:v>526</c:v>
                </c:pt>
                <c:pt idx="5">
                  <c:v>644</c:v>
                </c:pt>
                <c:pt idx="6">
                  <c:v>874</c:v>
                </c:pt>
                <c:pt idx="7">
                  <c:v>1178</c:v>
                </c:pt>
                <c:pt idx="8">
                  <c:v>1050</c:v>
                </c:pt>
                <c:pt idx="9">
                  <c:v>855</c:v>
                </c:pt>
                <c:pt idx="10">
                  <c:v>352</c:v>
                </c:pt>
                <c:pt idx="11">
                  <c:v>21</c:v>
                </c:pt>
              </c:numCache>
            </c:numRef>
          </c:val>
          <c:extLst>
            <c:ext xmlns:c16="http://schemas.microsoft.com/office/drawing/2014/chart" uri="{C3380CC4-5D6E-409C-BE32-E72D297353CC}">
              <c16:uniqueId val="{00000001-F717-47A9-BDC2-24B21B902461}"/>
            </c:ext>
          </c:extLst>
        </c:ser>
        <c:dLbls>
          <c:showLegendKey val="0"/>
          <c:showVal val="0"/>
          <c:showCatName val="0"/>
          <c:showSerName val="0"/>
          <c:showPercent val="0"/>
          <c:showBubbleSize val="0"/>
        </c:dLbls>
        <c:gapWidth val="196"/>
        <c:axId val="908946088"/>
        <c:axId val="908941384"/>
      </c:barChart>
      <c:catAx>
        <c:axId val="908946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Calibri" panose="020F0502020204030204" pitchFamily="34" charset="0"/>
                <a:ea typeface="Microsoft JhengHei Light" panose="020B0304030504040204" pitchFamily="34" charset="-120"/>
                <a:cs typeface="Calibri" panose="020F0502020204030204" pitchFamily="34" charset="0"/>
              </a:defRPr>
            </a:pPr>
            <a:endParaRPr lang="es-ES"/>
          </a:p>
        </c:txPr>
        <c:crossAx val="908941384"/>
        <c:crosses val="autoZero"/>
        <c:auto val="1"/>
        <c:lblAlgn val="ctr"/>
        <c:lblOffset val="100"/>
        <c:noMultiLvlLbl val="0"/>
      </c:catAx>
      <c:valAx>
        <c:axId val="9089413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9089460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ontserrat" panose="00000500000000000000" pitchFamily="2" charset="0"/>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s-ES" sz="1000">
                <a:latin typeface="Calibri" panose="020F0502020204030204" pitchFamily="34" charset="0"/>
                <a:cs typeface="Calibri" panose="020F0502020204030204" pitchFamily="34" charset="0"/>
              </a:rPr>
              <a:t>Donación en hospitales 2019-2020</a:t>
            </a:r>
          </a:p>
        </c:rich>
      </c:tx>
      <c:overlay val="0"/>
      <c:spPr>
        <a:noFill/>
        <a:ln>
          <a:noFill/>
        </a:ln>
        <a:effectLst/>
      </c:spPr>
      <c:txPr>
        <a:bodyPr rot="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title>
    <c:autoTitleDeleted val="0"/>
    <c:plotArea>
      <c:layout/>
      <c:barChart>
        <c:barDir val="col"/>
        <c:grouping val="clustered"/>
        <c:varyColors val="0"/>
        <c:ser>
          <c:idx val="0"/>
          <c:order val="0"/>
          <c:tx>
            <c:strRef>
              <c:f>Hospitales!$A$2</c:f>
              <c:strCache>
                <c:ptCount val="1"/>
                <c:pt idx="0">
                  <c:v>Año 2019</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Hospitales!$B$1:$M$1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Hospitales!$B$2:$M$2</c:f>
              <c:numCache>
                <c:formatCode>#,##0</c:formatCode>
                <c:ptCount val="12"/>
                <c:pt idx="0">
                  <c:v>10352</c:v>
                </c:pt>
                <c:pt idx="1">
                  <c:v>9875</c:v>
                </c:pt>
                <c:pt idx="2">
                  <c:v>9896</c:v>
                </c:pt>
                <c:pt idx="3">
                  <c:v>9683</c:v>
                </c:pt>
                <c:pt idx="4">
                  <c:v>11472</c:v>
                </c:pt>
                <c:pt idx="5">
                  <c:v>9521</c:v>
                </c:pt>
                <c:pt idx="6">
                  <c:v>9274</c:v>
                </c:pt>
                <c:pt idx="7">
                  <c:v>9576</c:v>
                </c:pt>
                <c:pt idx="8">
                  <c:v>9425</c:v>
                </c:pt>
                <c:pt idx="9">
                  <c:v>10911</c:v>
                </c:pt>
                <c:pt idx="10">
                  <c:v>9794</c:v>
                </c:pt>
                <c:pt idx="11">
                  <c:v>9154</c:v>
                </c:pt>
              </c:numCache>
            </c:numRef>
          </c:val>
          <c:extLst>
            <c:ext xmlns:c16="http://schemas.microsoft.com/office/drawing/2014/chart" uri="{C3380CC4-5D6E-409C-BE32-E72D297353CC}">
              <c16:uniqueId val="{00000000-62D9-494C-9584-C123CDF043DB}"/>
            </c:ext>
          </c:extLst>
        </c:ser>
        <c:ser>
          <c:idx val="1"/>
          <c:order val="1"/>
          <c:tx>
            <c:strRef>
              <c:f>Hospitales!$A$3</c:f>
              <c:strCache>
                <c:ptCount val="1"/>
                <c:pt idx="0">
                  <c:v>Año 2020</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Hospitales!$B$1:$M$1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Hospitales!$B$3:$M$3</c:f>
              <c:numCache>
                <c:formatCode>#,##0</c:formatCode>
                <c:ptCount val="12"/>
                <c:pt idx="0">
                  <c:v>11783</c:v>
                </c:pt>
                <c:pt idx="1">
                  <c:v>10410</c:v>
                </c:pt>
                <c:pt idx="2">
                  <c:v>7517</c:v>
                </c:pt>
                <c:pt idx="3">
                  <c:v>4264</c:v>
                </c:pt>
                <c:pt idx="4">
                  <c:v>8441</c:v>
                </c:pt>
                <c:pt idx="5">
                  <c:v>9014</c:v>
                </c:pt>
                <c:pt idx="6">
                  <c:v>7604</c:v>
                </c:pt>
                <c:pt idx="7">
                  <c:v>7596</c:v>
                </c:pt>
                <c:pt idx="8">
                  <c:v>8105</c:v>
                </c:pt>
                <c:pt idx="9">
                  <c:v>10482</c:v>
                </c:pt>
                <c:pt idx="10">
                  <c:v>8318</c:v>
                </c:pt>
                <c:pt idx="11">
                  <c:v>7786</c:v>
                </c:pt>
              </c:numCache>
            </c:numRef>
          </c:val>
          <c:extLst>
            <c:ext xmlns:c16="http://schemas.microsoft.com/office/drawing/2014/chart" uri="{C3380CC4-5D6E-409C-BE32-E72D297353CC}">
              <c16:uniqueId val="{00000001-62D9-494C-9584-C123CDF043DB}"/>
            </c:ext>
          </c:extLst>
        </c:ser>
        <c:dLbls>
          <c:dLblPos val="outEnd"/>
          <c:showLegendKey val="0"/>
          <c:showVal val="1"/>
          <c:showCatName val="0"/>
          <c:showSerName val="0"/>
          <c:showPercent val="0"/>
          <c:showBubbleSize val="0"/>
        </c:dLbls>
        <c:gapWidth val="437"/>
        <c:overlap val="-76"/>
        <c:axId val="908946480"/>
        <c:axId val="908946872"/>
      </c:barChart>
      <c:catAx>
        <c:axId val="908946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ES"/>
          </a:p>
        </c:txPr>
        <c:crossAx val="908946872"/>
        <c:crosses val="autoZero"/>
        <c:auto val="1"/>
        <c:lblAlgn val="ctr"/>
        <c:lblOffset val="100"/>
        <c:noMultiLvlLbl val="0"/>
      </c:catAx>
      <c:valAx>
        <c:axId val="908946872"/>
        <c:scaling>
          <c:orientation val="minMax"/>
        </c:scaling>
        <c:delete val="1"/>
        <c:axPos val="l"/>
        <c:numFmt formatCode="#,##0" sourceLinked="1"/>
        <c:majorTickMark val="none"/>
        <c:minorTickMark val="none"/>
        <c:tickLblPos val="nextTo"/>
        <c:crossAx val="9089464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[Copia de Impactos 2020_ultimo.xlsx]impactos x meses!TablaDinámica2</c:name>
    <c:fmtId val="-1"/>
  </c:pivotSource>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Impactos por meses. Total 494.</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E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'impactos x meses'!$B$3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'impactos x meses'!$A$4:$A$16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'impactos x meses'!$B$4:$B$16</c:f>
              <c:numCache>
                <c:formatCode>General</c:formatCode>
                <c:ptCount val="12"/>
                <c:pt idx="0">
                  <c:v>41</c:v>
                </c:pt>
                <c:pt idx="1">
                  <c:v>31</c:v>
                </c:pt>
                <c:pt idx="2">
                  <c:v>91</c:v>
                </c:pt>
                <c:pt idx="3">
                  <c:v>19</c:v>
                </c:pt>
                <c:pt idx="4">
                  <c:v>59</c:v>
                </c:pt>
                <c:pt idx="5">
                  <c:v>24</c:v>
                </c:pt>
                <c:pt idx="6">
                  <c:v>39</c:v>
                </c:pt>
                <c:pt idx="7">
                  <c:v>39</c:v>
                </c:pt>
                <c:pt idx="8">
                  <c:v>20</c:v>
                </c:pt>
                <c:pt idx="9">
                  <c:v>39</c:v>
                </c:pt>
                <c:pt idx="10">
                  <c:v>41</c:v>
                </c:pt>
                <c:pt idx="11">
                  <c:v>51</c:v>
                </c:pt>
              </c:numCache>
            </c:numRef>
          </c:val>
          <c:extLst>
            <c:ext xmlns:c16="http://schemas.microsoft.com/office/drawing/2014/chart" uri="{C3380CC4-5D6E-409C-BE32-E72D297353CC}">
              <c16:uniqueId val="{00000000-5AB3-4404-95AC-50EE3289174C}"/>
            </c:ext>
          </c:extLst>
        </c:ser>
        <c:dLbls>
          <c:dLblPos val="outEnd"/>
          <c:showLegendKey val="0"/>
          <c:showVal val="1"/>
          <c:showCatName val="0"/>
          <c:showSerName val="0"/>
          <c:showPercent val="0"/>
          <c:showBubbleSize val="0"/>
        </c:dLbls>
        <c:gapWidth val="73"/>
        <c:overlap val="18"/>
        <c:axId val="908942952"/>
        <c:axId val="908937072"/>
      </c:barChart>
      <c:catAx>
        <c:axId val="908942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37072"/>
        <c:crosses val="autoZero"/>
        <c:auto val="1"/>
        <c:lblAlgn val="ctr"/>
        <c:lblOffset val="100"/>
        <c:noMultiLvlLbl val="0"/>
      </c:catAx>
      <c:valAx>
        <c:axId val="90893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42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[Copia de Impactos 2020_ultimo.xlsx]IMPACTOS XTIPO DE MEDIO!TablaDinámica1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Impactos por tipo de medio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ivotFmts>
      <c:pivotFmt>
        <c:idx val="0"/>
        <c:dLbl>
          <c:idx val="0"/>
          <c:dLblPos val="bestFit"/>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pivotFmt>
      <c:pivotFmt>
        <c:idx val="4"/>
      </c:pivotFmt>
      <c:pivotFmt>
        <c:idx val="5"/>
      </c:pivotFmt>
      <c:pivotFmt>
        <c:idx val="6"/>
      </c:pivotFmt>
      <c:pivotFmt>
        <c:idx val="7"/>
        <c:dLbl>
          <c:idx val="0"/>
          <c:dLblPos val="bestFit"/>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w="25400">
            <a:solidFill>
              <a:schemeClr val="lt1"/>
            </a:solidFill>
          </a:ln>
          <a:effectLst/>
          <a:sp3d contourW="25400">
            <a:contourClr>
              <a:schemeClr val="lt1"/>
            </a:contourClr>
          </a:sp3d>
        </c:spPr>
        <c:marker>
          <c:symbol val="circle"/>
          <c:size val="5"/>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5400">
            <a:solidFill>
              <a:schemeClr val="lt1"/>
            </a:solidFill>
          </a:ln>
          <a:effectLst/>
          <a:sp3d contourW="25400">
            <a:contourClr>
              <a:schemeClr val="lt1"/>
            </a:contourClr>
          </a:sp3d>
        </c:spPr>
      </c:pivotFmt>
      <c:pivotFmt>
        <c:idx val="11"/>
        <c:spPr>
          <a:solidFill>
            <a:schemeClr val="accent1"/>
          </a:solidFill>
          <a:ln w="25400">
            <a:solidFill>
              <a:schemeClr val="lt1"/>
            </a:solidFill>
          </a:ln>
          <a:effectLst/>
          <a:sp3d contourW="25400">
            <a:contourClr>
              <a:schemeClr val="lt1"/>
            </a:contourClr>
          </a:sp3d>
        </c:spPr>
      </c:pivotFmt>
      <c:pivotFmt>
        <c:idx val="12"/>
        <c:spPr>
          <a:solidFill>
            <a:schemeClr val="accent1"/>
          </a:solidFill>
          <a:ln w="25400">
            <a:solidFill>
              <a:schemeClr val="lt1"/>
            </a:solidFill>
          </a:ln>
          <a:effectLst/>
          <a:sp3d contourW="25400">
            <a:contourClr>
              <a:schemeClr val="lt1"/>
            </a:contourClr>
          </a:sp3d>
        </c:spPr>
      </c:pivotFmt>
      <c:pivotFmt>
        <c:idx val="13"/>
        <c:spPr>
          <a:solidFill>
            <a:schemeClr val="accent1"/>
          </a:solidFill>
          <a:ln w="25400">
            <a:solidFill>
              <a:schemeClr val="lt1"/>
            </a:solidFill>
          </a:ln>
          <a:effectLst/>
          <a:sp3d contourW="25400">
            <a:contourClr>
              <a:schemeClr val="lt1"/>
            </a:contourClr>
          </a:sp3d>
        </c:spPr>
      </c:pivotFmt>
      <c:pivotFmt>
        <c:idx val="14"/>
        <c:spPr>
          <a:solidFill>
            <a:schemeClr val="accent1"/>
          </a:solidFill>
          <a:ln w="25400">
            <a:solidFill>
              <a:schemeClr val="lt1"/>
            </a:solidFill>
          </a:ln>
          <a:effectLst/>
          <a:sp3d contourW="25400">
            <a:contourClr>
              <a:schemeClr val="lt1"/>
            </a:contourClr>
          </a:sp3d>
        </c:spPr>
      </c:pivotFmt>
      <c:pivotFmt>
        <c:idx val="15"/>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5400">
            <a:solidFill>
              <a:schemeClr val="lt1"/>
            </a:solidFill>
          </a:ln>
          <a:effectLst/>
          <a:sp3d contourW="25400">
            <a:contourClr>
              <a:schemeClr val="lt1"/>
            </a:contourClr>
          </a:sp3d>
        </c:spPr>
      </c:pivotFmt>
      <c:pivotFmt>
        <c:idx val="17"/>
        <c:spPr>
          <a:solidFill>
            <a:schemeClr val="accent1"/>
          </a:solidFill>
          <a:ln w="25400">
            <a:solidFill>
              <a:schemeClr val="lt1"/>
            </a:solidFill>
          </a:ln>
          <a:effectLst/>
          <a:sp3d contourW="25400">
            <a:contourClr>
              <a:schemeClr val="lt1"/>
            </a:contourClr>
          </a:sp3d>
        </c:spPr>
      </c:pivotFmt>
      <c:pivotFmt>
        <c:idx val="18"/>
        <c:spPr>
          <a:solidFill>
            <a:schemeClr val="accent1"/>
          </a:solidFill>
          <a:ln w="25400">
            <a:solidFill>
              <a:schemeClr val="lt1"/>
            </a:solidFill>
          </a:ln>
          <a:effectLst/>
          <a:sp3d contourW="25400">
            <a:contourClr>
              <a:schemeClr val="lt1"/>
            </a:contourClr>
          </a:sp3d>
        </c:spPr>
      </c:pivotFmt>
      <c:pivotFmt>
        <c:idx val="19"/>
        <c:spPr>
          <a:solidFill>
            <a:schemeClr val="accent1"/>
          </a:solidFill>
          <a:ln w="25400">
            <a:solidFill>
              <a:schemeClr val="lt1"/>
            </a:solidFill>
          </a:ln>
          <a:effectLst/>
          <a:sp3d contourW="25400">
            <a:contourClr>
              <a:schemeClr val="lt1"/>
            </a:contourClr>
          </a:sp3d>
        </c:spPr>
      </c:pivotFmt>
      <c:pivotFmt>
        <c:idx val="20"/>
        <c:spPr>
          <a:solidFill>
            <a:schemeClr val="accent1"/>
          </a:solidFill>
          <a:ln w="2540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'IMPACTOS XTIPO DE MEDIO'!$B$3</c:f>
              <c:strCache>
                <c:ptCount val="1"/>
                <c:pt idx="0">
                  <c:v>Total</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A65-4F08-A0DE-670788C114A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A65-4F08-A0DE-670788C114A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A65-4F08-A0DE-670788C114A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A65-4F08-A0DE-670788C114A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A65-4F08-A0DE-670788C114A7}"/>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'IMPACTOS XTIPO DE MEDIO'!$A$4:$A$9</c:f>
              <c:strCache>
                <c:ptCount val="5"/>
                <c:pt idx="0">
                  <c:v>DIGITAL</c:v>
                </c:pt>
                <c:pt idx="1">
                  <c:v>DIGITAL ESPECIALIZADO</c:v>
                </c:pt>
                <c:pt idx="2">
                  <c:v>PRENSA ESCRITA</c:v>
                </c:pt>
                <c:pt idx="3">
                  <c:v>RADIO</c:v>
                </c:pt>
                <c:pt idx="4">
                  <c:v>TELEVISIÓN</c:v>
                </c:pt>
              </c:strCache>
            </c:strRef>
          </c:cat>
          <c:val>
            <c:numRef>
              <c:f>'IMPACTOS XTIPO DE MEDIO'!$B$4:$B$9</c:f>
              <c:numCache>
                <c:formatCode>General</c:formatCode>
                <c:ptCount val="5"/>
                <c:pt idx="0">
                  <c:v>198</c:v>
                </c:pt>
                <c:pt idx="1">
                  <c:v>22</c:v>
                </c:pt>
                <c:pt idx="2">
                  <c:v>6</c:v>
                </c:pt>
                <c:pt idx="3">
                  <c:v>198</c:v>
                </c:pt>
                <c:pt idx="4">
                  <c:v>70</c:v>
                </c:pt>
              </c:numCache>
            </c:numRef>
          </c:val>
          <c:extLst>
            <c:ext xmlns:c16="http://schemas.microsoft.com/office/drawing/2014/chart" uri="{C3380CC4-5D6E-409C-BE32-E72D297353CC}">
              <c16:uniqueId val="{0000000A-2A65-4F08-A0DE-670788C114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1983995772770395"/>
          <c:y val="0.35048948438782201"/>
          <c:w val="0.34487329992841803"/>
          <c:h val="0.6027756581973644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[Copia de Impactos 2020_ultimo.xlsx]impactos por cobertura!TablaDinámica1</c:name>
    <c:fmtId val="-1"/>
  </c:pivotSource>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b="1">
                <a:latin typeface="Arial" panose="020B0604020202020204" pitchFamily="34" charset="0"/>
                <a:cs typeface="Arial" panose="020B0604020202020204" pitchFamily="34" charset="0"/>
              </a:rPr>
              <a:t>Impactos por cobertura</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title>
    <c:autoTitleDeleted val="0"/>
    <c:pivotFmts>
      <c:pivotFmt>
        <c:idx val="0"/>
        <c:spPr>
          <a:solidFill>
            <a:schemeClr val="accent2"/>
          </a:solidFill>
          <a:ln w="25400">
            <a:solidFill>
              <a:schemeClr val="lt1"/>
            </a:solidFill>
          </a:ln>
          <a:effectLst/>
          <a:sp3d contourW="25400">
            <a:contourClr>
              <a:schemeClr val="lt1"/>
            </a:contourClr>
          </a:sp3d>
        </c:spPr>
        <c:marker>
          <c:symbol val="none"/>
        </c:marker>
      </c:pivotFmt>
      <c:pivotFmt>
        <c:idx val="1"/>
        <c:spPr>
          <a:solidFill>
            <a:schemeClr val="accent2"/>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2"/>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2"/>
          </a:solidFill>
          <a:ln w="25400">
            <a:solidFill>
              <a:schemeClr val="lt1"/>
            </a:solidFill>
          </a:ln>
          <a:effectLst/>
          <a:sp3d contourW="25400">
            <a:contourClr>
              <a:schemeClr val="lt1"/>
            </a:contourClr>
          </a:sp3d>
        </c:spPr>
      </c:pivotFmt>
      <c:pivotFmt>
        <c:idx val="4"/>
        <c:spPr>
          <a:solidFill>
            <a:schemeClr val="accent2"/>
          </a:solidFill>
          <a:ln w="25400">
            <a:solidFill>
              <a:schemeClr val="lt1"/>
            </a:solidFill>
          </a:ln>
          <a:effectLst/>
          <a:sp3d contourW="25400">
            <a:contourClr>
              <a:schemeClr val="lt1"/>
            </a:contourClr>
          </a:sp3d>
        </c:spPr>
      </c:pivotFmt>
      <c:pivotFmt>
        <c:idx val="5"/>
        <c:spPr>
          <a:solidFill>
            <a:schemeClr val="accent2"/>
          </a:solidFill>
          <a:ln w="25400">
            <a:solidFill>
              <a:schemeClr val="lt1"/>
            </a:solidFill>
          </a:ln>
          <a:effectLst/>
          <a:sp3d contourW="25400">
            <a:contourClr>
              <a:schemeClr val="lt1"/>
            </a:contourClr>
          </a:sp3d>
        </c:spPr>
      </c:pivotFmt>
      <c:pivotFmt>
        <c:idx val="6"/>
        <c:spPr>
          <a:solidFill>
            <a:schemeClr val="accent2"/>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2"/>
          </a:solidFill>
          <a:ln w="25400">
            <a:solidFill>
              <a:schemeClr val="lt1"/>
            </a:solidFill>
          </a:ln>
          <a:effectLst/>
          <a:sp3d contourW="25400">
            <a:contourClr>
              <a:schemeClr val="lt1"/>
            </a:contourClr>
          </a:sp3d>
        </c:spPr>
      </c:pivotFmt>
      <c:pivotFmt>
        <c:idx val="8"/>
        <c:spPr>
          <a:solidFill>
            <a:schemeClr val="accent2"/>
          </a:solidFill>
          <a:ln w="25400">
            <a:solidFill>
              <a:schemeClr val="lt1"/>
            </a:solidFill>
          </a:ln>
          <a:effectLst/>
          <a:sp3d contourW="25400">
            <a:contourClr>
              <a:schemeClr val="lt1"/>
            </a:contourClr>
          </a:sp3d>
        </c:spPr>
      </c:pivotFmt>
      <c:pivotFmt>
        <c:idx val="9"/>
        <c:spPr>
          <a:solidFill>
            <a:schemeClr val="accent2"/>
          </a:solidFill>
          <a:ln w="2540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'impactos por cobertura'!$B$3</c:f>
              <c:strCache>
                <c:ptCount val="1"/>
                <c:pt idx="0">
                  <c:v>Total</c:v>
                </c:pt>
              </c:strCache>
            </c:strRef>
          </c:tx>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4008-444D-8FC8-03AC34D426ED}"/>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4008-444D-8FC8-03AC34D426ED}"/>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4008-444D-8FC8-03AC34D426E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'impactos por cobertura'!$A$4:$A$7</c:f>
              <c:strCache>
                <c:ptCount val="3"/>
                <c:pt idx="0">
                  <c:v>LOCAL</c:v>
                </c:pt>
                <c:pt idx="1">
                  <c:v>NACIONAL</c:v>
                </c:pt>
                <c:pt idx="2">
                  <c:v>REGIONAL</c:v>
                </c:pt>
              </c:strCache>
            </c:strRef>
          </c:cat>
          <c:val>
            <c:numRef>
              <c:f>'impactos por cobertura'!$B$4:$B$7</c:f>
              <c:numCache>
                <c:formatCode>General</c:formatCode>
                <c:ptCount val="3"/>
                <c:pt idx="0">
                  <c:v>47</c:v>
                </c:pt>
                <c:pt idx="1">
                  <c:v>123</c:v>
                </c:pt>
                <c:pt idx="2">
                  <c:v>324</c:v>
                </c:pt>
              </c:numCache>
            </c:numRef>
          </c:val>
          <c:extLst>
            <c:ext xmlns:c16="http://schemas.microsoft.com/office/drawing/2014/chart" uri="{C3380CC4-5D6E-409C-BE32-E72D297353CC}">
              <c16:uniqueId val="{00000006-4008-444D-8FC8-03AC34D426E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s-ES" sz="1100" b="1"/>
              <a:t>Páginas vistas por mes y año web Centro de Transfusión</a:t>
            </a:r>
          </a:p>
        </c:rich>
      </c:tx>
      <c:layout>
        <c:manualLayout>
          <c:xMode val="edge"/>
          <c:yMode val="edge"/>
          <c:x val="0.12514619883040937"/>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Hoja2!$E$5</c:f>
              <c:strCache>
                <c:ptCount val="1"/>
                <c:pt idx="0">
                  <c:v>VISITAS 2019</c:v>
                </c:pt>
              </c:strCache>
            </c:strRef>
          </c:tx>
          <c:spPr>
            <a:solidFill>
              <a:schemeClr val="accent2">
                <a:shade val="65000"/>
              </a:schemeClr>
            </a:solidFill>
            <a:ln>
              <a:noFill/>
            </a:ln>
            <a:effectLst/>
          </c:spPr>
          <c:invertIfNegative val="0"/>
          <c:cat>
            <c:strRef>
              <c:f>Hoja2!$D$6:$D$17</c:f>
              <c:strCache>
                <c:ptCount val="12"/>
                <c:pt idx="0">
                  <c:v>ENERO</c:v>
                </c:pt>
                <c:pt idx="1">
                  <c:v>FEBRERO</c:v>
                </c:pt>
                <c:pt idx="2">
                  <c:v>MARZO</c:v>
                </c:pt>
                <c:pt idx="3">
                  <c:v>ABRIL</c:v>
                </c:pt>
                <c:pt idx="4">
                  <c:v>MAYO</c:v>
                </c:pt>
                <c:pt idx="5">
                  <c:v>JUNIO</c:v>
                </c:pt>
                <c:pt idx="6">
                  <c:v>JULIO</c:v>
                </c:pt>
                <c:pt idx="7">
                  <c:v>AGOSTO</c:v>
                </c:pt>
                <c:pt idx="8">
                  <c:v>SEPT</c:v>
                </c:pt>
                <c:pt idx="9">
                  <c:v>OCT</c:v>
                </c:pt>
                <c:pt idx="10">
                  <c:v>NOV</c:v>
                </c:pt>
                <c:pt idx="11">
                  <c:v>DIC</c:v>
                </c:pt>
              </c:strCache>
            </c:strRef>
          </c:cat>
          <c:val>
            <c:numRef>
              <c:f>Hoja2!$E$6:$E$17</c:f>
              <c:numCache>
                <c:formatCode>#,##0</c:formatCode>
                <c:ptCount val="12"/>
                <c:pt idx="0">
                  <c:v>2661</c:v>
                </c:pt>
                <c:pt idx="1">
                  <c:v>2073</c:v>
                </c:pt>
                <c:pt idx="2">
                  <c:v>2172</c:v>
                </c:pt>
                <c:pt idx="3">
                  <c:v>1689</c:v>
                </c:pt>
                <c:pt idx="4">
                  <c:v>2233</c:v>
                </c:pt>
                <c:pt idx="5">
                  <c:v>1506</c:v>
                </c:pt>
                <c:pt idx="6">
                  <c:v>1537</c:v>
                </c:pt>
                <c:pt idx="7">
                  <c:v>2157</c:v>
                </c:pt>
                <c:pt idx="8">
                  <c:v>2129</c:v>
                </c:pt>
                <c:pt idx="9">
                  <c:v>2355</c:v>
                </c:pt>
                <c:pt idx="10">
                  <c:v>1610</c:v>
                </c:pt>
                <c:pt idx="11">
                  <c:v>1387</c:v>
                </c:pt>
              </c:numCache>
            </c:numRef>
          </c:val>
          <c:extLst>
            <c:ext xmlns:c16="http://schemas.microsoft.com/office/drawing/2014/chart" uri="{C3380CC4-5D6E-409C-BE32-E72D297353CC}">
              <c16:uniqueId val="{00000000-7C64-45C9-B5FD-AD78D2B3F85A}"/>
            </c:ext>
          </c:extLst>
        </c:ser>
        <c:ser>
          <c:idx val="1"/>
          <c:order val="1"/>
          <c:tx>
            <c:strRef>
              <c:f>Hoja2!$F$5</c:f>
              <c:strCache>
                <c:ptCount val="1"/>
                <c:pt idx="0">
                  <c:v>VISITAS 2020</c:v>
                </c:pt>
              </c:strCache>
            </c:strRef>
          </c:tx>
          <c:spPr>
            <a:solidFill>
              <a:schemeClr val="accent2"/>
            </a:solidFill>
            <a:ln>
              <a:noFill/>
            </a:ln>
            <a:effectLst/>
          </c:spPr>
          <c:invertIfNegative val="0"/>
          <c:cat>
            <c:strRef>
              <c:f>Hoja2!$D$6:$D$17</c:f>
              <c:strCache>
                <c:ptCount val="12"/>
                <c:pt idx="0">
                  <c:v>ENERO</c:v>
                </c:pt>
                <c:pt idx="1">
                  <c:v>FEBRERO</c:v>
                </c:pt>
                <c:pt idx="2">
                  <c:v>MARZO</c:v>
                </c:pt>
                <c:pt idx="3">
                  <c:v>ABRIL</c:v>
                </c:pt>
                <c:pt idx="4">
                  <c:v>MAYO</c:v>
                </c:pt>
                <c:pt idx="5">
                  <c:v>JUNIO</c:v>
                </c:pt>
                <c:pt idx="6">
                  <c:v>JULIO</c:v>
                </c:pt>
                <c:pt idx="7">
                  <c:v>AGOSTO</c:v>
                </c:pt>
                <c:pt idx="8">
                  <c:v>SEPT</c:v>
                </c:pt>
                <c:pt idx="9">
                  <c:v>OCT</c:v>
                </c:pt>
                <c:pt idx="10">
                  <c:v>NOV</c:v>
                </c:pt>
                <c:pt idx="11">
                  <c:v>DIC</c:v>
                </c:pt>
              </c:strCache>
            </c:strRef>
          </c:cat>
          <c:val>
            <c:numRef>
              <c:f>Hoja2!$F$6:$F$17</c:f>
              <c:numCache>
                <c:formatCode>General</c:formatCode>
                <c:ptCount val="12"/>
                <c:pt idx="0">
                  <c:v>1668</c:v>
                </c:pt>
                <c:pt idx="1">
                  <c:v>1555</c:v>
                </c:pt>
                <c:pt idx="2">
                  <c:v>6651</c:v>
                </c:pt>
                <c:pt idx="3">
                  <c:v>5337</c:v>
                </c:pt>
                <c:pt idx="4">
                  <c:v>8171</c:v>
                </c:pt>
                <c:pt idx="5">
                  <c:v>3081</c:v>
                </c:pt>
                <c:pt idx="6">
                  <c:v>2141</c:v>
                </c:pt>
                <c:pt idx="7">
                  <c:v>2247</c:v>
                </c:pt>
                <c:pt idx="8">
                  <c:v>2013</c:v>
                </c:pt>
                <c:pt idx="9">
                  <c:v>3856</c:v>
                </c:pt>
                <c:pt idx="10">
                  <c:v>5019</c:v>
                </c:pt>
                <c:pt idx="11">
                  <c:v>2351</c:v>
                </c:pt>
              </c:numCache>
            </c:numRef>
          </c:val>
          <c:extLst>
            <c:ext xmlns:c16="http://schemas.microsoft.com/office/drawing/2014/chart" uri="{C3380CC4-5D6E-409C-BE32-E72D297353CC}">
              <c16:uniqueId val="{00000001-7C64-45C9-B5FD-AD78D2B3F85A}"/>
            </c:ext>
          </c:extLst>
        </c:ser>
        <c:ser>
          <c:idx val="2"/>
          <c:order val="2"/>
          <c:tx>
            <c:strRef>
              <c:f>Hoja2!$G$5</c:f>
              <c:strCache>
                <c:ptCount val="1"/>
                <c:pt idx="0">
                  <c:v>VISITAS 2020</c:v>
                </c:pt>
              </c:strCache>
            </c:strRef>
          </c:tx>
          <c:spPr>
            <a:solidFill>
              <a:schemeClr val="accent2">
                <a:tint val="65000"/>
              </a:schemeClr>
            </a:solidFill>
            <a:ln>
              <a:noFill/>
            </a:ln>
            <a:effectLst/>
          </c:spPr>
          <c:invertIfNegative val="0"/>
          <c:cat>
            <c:strRef>
              <c:f>Hoja2!$D$6:$D$17</c:f>
              <c:strCache>
                <c:ptCount val="12"/>
                <c:pt idx="0">
                  <c:v>ENERO</c:v>
                </c:pt>
                <c:pt idx="1">
                  <c:v>FEBRERO</c:v>
                </c:pt>
                <c:pt idx="2">
                  <c:v>MARZO</c:v>
                </c:pt>
                <c:pt idx="3">
                  <c:v>ABRIL</c:v>
                </c:pt>
                <c:pt idx="4">
                  <c:v>MAYO</c:v>
                </c:pt>
                <c:pt idx="5">
                  <c:v>JUNIO</c:v>
                </c:pt>
                <c:pt idx="6">
                  <c:v>JULIO</c:v>
                </c:pt>
                <c:pt idx="7">
                  <c:v>AGOSTO</c:v>
                </c:pt>
                <c:pt idx="8">
                  <c:v>SEPT</c:v>
                </c:pt>
                <c:pt idx="9">
                  <c:v>OCT</c:v>
                </c:pt>
                <c:pt idx="10">
                  <c:v>NOV</c:v>
                </c:pt>
                <c:pt idx="11">
                  <c:v>DIC</c:v>
                </c:pt>
              </c:strCache>
            </c:strRef>
          </c:cat>
          <c:val>
            <c:numRef>
              <c:f>Hoja2!$G$6:$G$17</c:f>
              <c:numCache>
                <c:formatCode>#,##0</c:formatCode>
                <c:ptCount val="12"/>
                <c:pt idx="0">
                  <c:v>4654</c:v>
                </c:pt>
                <c:pt idx="1">
                  <c:v>4273</c:v>
                </c:pt>
                <c:pt idx="2">
                  <c:v>15137</c:v>
                </c:pt>
                <c:pt idx="3">
                  <c:v>10404</c:v>
                </c:pt>
                <c:pt idx="4">
                  <c:v>15691</c:v>
                </c:pt>
                <c:pt idx="5">
                  <c:v>7455</c:v>
                </c:pt>
                <c:pt idx="6">
                  <c:v>4827</c:v>
                </c:pt>
                <c:pt idx="7">
                  <c:v>4728</c:v>
                </c:pt>
                <c:pt idx="8">
                  <c:v>4409</c:v>
                </c:pt>
                <c:pt idx="9">
                  <c:v>9509</c:v>
                </c:pt>
                <c:pt idx="10" formatCode="General">
                  <c:v>9613</c:v>
                </c:pt>
                <c:pt idx="11">
                  <c:v>4565</c:v>
                </c:pt>
              </c:numCache>
            </c:numRef>
          </c:val>
          <c:extLst>
            <c:ext xmlns:c16="http://schemas.microsoft.com/office/drawing/2014/chart" uri="{C3380CC4-5D6E-409C-BE32-E72D297353CC}">
              <c16:uniqueId val="{00000002-7C64-45C9-B5FD-AD78D2B3F85A}"/>
            </c:ext>
          </c:extLst>
        </c:ser>
        <c:dLbls>
          <c:showLegendKey val="0"/>
          <c:showVal val="0"/>
          <c:showCatName val="0"/>
          <c:showSerName val="0"/>
          <c:showPercent val="0"/>
          <c:showBubbleSize val="0"/>
        </c:dLbls>
        <c:gapWidth val="219"/>
        <c:overlap val="-27"/>
        <c:axId val="908944520"/>
        <c:axId val="908940992"/>
      </c:barChart>
      <c:catAx>
        <c:axId val="908944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40992"/>
        <c:crosses val="autoZero"/>
        <c:auto val="1"/>
        <c:lblAlgn val="ctr"/>
        <c:lblOffset val="100"/>
        <c:noMultiLvlLbl val="0"/>
      </c:catAx>
      <c:valAx>
        <c:axId val="908940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crossAx val="9089445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[Estadistica_2019_2020.xlsx]Pgs vistas x mes y año sangre!Tabla dinámica2</c:name>
    <c:fmtId val="-1"/>
  </c:pivotSource>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ES" sz="1200" b="1"/>
              <a:t>WEB DONACIÓN DE SANGRE</a:t>
            </a:r>
          </a:p>
          <a:p>
            <a:pPr>
              <a:defRPr sz="1200" b="1"/>
            </a:pPr>
            <a:r>
              <a:rPr lang="es-ES" sz="1200" b="1"/>
              <a:t>PÁGINAS VISTAS POR MES Y AÑO</a:t>
            </a:r>
          </a:p>
        </c:rich>
      </c:tx>
      <c:layout>
        <c:manualLayout>
          <c:xMode val="edge"/>
          <c:yMode val="edge"/>
          <c:x val="6.4468236973590276E-2"/>
          <c:y val="6.250505572049396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s-ES"/>
        </a:p>
      </c:txPr>
    </c:title>
    <c:autoTitleDeleted val="0"/>
    <c:pivotFmts>
      <c:pivotFmt>
        <c:idx val="0"/>
        <c:spPr>
          <a:solidFill>
            <a:srgbClr val="FF9999"/>
          </a:solidFill>
          <a:ln>
            <a:solidFill>
              <a:srgbClr val="FF9999"/>
            </a:solidFill>
          </a:ln>
          <a:effectLst/>
        </c:spPr>
        <c:marker>
          <c:symbol val="none"/>
        </c:marker>
      </c:pivotFmt>
      <c:pivotFmt>
        <c:idx val="1"/>
        <c:spPr>
          <a:solidFill>
            <a:srgbClr val="FF0000"/>
          </a:solidFill>
          <a:ln>
            <a:solidFill>
              <a:srgbClr val="FF0000"/>
            </a:solidFill>
          </a:ln>
          <a:effectLst/>
        </c:spPr>
        <c:marker>
          <c:symbol val="none"/>
        </c:marker>
      </c:pivotFmt>
      <c:pivotFmt>
        <c:idx val="2"/>
        <c:spPr>
          <a:solidFill>
            <a:srgbClr val="C00000"/>
          </a:solidFill>
          <a:ln>
            <a:solidFill>
              <a:srgbClr val="C00000"/>
            </a:solidFill>
          </a:ln>
          <a:effectLst/>
        </c:spPr>
        <c:marker>
          <c:symbol val="none"/>
        </c:marker>
      </c:pivotFmt>
      <c:pivotFmt>
        <c:idx val="3"/>
        <c:spPr>
          <a:solidFill>
            <a:srgbClr val="FF9999"/>
          </a:solidFill>
          <a:ln>
            <a:solidFill>
              <a:srgbClr val="FF9999"/>
            </a:solidFill>
          </a:ln>
          <a:effectLst/>
        </c:spPr>
        <c:marker>
          <c:symbol val="none"/>
        </c:marker>
      </c:pivotFmt>
      <c:pivotFmt>
        <c:idx val="4"/>
        <c:spPr>
          <a:solidFill>
            <a:srgbClr val="FF0000"/>
          </a:solidFill>
          <a:ln>
            <a:solidFill>
              <a:srgbClr val="FF0000"/>
            </a:solidFill>
          </a:ln>
          <a:effectLst/>
        </c:spPr>
        <c:marker>
          <c:symbol val="none"/>
        </c:marker>
      </c:pivotFmt>
      <c:pivotFmt>
        <c:idx val="5"/>
        <c:spPr>
          <a:solidFill>
            <a:srgbClr val="C00000"/>
          </a:solidFill>
          <a:ln>
            <a:solidFill>
              <a:srgbClr val="C00000"/>
            </a:solidFill>
          </a:ln>
          <a:effectLst/>
        </c:spPr>
        <c:marker>
          <c:symbol val="none"/>
        </c:marker>
      </c:pivotFmt>
      <c:pivotFmt>
        <c:idx val="6"/>
        <c:spPr>
          <a:solidFill>
            <a:srgbClr val="FF9999"/>
          </a:solidFill>
          <a:ln>
            <a:solidFill>
              <a:srgbClr val="FF9999"/>
            </a:solidFill>
          </a:ln>
          <a:effectLst/>
        </c:spPr>
        <c:marker>
          <c:symbol val="none"/>
        </c:marker>
      </c:pivotFmt>
      <c:pivotFmt>
        <c:idx val="7"/>
        <c:spPr>
          <a:solidFill>
            <a:srgbClr val="FF0000"/>
          </a:solidFill>
          <a:ln>
            <a:solidFill>
              <a:srgbClr val="FF0000"/>
            </a:solidFill>
          </a:ln>
          <a:effectLst/>
        </c:spPr>
        <c:marker>
          <c:symbol val="none"/>
        </c:marker>
      </c:pivotFmt>
      <c:pivotFmt>
        <c:idx val="8"/>
        <c:spPr>
          <a:solidFill>
            <a:srgbClr val="C00000"/>
          </a:solidFill>
          <a:ln>
            <a:solidFill>
              <a:srgbClr val="C00000"/>
            </a:solidFill>
          </a:ln>
          <a:effectLst/>
        </c:spPr>
        <c:marker>
          <c:symbol val="none"/>
        </c:marker>
      </c:pivotFmt>
    </c:pivotFmts>
    <c:plotArea>
      <c:layout/>
      <c:barChart>
        <c:barDir val="col"/>
        <c:grouping val="clustered"/>
        <c:varyColors val="0"/>
        <c:ser>
          <c:idx val="0"/>
          <c:order val="0"/>
          <c:tx>
            <c:strRef>
              <c:f>'Pgs vistas x mes y año sangre'!$B$3:$B$4</c:f>
              <c:strCache>
                <c:ptCount val="1"/>
                <c:pt idx="0">
                  <c:v>2018</c:v>
                </c:pt>
              </c:strCache>
            </c:strRef>
          </c:tx>
          <c:spPr>
            <a:solidFill>
              <a:srgbClr val="FF9999"/>
            </a:solidFill>
            <a:ln>
              <a:solidFill>
                <a:srgbClr val="FF9999"/>
              </a:solidFill>
            </a:ln>
            <a:effectLst/>
          </c:spPr>
          <c:invertIfNegative val="0"/>
          <c:cat>
            <c:strRef>
              <c:f>'Pgs vistas x mes y año sangre'!$A$5:$A$17</c:f>
              <c:strCache>
                <c:ptCount val="12"/>
                <c:pt idx="0">
                  <c:v>ENERO</c:v>
                </c:pt>
                <c:pt idx="1">
                  <c:v>FEBRERO</c:v>
                </c:pt>
                <c:pt idx="2">
                  <c:v>MARZO</c:v>
                </c:pt>
                <c:pt idx="3">
                  <c:v>ABRIL</c:v>
                </c:pt>
                <c:pt idx="4">
                  <c:v>MAYO</c:v>
                </c:pt>
                <c:pt idx="5">
                  <c:v>JUNIO</c:v>
                </c:pt>
                <c:pt idx="6">
                  <c:v>JULIO</c:v>
                </c:pt>
                <c:pt idx="7">
                  <c:v>AGOSTO</c:v>
                </c:pt>
                <c:pt idx="8">
                  <c:v>OCTUBRE</c:v>
                </c:pt>
                <c:pt idx="9">
                  <c:v>SEPT</c:v>
                </c:pt>
                <c:pt idx="10">
                  <c:v>NOV</c:v>
                </c:pt>
                <c:pt idx="11">
                  <c:v>DIC</c:v>
                </c:pt>
              </c:strCache>
            </c:strRef>
          </c:cat>
          <c:val>
            <c:numRef>
              <c:f>'Pgs vistas x mes y año sangre'!$B$5:$B$17</c:f>
              <c:numCache>
                <c:formatCode>General</c:formatCode>
                <c:ptCount val="12"/>
                <c:pt idx="0">
                  <c:v>16213</c:v>
                </c:pt>
                <c:pt idx="1">
                  <c:v>5738</c:v>
                </c:pt>
                <c:pt idx="2">
                  <c:v>5203</c:v>
                </c:pt>
                <c:pt idx="3">
                  <c:v>5407</c:v>
                </c:pt>
                <c:pt idx="4">
                  <c:v>5849</c:v>
                </c:pt>
                <c:pt idx="5">
                  <c:v>2972</c:v>
                </c:pt>
                <c:pt idx="6">
                  <c:v>3128</c:v>
                </c:pt>
                <c:pt idx="7">
                  <c:v>5239</c:v>
                </c:pt>
                <c:pt idx="8">
                  <c:v>4181</c:v>
                </c:pt>
                <c:pt idx="9">
                  <c:v>7567</c:v>
                </c:pt>
                <c:pt idx="10">
                  <c:v>4981</c:v>
                </c:pt>
                <c:pt idx="11">
                  <c:v>8766</c:v>
                </c:pt>
              </c:numCache>
            </c:numRef>
          </c:val>
          <c:extLst>
            <c:ext xmlns:c16="http://schemas.microsoft.com/office/drawing/2014/chart" uri="{C3380CC4-5D6E-409C-BE32-E72D297353CC}">
              <c16:uniqueId val="{00000000-5101-40B4-B870-6507E584E61A}"/>
            </c:ext>
          </c:extLst>
        </c:ser>
        <c:ser>
          <c:idx val="1"/>
          <c:order val="1"/>
          <c:tx>
            <c:strRef>
              <c:f>'Pgs vistas x mes y año sangre'!$C$3:$C$4</c:f>
              <c:strCache>
                <c:ptCount val="1"/>
                <c:pt idx="0">
                  <c:v>2019</c:v>
                </c:pt>
              </c:strCache>
            </c:strRef>
          </c:tx>
          <c:spPr>
            <a:solidFill>
              <a:srgbClr val="FF0000"/>
            </a:solidFill>
            <a:ln>
              <a:solidFill>
                <a:srgbClr val="FF0000"/>
              </a:solidFill>
            </a:ln>
            <a:effectLst/>
          </c:spPr>
          <c:invertIfNegative val="0"/>
          <c:cat>
            <c:strRef>
              <c:f>'Pgs vistas x mes y año sangre'!$A$5:$A$17</c:f>
              <c:strCache>
                <c:ptCount val="12"/>
                <c:pt idx="0">
                  <c:v>ENERO</c:v>
                </c:pt>
                <c:pt idx="1">
                  <c:v>FEBRERO</c:v>
                </c:pt>
                <c:pt idx="2">
                  <c:v>MARZO</c:v>
                </c:pt>
                <c:pt idx="3">
                  <c:v>ABRIL</c:v>
                </c:pt>
                <c:pt idx="4">
                  <c:v>MAYO</c:v>
                </c:pt>
                <c:pt idx="5">
                  <c:v>JUNIO</c:v>
                </c:pt>
                <c:pt idx="6">
                  <c:v>JULIO</c:v>
                </c:pt>
                <c:pt idx="7">
                  <c:v>AGOSTO</c:v>
                </c:pt>
                <c:pt idx="8">
                  <c:v>OCTUBRE</c:v>
                </c:pt>
                <c:pt idx="9">
                  <c:v>SEPT</c:v>
                </c:pt>
                <c:pt idx="10">
                  <c:v>NOV</c:v>
                </c:pt>
                <c:pt idx="11">
                  <c:v>DIC</c:v>
                </c:pt>
              </c:strCache>
            </c:strRef>
          </c:cat>
          <c:val>
            <c:numRef>
              <c:f>'Pgs vistas x mes y año sangre'!$C$5:$C$17</c:f>
              <c:numCache>
                <c:formatCode>General</c:formatCode>
                <c:ptCount val="12"/>
                <c:pt idx="0">
                  <c:v>9706</c:v>
                </c:pt>
                <c:pt idx="1">
                  <c:v>12277</c:v>
                </c:pt>
                <c:pt idx="2">
                  <c:v>5708</c:v>
                </c:pt>
                <c:pt idx="3">
                  <c:v>7055</c:v>
                </c:pt>
                <c:pt idx="4">
                  <c:v>10342</c:v>
                </c:pt>
                <c:pt idx="5">
                  <c:v>6389</c:v>
                </c:pt>
                <c:pt idx="6">
                  <c:v>7790</c:v>
                </c:pt>
                <c:pt idx="7">
                  <c:v>10961</c:v>
                </c:pt>
                <c:pt idx="8">
                  <c:v>8566</c:v>
                </c:pt>
                <c:pt idx="9">
                  <c:v>8129</c:v>
                </c:pt>
                <c:pt idx="10">
                  <c:v>6825</c:v>
                </c:pt>
                <c:pt idx="11">
                  <c:v>7690</c:v>
                </c:pt>
              </c:numCache>
            </c:numRef>
          </c:val>
          <c:extLst>
            <c:ext xmlns:c16="http://schemas.microsoft.com/office/drawing/2014/chart" uri="{C3380CC4-5D6E-409C-BE32-E72D297353CC}">
              <c16:uniqueId val="{00000001-5101-40B4-B870-6507E584E61A}"/>
            </c:ext>
          </c:extLst>
        </c:ser>
        <c:ser>
          <c:idx val="2"/>
          <c:order val="2"/>
          <c:tx>
            <c:strRef>
              <c:f>'Pgs vistas x mes y año sangre'!$D$3:$D$4</c:f>
              <c:strCache>
                <c:ptCount val="1"/>
                <c:pt idx="0">
                  <c:v>2020</c:v>
                </c:pt>
              </c:strCache>
            </c:strRef>
          </c:tx>
          <c:spPr>
            <a:solidFill>
              <a:srgbClr val="C00000"/>
            </a:solidFill>
            <a:ln>
              <a:solidFill>
                <a:srgbClr val="C00000"/>
              </a:solidFill>
            </a:ln>
            <a:effectLst/>
          </c:spPr>
          <c:invertIfNegative val="0"/>
          <c:cat>
            <c:strRef>
              <c:f>'Pgs vistas x mes y año sangre'!$A$5:$A$17</c:f>
              <c:strCache>
                <c:ptCount val="12"/>
                <c:pt idx="0">
                  <c:v>ENERO</c:v>
                </c:pt>
                <c:pt idx="1">
                  <c:v>FEBRERO</c:v>
                </c:pt>
                <c:pt idx="2">
                  <c:v>MARZO</c:v>
                </c:pt>
                <c:pt idx="3">
                  <c:v>ABRIL</c:v>
                </c:pt>
                <c:pt idx="4">
                  <c:v>MAYO</c:v>
                </c:pt>
                <c:pt idx="5">
                  <c:v>JUNIO</c:v>
                </c:pt>
                <c:pt idx="6">
                  <c:v>JULIO</c:v>
                </c:pt>
                <c:pt idx="7">
                  <c:v>AGOSTO</c:v>
                </c:pt>
                <c:pt idx="8">
                  <c:v>OCTUBRE</c:v>
                </c:pt>
                <c:pt idx="9">
                  <c:v>SEPT</c:v>
                </c:pt>
                <c:pt idx="10">
                  <c:v>NOV</c:v>
                </c:pt>
                <c:pt idx="11">
                  <c:v>DIC</c:v>
                </c:pt>
              </c:strCache>
            </c:strRef>
          </c:cat>
          <c:val>
            <c:numRef>
              <c:f>'Pgs vistas x mes y año sangre'!$D$5:$D$17</c:f>
              <c:numCache>
                <c:formatCode>General</c:formatCode>
                <c:ptCount val="12"/>
                <c:pt idx="0">
                  <c:v>11354</c:v>
                </c:pt>
                <c:pt idx="1">
                  <c:v>12277</c:v>
                </c:pt>
                <c:pt idx="2">
                  <c:v>51517</c:v>
                </c:pt>
                <c:pt idx="3">
                  <c:v>28264</c:v>
                </c:pt>
                <c:pt idx="4">
                  <c:v>43865</c:v>
                </c:pt>
                <c:pt idx="5">
                  <c:v>16564</c:v>
                </c:pt>
                <c:pt idx="6">
                  <c:v>15747</c:v>
                </c:pt>
                <c:pt idx="7">
                  <c:v>19172</c:v>
                </c:pt>
                <c:pt idx="8">
                  <c:v>29093</c:v>
                </c:pt>
                <c:pt idx="9">
                  <c:v>16617</c:v>
                </c:pt>
                <c:pt idx="10">
                  <c:v>20652</c:v>
                </c:pt>
                <c:pt idx="11">
                  <c:v>12606</c:v>
                </c:pt>
              </c:numCache>
            </c:numRef>
          </c:val>
          <c:extLst>
            <c:ext xmlns:c16="http://schemas.microsoft.com/office/drawing/2014/chart" uri="{C3380CC4-5D6E-409C-BE32-E72D297353CC}">
              <c16:uniqueId val="{00000002-5101-40B4-B870-6507E584E61A}"/>
            </c:ext>
          </c:extLst>
        </c:ser>
        <c:dLbls>
          <c:showLegendKey val="0"/>
          <c:showVal val="0"/>
          <c:showCatName val="0"/>
          <c:showSerName val="0"/>
          <c:showPercent val="0"/>
          <c:showBubbleSize val="0"/>
        </c:dLbls>
        <c:gapWidth val="27"/>
        <c:overlap val="-27"/>
        <c:axId val="908929624"/>
        <c:axId val="908922960"/>
      </c:barChart>
      <c:catAx>
        <c:axId val="908929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908922960"/>
        <c:crosses val="autoZero"/>
        <c:auto val="1"/>
        <c:lblAlgn val="ctr"/>
        <c:lblOffset val="100"/>
        <c:noMultiLvlLbl val="0"/>
      </c:catAx>
      <c:valAx>
        <c:axId val="908922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9089296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dTable>
      <c:spPr>
        <a:noFill/>
        <a:ln>
          <a:noFill/>
        </a:ln>
        <a:effectLst/>
      </c:spPr>
    </c:plotArea>
    <c:legend>
      <c:legendPos val="t"/>
      <c:layout>
        <c:manualLayout>
          <c:xMode val="edge"/>
          <c:yMode val="edge"/>
          <c:x val="0.63054646006508297"/>
          <c:y val="0.1"/>
          <c:w val="0.32134796854889924"/>
          <c:h val="9.881373434878017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r>
              <a:rPr lang="es-ES"/>
              <a:t>Donaciones totales 2019-2020</a:t>
            </a:r>
          </a:p>
          <a:p>
            <a:pPr>
              <a:defRPr/>
            </a:pPr>
            <a:endParaRPr lang="es-ES"/>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endParaRPr lang="es-ES"/>
        </a:p>
      </c:txPr>
    </c:title>
    <c:autoTitleDeleted val="0"/>
    <c:plotArea>
      <c:layout/>
      <c:barChart>
        <c:barDir val="col"/>
        <c:grouping val="clustered"/>
        <c:varyColors val="0"/>
        <c:ser>
          <c:idx val="0"/>
          <c:order val="0"/>
          <c:tx>
            <c:strRef>
              <c:f>Hoja3!$A$2</c:f>
              <c:strCache>
                <c:ptCount val="1"/>
                <c:pt idx="0">
                  <c:v>2019</c:v>
                </c:pt>
              </c:strCache>
            </c:strRef>
          </c:tx>
          <c:spPr>
            <a:solidFill>
              <a:schemeClr val="accent1">
                <a:lumMod val="60000"/>
                <a:lumOff val="40000"/>
              </a:schemeClr>
            </a:solidFill>
            <a:ln>
              <a:noFill/>
            </a:ln>
            <a:effectLst/>
          </c:spPr>
          <c:invertIfNegative val="0"/>
          <c:cat>
            <c:strRef>
              <c:f>Hoja3!$B$1:$M$1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Hoja3!$B$2:$M$2</c:f>
              <c:numCache>
                <c:formatCode>General</c:formatCode>
                <c:ptCount val="12"/>
                <c:pt idx="0">
                  <c:v>20417</c:v>
                </c:pt>
                <c:pt idx="1">
                  <c:v>20905</c:v>
                </c:pt>
                <c:pt idx="2">
                  <c:v>21606</c:v>
                </c:pt>
                <c:pt idx="3">
                  <c:v>19374</c:v>
                </c:pt>
                <c:pt idx="4">
                  <c:v>21900</c:v>
                </c:pt>
                <c:pt idx="5">
                  <c:v>20473</c:v>
                </c:pt>
                <c:pt idx="6">
                  <c:v>17276</c:v>
                </c:pt>
                <c:pt idx="7">
                  <c:v>16882</c:v>
                </c:pt>
                <c:pt idx="8">
                  <c:v>19947</c:v>
                </c:pt>
                <c:pt idx="9">
                  <c:v>23049</c:v>
                </c:pt>
                <c:pt idx="10">
                  <c:v>20325</c:v>
                </c:pt>
                <c:pt idx="11">
                  <c:v>17594</c:v>
                </c:pt>
              </c:numCache>
            </c:numRef>
          </c:val>
          <c:extLst>
            <c:ext xmlns:c16="http://schemas.microsoft.com/office/drawing/2014/chart" uri="{C3380CC4-5D6E-409C-BE32-E72D297353CC}">
              <c16:uniqueId val="{00000000-E876-48DF-AF60-8C9761DFD1B3}"/>
            </c:ext>
          </c:extLst>
        </c:ser>
        <c:ser>
          <c:idx val="1"/>
          <c:order val="1"/>
          <c:tx>
            <c:strRef>
              <c:f>Hoja3!$A$3</c:f>
              <c:strCache>
                <c:ptCount val="1"/>
                <c:pt idx="0">
                  <c:v>2020</c:v>
                </c:pt>
              </c:strCache>
            </c:strRef>
          </c:tx>
          <c:spPr>
            <a:solidFill>
              <a:schemeClr val="tx2">
                <a:lumMod val="60000"/>
                <a:lumOff val="40000"/>
              </a:schemeClr>
            </a:solidFill>
            <a:ln>
              <a:noFill/>
            </a:ln>
            <a:effectLst/>
          </c:spPr>
          <c:invertIfNegative val="0"/>
          <c:cat>
            <c:strRef>
              <c:f>Hoja3!$B$1:$M$1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Hoja3!$B$3:$M$3</c:f>
              <c:numCache>
                <c:formatCode>General</c:formatCode>
                <c:ptCount val="12"/>
                <c:pt idx="0">
                  <c:v>21940</c:v>
                </c:pt>
                <c:pt idx="1">
                  <c:v>21060</c:v>
                </c:pt>
                <c:pt idx="2">
                  <c:v>18500</c:v>
                </c:pt>
                <c:pt idx="3">
                  <c:v>15417</c:v>
                </c:pt>
                <c:pt idx="4">
                  <c:v>21083</c:v>
                </c:pt>
                <c:pt idx="5">
                  <c:v>20229</c:v>
                </c:pt>
                <c:pt idx="6">
                  <c:v>16565</c:v>
                </c:pt>
                <c:pt idx="7">
                  <c:v>16425</c:v>
                </c:pt>
                <c:pt idx="8">
                  <c:v>18695</c:v>
                </c:pt>
                <c:pt idx="9">
                  <c:v>22112</c:v>
                </c:pt>
                <c:pt idx="10">
                  <c:v>18964</c:v>
                </c:pt>
                <c:pt idx="11">
                  <c:v>17477</c:v>
                </c:pt>
              </c:numCache>
            </c:numRef>
          </c:val>
          <c:extLst>
            <c:ext xmlns:c16="http://schemas.microsoft.com/office/drawing/2014/chart" uri="{C3380CC4-5D6E-409C-BE32-E72D297353CC}">
              <c16:uniqueId val="{00000001-E876-48DF-AF60-8C9761DFD1B3}"/>
            </c:ext>
          </c:extLst>
        </c:ser>
        <c:dLbls>
          <c:showLegendKey val="0"/>
          <c:showVal val="0"/>
          <c:showCatName val="0"/>
          <c:showSerName val="0"/>
          <c:showPercent val="0"/>
          <c:showBubbleSize val="0"/>
        </c:dLbls>
        <c:gapWidth val="150"/>
        <c:axId val="300132512"/>
        <c:axId val="300132120"/>
      </c:barChart>
      <c:catAx>
        <c:axId val="30013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00132120"/>
        <c:crosses val="autoZero"/>
        <c:auto val="1"/>
        <c:lblAlgn val="ctr"/>
        <c:lblOffset val="100"/>
        <c:noMultiLvlLbl val="0"/>
      </c:catAx>
      <c:valAx>
        <c:axId val="300132120"/>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001325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ontserrat" panose="00000500000000000000" pitchFamily="2" charset="0"/>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[Estadistica_2019_2020.xlsx]pág vistas x mes y año médula!Tabla dinámica5</c:name>
    <c:fmtId val="-1"/>
  </c:pivotSource>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ES" sz="1200" b="1"/>
              <a:t>Páginas vistas por mes y año web donación de médula</a:t>
            </a:r>
          </a:p>
        </c:rich>
      </c:tx>
      <c:layout>
        <c:manualLayout>
          <c:xMode val="edge"/>
          <c:yMode val="edge"/>
          <c:x val="2.1789264413518885E-2"/>
          <c:y val="5.4676397157672356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s-ES"/>
        </a:p>
      </c:txPr>
    </c:title>
    <c:autoTitleDeleted val="0"/>
    <c:pivotFmts>
      <c:pivotFmt>
        <c:idx val="0"/>
        <c:spPr>
          <a:solidFill>
            <a:srgbClr val="F9D68F"/>
          </a:solidFill>
          <a:ln>
            <a:noFill/>
          </a:ln>
          <a:effectLst/>
        </c:spPr>
        <c:marker>
          <c:symbol val="none"/>
        </c:marker>
      </c:pivotFmt>
      <c:pivotFmt>
        <c:idx val="1"/>
        <c:spPr>
          <a:solidFill>
            <a:srgbClr val="E9BF27"/>
          </a:solidFill>
          <a:ln>
            <a:noFill/>
          </a:ln>
          <a:effectLst/>
        </c:spPr>
        <c:marker>
          <c:symbol val="none"/>
        </c:marker>
      </c:pivotFmt>
      <c:pivotFmt>
        <c:idx val="2"/>
        <c:spPr>
          <a:solidFill>
            <a:srgbClr val="FF9900"/>
          </a:solidFill>
          <a:ln>
            <a:noFill/>
          </a:ln>
          <a:effectLst/>
        </c:spPr>
        <c:marker>
          <c:symbol val="none"/>
        </c:marker>
      </c:pivotFmt>
      <c:pivotFmt>
        <c:idx val="3"/>
        <c:spPr>
          <a:solidFill>
            <a:srgbClr val="F9D68F"/>
          </a:solidFill>
          <a:ln>
            <a:noFill/>
          </a:ln>
          <a:effectLst/>
        </c:spPr>
        <c:marker>
          <c:symbol val="none"/>
        </c:marker>
      </c:pivotFmt>
      <c:pivotFmt>
        <c:idx val="4"/>
        <c:spPr>
          <a:solidFill>
            <a:srgbClr val="E9BF27"/>
          </a:solidFill>
          <a:ln>
            <a:noFill/>
          </a:ln>
          <a:effectLst/>
        </c:spPr>
        <c:marker>
          <c:symbol val="none"/>
        </c:marker>
      </c:pivotFmt>
      <c:pivotFmt>
        <c:idx val="5"/>
        <c:spPr>
          <a:solidFill>
            <a:srgbClr val="FF9900"/>
          </a:solidFill>
          <a:ln>
            <a:noFill/>
          </a:ln>
          <a:effectLst/>
        </c:spPr>
        <c:marker>
          <c:symbol val="none"/>
        </c:marker>
      </c:pivotFmt>
      <c:pivotFmt>
        <c:idx val="6"/>
        <c:spPr>
          <a:solidFill>
            <a:srgbClr val="F9D68F"/>
          </a:solidFill>
          <a:ln>
            <a:noFill/>
          </a:ln>
          <a:effectLst/>
        </c:spPr>
        <c:marker>
          <c:symbol val="none"/>
        </c:marker>
      </c:pivotFmt>
      <c:pivotFmt>
        <c:idx val="7"/>
        <c:spPr>
          <a:solidFill>
            <a:srgbClr val="E9BF27"/>
          </a:solidFill>
          <a:ln>
            <a:noFill/>
          </a:ln>
          <a:effectLst/>
        </c:spPr>
        <c:marker>
          <c:symbol val="none"/>
        </c:marker>
      </c:pivotFmt>
      <c:pivotFmt>
        <c:idx val="8"/>
        <c:spPr>
          <a:solidFill>
            <a:srgbClr val="FF9900"/>
          </a:solidFill>
          <a:ln>
            <a:noFill/>
          </a:ln>
          <a:effectLst/>
        </c:spPr>
        <c:marker>
          <c:symbol val="none"/>
        </c:marker>
      </c:pivotFmt>
    </c:pivotFmts>
    <c:plotArea>
      <c:layout/>
      <c:barChart>
        <c:barDir val="col"/>
        <c:grouping val="clustered"/>
        <c:varyColors val="0"/>
        <c:ser>
          <c:idx val="0"/>
          <c:order val="0"/>
          <c:tx>
            <c:strRef>
              <c:f>'pág vistas x mes y año médula'!$B$3:$B$4</c:f>
              <c:strCache>
                <c:ptCount val="1"/>
                <c:pt idx="0">
                  <c:v>2018</c:v>
                </c:pt>
              </c:strCache>
            </c:strRef>
          </c:tx>
          <c:spPr>
            <a:solidFill>
              <a:srgbClr val="F9D68F"/>
            </a:solidFill>
            <a:ln>
              <a:noFill/>
            </a:ln>
            <a:effectLst/>
          </c:spPr>
          <c:invertIfNegative val="0"/>
          <c:cat>
            <c:strRef>
              <c:f>'pág vistas x mes y año médula'!$A$5:$A$17</c:f>
              <c:strCache>
                <c:ptCount val="12"/>
                <c:pt idx="0">
                  <c:v>ENERO</c:v>
                </c:pt>
                <c:pt idx="1">
                  <c:v>FEBRERO</c:v>
                </c:pt>
                <c:pt idx="2">
                  <c:v>MARZO</c:v>
                </c:pt>
                <c:pt idx="3">
                  <c:v>ABRIL</c:v>
                </c:pt>
                <c:pt idx="4">
                  <c:v>MAYO</c:v>
                </c:pt>
                <c:pt idx="5">
                  <c:v>JUNIO</c:v>
                </c:pt>
                <c:pt idx="6">
                  <c:v>JULIO</c:v>
                </c:pt>
                <c:pt idx="7">
                  <c:v>AGOSTO</c:v>
                </c:pt>
                <c:pt idx="8">
                  <c:v>OCTUBRE</c:v>
                </c:pt>
                <c:pt idx="9">
                  <c:v>SEPT</c:v>
                </c:pt>
                <c:pt idx="10">
                  <c:v>NOV</c:v>
                </c:pt>
                <c:pt idx="11">
                  <c:v>DIC</c:v>
                </c:pt>
              </c:strCache>
            </c:strRef>
          </c:cat>
          <c:val>
            <c:numRef>
              <c:f>'pág vistas x mes y año médula'!$B$5:$B$17</c:f>
              <c:numCache>
                <c:formatCode>General</c:formatCode>
                <c:ptCount val="12"/>
                <c:pt idx="0">
                  <c:v>3158</c:v>
                </c:pt>
                <c:pt idx="1">
                  <c:v>3385</c:v>
                </c:pt>
                <c:pt idx="2">
                  <c:v>2339</c:v>
                </c:pt>
                <c:pt idx="3">
                  <c:v>2305</c:v>
                </c:pt>
                <c:pt idx="4">
                  <c:v>1837</c:v>
                </c:pt>
                <c:pt idx="5">
                  <c:v>1160</c:v>
                </c:pt>
                <c:pt idx="6">
                  <c:v>1338</c:v>
                </c:pt>
                <c:pt idx="7">
                  <c:v>1836</c:v>
                </c:pt>
                <c:pt idx="8">
                  <c:v>4178</c:v>
                </c:pt>
                <c:pt idx="9">
                  <c:v>7040</c:v>
                </c:pt>
                <c:pt idx="10">
                  <c:v>2813</c:v>
                </c:pt>
                <c:pt idx="11">
                  <c:v>2881</c:v>
                </c:pt>
              </c:numCache>
            </c:numRef>
          </c:val>
          <c:extLst>
            <c:ext xmlns:c16="http://schemas.microsoft.com/office/drawing/2014/chart" uri="{C3380CC4-5D6E-409C-BE32-E72D297353CC}">
              <c16:uniqueId val="{00000000-9AAF-48D2-8D00-A8265DA44C55}"/>
            </c:ext>
          </c:extLst>
        </c:ser>
        <c:ser>
          <c:idx val="1"/>
          <c:order val="1"/>
          <c:tx>
            <c:strRef>
              <c:f>'pág vistas x mes y año médula'!$C$3:$C$4</c:f>
              <c:strCache>
                <c:ptCount val="1"/>
                <c:pt idx="0">
                  <c:v>2019</c:v>
                </c:pt>
              </c:strCache>
            </c:strRef>
          </c:tx>
          <c:spPr>
            <a:solidFill>
              <a:srgbClr val="E9BF27"/>
            </a:solidFill>
            <a:ln>
              <a:noFill/>
            </a:ln>
            <a:effectLst/>
          </c:spPr>
          <c:invertIfNegative val="0"/>
          <c:cat>
            <c:strRef>
              <c:f>'pág vistas x mes y año médula'!$A$5:$A$17</c:f>
              <c:strCache>
                <c:ptCount val="12"/>
                <c:pt idx="0">
                  <c:v>ENERO</c:v>
                </c:pt>
                <c:pt idx="1">
                  <c:v>FEBRERO</c:v>
                </c:pt>
                <c:pt idx="2">
                  <c:v>MARZO</c:v>
                </c:pt>
                <c:pt idx="3">
                  <c:v>ABRIL</c:v>
                </c:pt>
                <c:pt idx="4">
                  <c:v>MAYO</c:v>
                </c:pt>
                <c:pt idx="5">
                  <c:v>JUNIO</c:v>
                </c:pt>
                <c:pt idx="6">
                  <c:v>JULIO</c:v>
                </c:pt>
                <c:pt idx="7">
                  <c:v>AGOSTO</c:v>
                </c:pt>
                <c:pt idx="8">
                  <c:v>OCTUBRE</c:v>
                </c:pt>
                <c:pt idx="9">
                  <c:v>SEPT</c:v>
                </c:pt>
                <c:pt idx="10">
                  <c:v>NOV</c:v>
                </c:pt>
                <c:pt idx="11">
                  <c:v>DIC</c:v>
                </c:pt>
              </c:strCache>
            </c:strRef>
          </c:cat>
          <c:val>
            <c:numRef>
              <c:f>'pág vistas x mes y año médula'!$C$5:$C$17</c:f>
              <c:numCache>
                <c:formatCode>General</c:formatCode>
                <c:ptCount val="12"/>
                <c:pt idx="0">
                  <c:v>10497</c:v>
                </c:pt>
                <c:pt idx="1">
                  <c:v>3452</c:v>
                </c:pt>
                <c:pt idx="2">
                  <c:v>3063</c:v>
                </c:pt>
                <c:pt idx="3">
                  <c:v>3257</c:v>
                </c:pt>
                <c:pt idx="4">
                  <c:v>2162</c:v>
                </c:pt>
                <c:pt idx="5">
                  <c:v>3420</c:v>
                </c:pt>
                <c:pt idx="6">
                  <c:v>4305</c:v>
                </c:pt>
                <c:pt idx="7">
                  <c:v>7323</c:v>
                </c:pt>
                <c:pt idx="8">
                  <c:v>4438</c:v>
                </c:pt>
                <c:pt idx="9">
                  <c:v>7057</c:v>
                </c:pt>
                <c:pt idx="10">
                  <c:v>7031</c:v>
                </c:pt>
                <c:pt idx="11">
                  <c:v>3658</c:v>
                </c:pt>
              </c:numCache>
            </c:numRef>
          </c:val>
          <c:extLst>
            <c:ext xmlns:c16="http://schemas.microsoft.com/office/drawing/2014/chart" uri="{C3380CC4-5D6E-409C-BE32-E72D297353CC}">
              <c16:uniqueId val="{00000001-9AAF-48D2-8D00-A8265DA44C55}"/>
            </c:ext>
          </c:extLst>
        </c:ser>
        <c:ser>
          <c:idx val="2"/>
          <c:order val="2"/>
          <c:tx>
            <c:strRef>
              <c:f>'pág vistas x mes y año médula'!$D$3:$D$4</c:f>
              <c:strCache>
                <c:ptCount val="1"/>
                <c:pt idx="0">
                  <c:v>2020</c:v>
                </c:pt>
              </c:strCache>
            </c:strRef>
          </c:tx>
          <c:spPr>
            <a:solidFill>
              <a:srgbClr val="FF9900"/>
            </a:solidFill>
            <a:ln>
              <a:noFill/>
            </a:ln>
            <a:effectLst/>
          </c:spPr>
          <c:invertIfNegative val="0"/>
          <c:cat>
            <c:strRef>
              <c:f>'pág vistas x mes y año médula'!$A$5:$A$17</c:f>
              <c:strCache>
                <c:ptCount val="12"/>
                <c:pt idx="0">
                  <c:v>ENERO</c:v>
                </c:pt>
                <c:pt idx="1">
                  <c:v>FEBRERO</c:v>
                </c:pt>
                <c:pt idx="2">
                  <c:v>MARZO</c:v>
                </c:pt>
                <c:pt idx="3">
                  <c:v>ABRIL</c:v>
                </c:pt>
                <c:pt idx="4">
                  <c:v>MAYO</c:v>
                </c:pt>
                <c:pt idx="5">
                  <c:v>JUNIO</c:v>
                </c:pt>
                <c:pt idx="6">
                  <c:v>JULIO</c:v>
                </c:pt>
                <c:pt idx="7">
                  <c:v>AGOSTO</c:v>
                </c:pt>
                <c:pt idx="8">
                  <c:v>OCTUBRE</c:v>
                </c:pt>
                <c:pt idx="9">
                  <c:v>SEPT</c:v>
                </c:pt>
                <c:pt idx="10">
                  <c:v>NOV</c:v>
                </c:pt>
                <c:pt idx="11">
                  <c:v>DIC</c:v>
                </c:pt>
              </c:strCache>
            </c:strRef>
          </c:cat>
          <c:val>
            <c:numRef>
              <c:f>'pág vistas x mes y año médula'!$D$5:$D$17</c:f>
              <c:numCache>
                <c:formatCode>General</c:formatCode>
                <c:ptCount val="12"/>
                <c:pt idx="0">
                  <c:v>3617</c:v>
                </c:pt>
                <c:pt idx="1">
                  <c:v>11774</c:v>
                </c:pt>
                <c:pt idx="2">
                  <c:v>2325</c:v>
                </c:pt>
                <c:pt idx="3">
                  <c:v>1596</c:v>
                </c:pt>
                <c:pt idx="4">
                  <c:v>2390</c:v>
                </c:pt>
                <c:pt idx="5">
                  <c:v>4112</c:v>
                </c:pt>
                <c:pt idx="6">
                  <c:v>3606</c:v>
                </c:pt>
                <c:pt idx="7">
                  <c:v>3584</c:v>
                </c:pt>
                <c:pt idx="8">
                  <c:v>3522</c:v>
                </c:pt>
                <c:pt idx="9">
                  <c:v>5544</c:v>
                </c:pt>
                <c:pt idx="10">
                  <c:v>3324</c:v>
                </c:pt>
                <c:pt idx="11">
                  <c:v>2147</c:v>
                </c:pt>
              </c:numCache>
            </c:numRef>
          </c:val>
          <c:extLst>
            <c:ext xmlns:c16="http://schemas.microsoft.com/office/drawing/2014/chart" uri="{C3380CC4-5D6E-409C-BE32-E72D297353CC}">
              <c16:uniqueId val="{00000002-9AAF-48D2-8D00-A8265DA44C55}"/>
            </c:ext>
          </c:extLst>
        </c:ser>
        <c:dLbls>
          <c:showLegendKey val="0"/>
          <c:showVal val="0"/>
          <c:showCatName val="0"/>
          <c:showSerName val="0"/>
          <c:showPercent val="0"/>
          <c:showBubbleSize val="0"/>
        </c:dLbls>
        <c:gapWidth val="219"/>
        <c:overlap val="-27"/>
        <c:axId val="908935896"/>
        <c:axId val="908941384"/>
      </c:barChart>
      <c:catAx>
        <c:axId val="908935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41384"/>
        <c:crosses val="autoZero"/>
        <c:auto val="1"/>
        <c:lblAlgn val="ctr"/>
        <c:lblOffset val="100"/>
        <c:noMultiLvlLbl val="0"/>
      </c:catAx>
      <c:valAx>
        <c:axId val="908941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8935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dTable>
      <c:spPr>
        <a:noFill/>
        <a:ln>
          <a:noFill/>
        </a:ln>
        <a:effectLst/>
      </c:spPr>
    </c:plotArea>
    <c:legend>
      <c:legendPos val="t"/>
      <c:layout>
        <c:manualLayout>
          <c:xMode val="edge"/>
          <c:yMode val="edge"/>
          <c:x val="0.56742171642063632"/>
          <c:y val="0.18068369502592665"/>
          <c:w val="0.37119314822489297"/>
          <c:h val="0.12562747205345851"/>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83942742006689"/>
          <c:y val="5.0890585241730277E-2"/>
          <c:w val="0.85716057257993317"/>
          <c:h val="0.85279163577835215"/>
        </c:manualLayout>
      </c:layout>
      <c:barChart>
        <c:barDir val="col"/>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2"/>
                </a:solidFill>
                <a:prstDash val="solid"/>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Hoja2!$A$58:$A$63</c:f>
              <c:numCache>
                <c:formatCode>General</c:formatCode>
                <c:ptCount val="6"/>
                <c:pt idx="0">
                  <c:v>2015</c:v>
                </c:pt>
                <c:pt idx="1">
                  <c:v>2016</c:v>
                </c:pt>
                <c:pt idx="2">
                  <c:v>2017</c:v>
                </c:pt>
                <c:pt idx="3">
                  <c:v>2018</c:v>
                </c:pt>
                <c:pt idx="4">
                  <c:v>2019</c:v>
                </c:pt>
                <c:pt idx="5">
                  <c:v>2020</c:v>
                </c:pt>
              </c:numCache>
            </c:numRef>
          </c:cat>
          <c:val>
            <c:numRef>
              <c:f>Hoja2!$B$58:$B$63</c:f>
              <c:numCache>
                <c:formatCode>#,##0</c:formatCode>
                <c:ptCount val="6"/>
                <c:pt idx="0">
                  <c:v>7617</c:v>
                </c:pt>
                <c:pt idx="1">
                  <c:v>9870</c:v>
                </c:pt>
                <c:pt idx="2">
                  <c:v>7274</c:v>
                </c:pt>
                <c:pt idx="3">
                  <c:v>9680</c:v>
                </c:pt>
                <c:pt idx="4">
                  <c:v>10093</c:v>
                </c:pt>
                <c:pt idx="5" formatCode="General">
                  <c:v>911</c:v>
                </c:pt>
              </c:numCache>
            </c:numRef>
          </c:val>
          <c:extLst>
            <c:ext xmlns:c16="http://schemas.microsoft.com/office/drawing/2014/chart" uri="{C3380CC4-5D6E-409C-BE32-E72D297353CC}">
              <c16:uniqueId val="{00000000-050A-4072-A5E0-F652E9B8405F}"/>
            </c:ext>
          </c:extLst>
        </c:ser>
        <c:dLbls>
          <c:showLegendKey val="0"/>
          <c:showVal val="0"/>
          <c:showCatName val="0"/>
          <c:showSerName val="0"/>
          <c:showPercent val="0"/>
          <c:showBubbleSize val="0"/>
        </c:dLbls>
        <c:gapWidth val="219"/>
        <c:overlap val="-27"/>
        <c:axId val="339207072"/>
        <c:axId val="339207464"/>
      </c:barChart>
      <c:catAx>
        <c:axId val="33920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339207464"/>
        <c:crosses val="autoZero"/>
        <c:auto val="1"/>
        <c:lblAlgn val="ctr"/>
        <c:lblOffset val="100"/>
        <c:noMultiLvlLbl val="0"/>
      </c:catAx>
      <c:valAx>
        <c:axId val="339207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339207072"/>
        <c:crosses val="autoZero"/>
        <c:crossBetween val="between"/>
      </c:valAx>
      <c:spPr>
        <a:noFill/>
        <a:ln w="25400">
          <a:noFill/>
        </a:ln>
      </c:spPr>
    </c:plotArea>
    <c:plotVisOnly val="1"/>
    <c:dispBlanksAs val="gap"/>
    <c:showDLblsOverMax val="0"/>
  </c:chart>
  <c:spPr>
    <a:noFill/>
    <a:ln>
      <a:noFill/>
    </a:ln>
    <a:effectLst/>
  </c:spPr>
  <c:txPr>
    <a:bodyPr/>
    <a:lstStyle/>
    <a:p>
      <a:pPr>
        <a:defRPr/>
      </a:pPr>
      <a:endParaRPr lang="es-ES"/>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s-ES" sz="1000" baseline="0"/>
              <a:t>CCP Apheresis evolution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CCP Total apheresis </c:v>
                </c:pt>
              </c:strCache>
            </c:strRef>
          </c:tx>
          <c:spPr>
            <a:solidFill>
              <a:schemeClr val="accent1"/>
            </a:solidFill>
            <a:ln>
              <a:noFill/>
            </a:ln>
            <a:effectLst/>
          </c:spPr>
          <c:invertIfNegative val="0"/>
          <c:cat>
            <c:strRef>
              <c:f>Hoja1!$A$2:$A$20</c:f>
              <c:strCache>
                <c:ptCount val="19"/>
                <c:pt idx="0">
                  <c:v>April-2020</c:v>
                </c:pt>
                <c:pt idx="1">
                  <c:v>May-2020</c:v>
                </c:pt>
                <c:pt idx="2">
                  <c:v>June 2020</c:v>
                </c:pt>
                <c:pt idx="3">
                  <c:v>July-2020</c:v>
                </c:pt>
                <c:pt idx="4">
                  <c:v>August-2020</c:v>
                </c:pt>
                <c:pt idx="5">
                  <c:v>September-2020</c:v>
                </c:pt>
                <c:pt idx="6">
                  <c:v>October-2020</c:v>
                </c:pt>
                <c:pt idx="7">
                  <c:v>November-2020</c:v>
                </c:pt>
                <c:pt idx="8">
                  <c:v>December-2020</c:v>
                </c:pt>
                <c:pt idx="9">
                  <c:v>January-2021</c:v>
                </c:pt>
                <c:pt idx="10">
                  <c:v>February-2021</c:v>
                </c:pt>
                <c:pt idx="11">
                  <c:v>March-2021</c:v>
                </c:pt>
                <c:pt idx="12">
                  <c:v>April-2021</c:v>
                </c:pt>
                <c:pt idx="13">
                  <c:v>May-2021</c:v>
                </c:pt>
                <c:pt idx="14">
                  <c:v>June-2021</c:v>
                </c:pt>
                <c:pt idx="15">
                  <c:v>July-2021</c:v>
                </c:pt>
                <c:pt idx="16">
                  <c:v>August-2021</c:v>
                </c:pt>
                <c:pt idx="17">
                  <c:v>September 2021</c:v>
                </c:pt>
                <c:pt idx="18">
                  <c:v>October 15th-2021</c:v>
                </c:pt>
              </c:strCache>
            </c:strRef>
          </c:cat>
          <c:val>
            <c:numRef>
              <c:f>Hoja1!$B$2:$B$20</c:f>
              <c:numCache>
                <c:formatCode>General</c:formatCode>
                <c:ptCount val="19"/>
                <c:pt idx="0">
                  <c:v>58</c:v>
                </c:pt>
                <c:pt idx="1">
                  <c:v>194</c:v>
                </c:pt>
                <c:pt idx="2">
                  <c:v>241</c:v>
                </c:pt>
                <c:pt idx="3">
                  <c:v>142</c:v>
                </c:pt>
                <c:pt idx="4">
                  <c:v>69</c:v>
                </c:pt>
                <c:pt idx="5">
                  <c:v>75</c:v>
                </c:pt>
                <c:pt idx="6">
                  <c:v>88</c:v>
                </c:pt>
                <c:pt idx="7">
                  <c:v>133</c:v>
                </c:pt>
                <c:pt idx="8">
                  <c:v>150</c:v>
                </c:pt>
                <c:pt idx="9">
                  <c:v>130</c:v>
                </c:pt>
                <c:pt idx="10">
                  <c:v>269</c:v>
                </c:pt>
                <c:pt idx="11">
                  <c:v>323</c:v>
                </c:pt>
                <c:pt idx="12">
                  <c:v>255</c:v>
                </c:pt>
                <c:pt idx="13">
                  <c:v>222</c:v>
                </c:pt>
                <c:pt idx="14">
                  <c:v>175</c:v>
                </c:pt>
                <c:pt idx="15">
                  <c:v>129</c:v>
                </c:pt>
                <c:pt idx="16">
                  <c:v>138</c:v>
                </c:pt>
                <c:pt idx="17">
                  <c:v>139</c:v>
                </c:pt>
                <c:pt idx="18">
                  <c:v>39</c:v>
                </c:pt>
              </c:numCache>
            </c:numRef>
          </c:val>
          <c:extLst>
            <c:ext xmlns:c16="http://schemas.microsoft.com/office/drawing/2014/chart" uri="{C3380CC4-5D6E-409C-BE32-E72D297353CC}">
              <c16:uniqueId val="{00000000-C2F9-4138-84BB-636A713722F8}"/>
            </c:ext>
          </c:extLst>
        </c:ser>
        <c:ser>
          <c:idx val="1"/>
          <c:order val="1"/>
          <c:tx>
            <c:strRef>
              <c:f>Hoja1!$C$1</c:f>
              <c:strCache>
                <c:ptCount val="1"/>
                <c:pt idx="0">
                  <c:v>CCP Plasmapheresis </c:v>
                </c:pt>
              </c:strCache>
            </c:strRef>
          </c:tx>
          <c:spPr>
            <a:solidFill>
              <a:schemeClr val="accent2"/>
            </a:solidFill>
            <a:ln>
              <a:noFill/>
            </a:ln>
            <a:effectLst/>
          </c:spPr>
          <c:invertIfNegative val="0"/>
          <c:cat>
            <c:strRef>
              <c:f>Hoja1!$A$2:$A$20</c:f>
              <c:strCache>
                <c:ptCount val="19"/>
                <c:pt idx="0">
                  <c:v>April-2020</c:v>
                </c:pt>
                <c:pt idx="1">
                  <c:v>May-2020</c:v>
                </c:pt>
                <c:pt idx="2">
                  <c:v>June 2020</c:v>
                </c:pt>
                <c:pt idx="3">
                  <c:v>July-2020</c:v>
                </c:pt>
                <c:pt idx="4">
                  <c:v>August-2020</c:v>
                </c:pt>
                <c:pt idx="5">
                  <c:v>September-2020</c:v>
                </c:pt>
                <c:pt idx="6">
                  <c:v>October-2020</c:v>
                </c:pt>
                <c:pt idx="7">
                  <c:v>November-2020</c:v>
                </c:pt>
                <c:pt idx="8">
                  <c:v>December-2020</c:v>
                </c:pt>
                <c:pt idx="9">
                  <c:v>January-2021</c:v>
                </c:pt>
                <c:pt idx="10">
                  <c:v>February-2021</c:v>
                </c:pt>
                <c:pt idx="11">
                  <c:v>March-2021</c:v>
                </c:pt>
                <c:pt idx="12">
                  <c:v>April-2021</c:v>
                </c:pt>
                <c:pt idx="13">
                  <c:v>May-2021</c:v>
                </c:pt>
                <c:pt idx="14">
                  <c:v>June-2021</c:v>
                </c:pt>
                <c:pt idx="15">
                  <c:v>July-2021</c:v>
                </c:pt>
                <c:pt idx="16">
                  <c:v>August-2021</c:v>
                </c:pt>
                <c:pt idx="17">
                  <c:v>September 2021</c:v>
                </c:pt>
                <c:pt idx="18">
                  <c:v>October 15th-2021</c:v>
                </c:pt>
              </c:strCache>
            </c:strRef>
          </c:cat>
          <c:val>
            <c:numRef>
              <c:f>Hoja1!$C$2:$C$20</c:f>
              <c:numCache>
                <c:formatCode>General</c:formatCode>
                <c:ptCount val="19"/>
                <c:pt idx="0">
                  <c:v>57</c:v>
                </c:pt>
                <c:pt idx="1">
                  <c:v>167</c:v>
                </c:pt>
                <c:pt idx="2">
                  <c:v>162</c:v>
                </c:pt>
                <c:pt idx="3">
                  <c:v>76</c:v>
                </c:pt>
                <c:pt idx="4">
                  <c:v>35</c:v>
                </c:pt>
                <c:pt idx="5">
                  <c:v>44</c:v>
                </c:pt>
                <c:pt idx="6">
                  <c:v>76</c:v>
                </c:pt>
                <c:pt idx="7">
                  <c:v>120</c:v>
                </c:pt>
                <c:pt idx="8">
                  <c:v>144</c:v>
                </c:pt>
                <c:pt idx="9">
                  <c:v>114</c:v>
                </c:pt>
                <c:pt idx="10">
                  <c:v>251</c:v>
                </c:pt>
                <c:pt idx="11">
                  <c:v>251</c:v>
                </c:pt>
                <c:pt idx="12">
                  <c:v>177</c:v>
                </c:pt>
                <c:pt idx="13">
                  <c:v>160</c:v>
                </c:pt>
                <c:pt idx="14">
                  <c:v>121</c:v>
                </c:pt>
                <c:pt idx="15">
                  <c:v>57</c:v>
                </c:pt>
                <c:pt idx="16">
                  <c:v>71</c:v>
                </c:pt>
                <c:pt idx="17">
                  <c:v>76</c:v>
                </c:pt>
                <c:pt idx="18">
                  <c:v>15</c:v>
                </c:pt>
              </c:numCache>
            </c:numRef>
          </c:val>
          <c:extLst>
            <c:ext xmlns:c16="http://schemas.microsoft.com/office/drawing/2014/chart" uri="{C3380CC4-5D6E-409C-BE32-E72D297353CC}">
              <c16:uniqueId val="{00000001-C2F9-4138-84BB-636A713722F8}"/>
            </c:ext>
          </c:extLst>
        </c:ser>
        <c:ser>
          <c:idx val="2"/>
          <c:order val="2"/>
          <c:tx>
            <c:strRef>
              <c:f>Hoja1!$D$1</c:f>
              <c:strCache>
                <c:ptCount val="1"/>
                <c:pt idx="0">
                  <c:v>CCP Multicomponent apheresis </c:v>
                </c:pt>
              </c:strCache>
            </c:strRef>
          </c:tx>
          <c:spPr>
            <a:solidFill>
              <a:schemeClr val="accent3"/>
            </a:solidFill>
            <a:ln>
              <a:noFill/>
            </a:ln>
            <a:effectLst/>
          </c:spPr>
          <c:invertIfNegative val="0"/>
          <c:cat>
            <c:strRef>
              <c:f>Hoja1!$A$2:$A$20</c:f>
              <c:strCache>
                <c:ptCount val="19"/>
                <c:pt idx="0">
                  <c:v>April-2020</c:v>
                </c:pt>
                <c:pt idx="1">
                  <c:v>May-2020</c:v>
                </c:pt>
                <c:pt idx="2">
                  <c:v>June 2020</c:v>
                </c:pt>
                <c:pt idx="3">
                  <c:v>July-2020</c:v>
                </c:pt>
                <c:pt idx="4">
                  <c:v>August-2020</c:v>
                </c:pt>
                <c:pt idx="5">
                  <c:v>September-2020</c:v>
                </c:pt>
                <c:pt idx="6">
                  <c:v>October-2020</c:v>
                </c:pt>
                <c:pt idx="7">
                  <c:v>November-2020</c:v>
                </c:pt>
                <c:pt idx="8">
                  <c:v>December-2020</c:v>
                </c:pt>
                <c:pt idx="9">
                  <c:v>January-2021</c:v>
                </c:pt>
                <c:pt idx="10">
                  <c:v>February-2021</c:v>
                </c:pt>
                <c:pt idx="11">
                  <c:v>March-2021</c:v>
                </c:pt>
                <c:pt idx="12">
                  <c:v>April-2021</c:v>
                </c:pt>
                <c:pt idx="13">
                  <c:v>May-2021</c:v>
                </c:pt>
                <c:pt idx="14">
                  <c:v>June-2021</c:v>
                </c:pt>
                <c:pt idx="15">
                  <c:v>July-2021</c:v>
                </c:pt>
                <c:pt idx="16">
                  <c:v>August-2021</c:v>
                </c:pt>
                <c:pt idx="17">
                  <c:v>September 2021</c:v>
                </c:pt>
                <c:pt idx="18">
                  <c:v>October 15th-2021</c:v>
                </c:pt>
              </c:strCache>
            </c:strRef>
          </c:cat>
          <c:val>
            <c:numRef>
              <c:f>Hoja1!$D$2:$D$20</c:f>
              <c:numCache>
                <c:formatCode>0</c:formatCode>
                <c:ptCount val="19"/>
                <c:pt idx="0">
                  <c:v>1</c:v>
                </c:pt>
                <c:pt idx="1">
                  <c:v>27</c:v>
                </c:pt>
                <c:pt idx="2">
                  <c:v>79</c:v>
                </c:pt>
                <c:pt idx="3">
                  <c:v>66</c:v>
                </c:pt>
                <c:pt idx="4">
                  <c:v>34</c:v>
                </c:pt>
                <c:pt idx="5">
                  <c:v>31</c:v>
                </c:pt>
                <c:pt idx="6">
                  <c:v>12</c:v>
                </c:pt>
                <c:pt idx="7">
                  <c:v>13</c:v>
                </c:pt>
                <c:pt idx="8">
                  <c:v>6</c:v>
                </c:pt>
                <c:pt idx="9">
                  <c:v>16</c:v>
                </c:pt>
                <c:pt idx="10">
                  <c:v>18</c:v>
                </c:pt>
                <c:pt idx="11">
                  <c:v>72</c:v>
                </c:pt>
                <c:pt idx="12">
                  <c:v>78</c:v>
                </c:pt>
                <c:pt idx="13">
                  <c:v>62</c:v>
                </c:pt>
                <c:pt idx="14">
                  <c:v>54</c:v>
                </c:pt>
                <c:pt idx="15">
                  <c:v>72</c:v>
                </c:pt>
                <c:pt idx="16">
                  <c:v>67</c:v>
                </c:pt>
                <c:pt idx="17">
                  <c:v>63</c:v>
                </c:pt>
                <c:pt idx="18">
                  <c:v>24</c:v>
                </c:pt>
              </c:numCache>
            </c:numRef>
          </c:val>
          <c:extLst>
            <c:ext xmlns:c16="http://schemas.microsoft.com/office/drawing/2014/chart" uri="{C3380CC4-5D6E-409C-BE32-E72D297353CC}">
              <c16:uniqueId val="{00000002-C2F9-4138-84BB-636A713722F8}"/>
            </c:ext>
          </c:extLst>
        </c:ser>
        <c:dLbls>
          <c:showLegendKey val="0"/>
          <c:showVal val="0"/>
          <c:showCatName val="0"/>
          <c:showSerName val="0"/>
          <c:showPercent val="0"/>
          <c:showBubbleSize val="0"/>
        </c:dLbls>
        <c:gapWidth val="219"/>
        <c:overlap val="-27"/>
        <c:axId val="339208640"/>
        <c:axId val="339209424"/>
      </c:barChart>
      <c:catAx>
        <c:axId val="33920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209424"/>
        <c:crosses val="autoZero"/>
        <c:auto val="1"/>
        <c:lblAlgn val="ctr"/>
        <c:lblOffset val="100"/>
        <c:noMultiLvlLbl val="0"/>
      </c:catAx>
      <c:valAx>
        <c:axId val="339209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20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CCP Transfuses doses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Hoja1!$F$1</c:f>
              <c:strCache>
                <c:ptCount val="1"/>
                <c:pt idx="0">
                  <c:v>CCP Transfuses doses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Hoja1!$E$2:$E$20</c:f>
              <c:strCache>
                <c:ptCount val="19"/>
                <c:pt idx="0">
                  <c:v>April-2020</c:v>
                </c:pt>
                <c:pt idx="1">
                  <c:v>May-2020</c:v>
                </c:pt>
                <c:pt idx="2">
                  <c:v>June 2020</c:v>
                </c:pt>
                <c:pt idx="3">
                  <c:v>July-2020</c:v>
                </c:pt>
                <c:pt idx="4">
                  <c:v>August-2020</c:v>
                </c:pt>
                <c:pt idx="5">
                  <c:v>September-2020</c:v>
                </c:pt>
                <c:pt idx="6">
                  <c:v>October-2020</c:v>
                </c:pt>
                <c:pt idx="7">
                  <c:v>November-2020</c:v>
                </c:pt>
                <c:pt idx="8">
                  <c:v>December-2020</c:v>
                </c:pt>
                <c:pt idx="9">
                  <c:v>January-2021</c:v>
                </c:pt>
                <c:pt idx="10">
                  <c:v>February-2021</c:v>
                </c:pt>
                <c:pt idx="11">
                  <c:v>March-2021</c:v>
                </c:pt>
                <c:pt idx="12">
                  <c:v>April-2021</c:v>
                </c:pt>
                <c:pt idx="13">
                  <c:v>May-2021</c:v>
                </c:pt>
                <c:pt idx="14">
                  <c:v>June-2021</c:v>
                </c:pt>
                <c:pt idx="15">
                  <c:v>July-2021</c:v>
                </c:pt>
                <c:pt idx="16">
                  <c:v>August-2021</c:v>
                </c:pt>
                <c:pt idx="17">
                  <c:v>September 2021</c:v>
                </c:pt>
                <c:pt idx="18">
                  <c:v>October 15th-2021</c:v>
                </c:pt>
              </c:strCache>
            </c:strRef>
          </c:cat>
          <c:val>
            <c:numRef>
              <c:f>Hoja1!$F$2:$F$20</c:f>
              <c:numCache>
                <c:formatCode>General</c:formatCode>
                <c:ptCount val="19"/>
                <c:pt idx="0">
                  <c:v>25</c:v>
                </c:pt>
                <c:pt idx="1">
                  <c:v>105</c:v>
                </c:pt>
                <c:pt idx="2">
                  <c:v>26</c:v>
                </c:pt>
                <c:pt idx="3">
                  <c:v>14</c:v>
                </c:pt>
                <c:pt idx="4">
                  <c:v>104</c:v>
                </c:pt>
                <c:pt idx="5">
                  <c:v>287</c:v>
                </c:pt>
                <c:pt idx="6">
                  <c:v>192</c:v>
                </c:pt>
                <c:pt idx="7">
                  <c:v>110</c:v>
                </c:pt>
                <c:pt idx="8">
                  <c:v>59</c:v>
                </c:pt>
                <c:pt idx="9">
                  <c:v>210</c:v>
                </c:pt>
                <c:pt idx="10">
                  <c:v>162</c:v>
                </c:pt>
                <c:pt idx="11">
                  <c:v>104</c:v>
                </c:pt>
                <c:pt idx="12">
                  <c:v>83</c:v>
                </c:pt>
                <c:pt idx="13">
                  <c:v>61</c:v>
                </c:pt>
                <c:pt idx="14">
                  <c:v>24</c:v>
                </c:pt>
                <c:pt idx="15">
                  <c:v>38</c:v>
                </c:pt>
                <c:pt idx="16">
                  <c:v>30</c:v>
                </c:pt>
                <c:pt idx="17">
                  <c:v>21</c:v>
                </c:pt>
                <c:pt idx="18">
                  <c:v>3</c:v>
                </c:pt>
              </c:numCache>
            </c:numRef>
          </c:val>
          <c:extLst>
            <c:ext xmlns:c16="http://schemas.microsoft.com/office/drawing/2014/chart" uri="{C3380CC4-5D6E-409C-BE32-E72D297353CC}">
              <c16:uniqueId val="{00000000-DEE8-40C4-9469-693A9E8E1BC5}"/>
            </c:ext>
          </c:extLst>
        </c:ser>
        <c:dLbls>
          <c:showLegendKey val="0"/>
          <c:showVal val="0"/>
          <c:showCatName val="0"/>
          <c:showSerName val="0"/>
          <c:showPercent val="0"/>
          <c:showBubbleSize val="0"/>
        </c:dLbls>
        <c:gapWidth val="150"/>
        <c:axId val="339209816"/>
        <c:axId val="339210208"/>
      </c:barChart>
      <c:catAx>
        <c:axId val="339209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210208"/>
        <c:crosses val="autoZero"/>
        <c:auto val="1"/>
        <c:lblAlgn val="ctr"/>
        <c:lblOffset val="100"/>
        <c:noMultiLvlLbl val="0"/>
      </c:catAx>
      <c:valAx>
        <c:axId val="33921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209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bar"/>
        <c:grouping val="stacked"/>
        <c:varyColors val="0"/>
        <c:ser>
          <c:idx val="0"/>
          <c:order val="0"/>
          <c:tx>
            <c:strRef>
              <c:f>'Gráfico Proc-No proc por mater'!$B$2</c:f>
              <c:strCache>
                <c:ptCount val="1"/>
                <c:pt idx="0">
                  <c:v>Recibidos</c:v>
                </c:pt>
              </c:strCache>
            </c:strRef>
          </c:tx>
          <c:spPr>
            <a:solidFill>
              <a:schemeClr val="accent1"/>
            </a:solidFill>
            <a:ln>
              <a:noFill/>
            </a:ln>
            <a:effectLst/>
          </c:spPr>
          <c:invertIfNegative val="0"/>
          <c:cat>
            <c:strRef>
              <c:f>'Gráfico Proc-No proc por mater'!$A$3:$A$37</c:f>
              <c:strCache>
                <c:ptCount val="35"/>
                <c:pt idx="0">
                  <c:v>F. Alcorcón</c:v>
                </c:pt>
                <c:pt idx="1">
                  <c:v>Henares</c:v>
                </c:pt>
                <c:pt idx="2">
                  <c:v>I. Leonor</c:v>
                </c:pt>
                <c:pt idx="3">
                  <c:v>Nisa Pardo</c:v>
                </c:pt>
                <c:pt idx="4">
                  <c:v>Sureste Arganda</c:v>
                </c:pt>
                <c:pt idx="5">
                  <c:v>Tajo</c:v>
                </c:pt>
                <c:pt idx="6">
                  <c:v>Zarzuela</c:v>
                </c:pt>
                <c:pt idx="7">
                  <c:v>I. Elena</c:v>
                </c:pt>
                <c:pt idx="8">
                  <c:v>Villalba</c:v>
                </c:pt>
                <c:pt idx="9">
                  <c:v>Móstoles</c:v>
                </c:pt>
                <c:pt idx="10">
                  <c:v>San Rafael</c:v>
                </c:pt>
                <c:pt idx="11">
                  <c:v>N. Belén</c:v>
                </c:pt>
                <c:pt idx="12">
                  <c:v>Ruber</c:v>
                </c:pt>
                <c:pt idx="13">
                  <c:v>Escorial</c:v>
                </c:pt>
                <c:pt idx="14">
                  <c:v>Getafe</c:v>
                </c:pt>
                <c:pt idx="15">
                  <c:v>R. Juan Carlos</c:v>
                </c:pt>
                <c:pt idx="16">
                  <c:v>Puerta de Hierro</c:v>
                </c:pt>
                <c:pt idx="17">
                  <c:v>P. Asturias</c:v>
                </c:pt>
                <c:pt idx="18">
                  <c:v>I. Cristina</c:v>
                </c:pt>
                <c:pt idx="19">
                  <c:v>Fuenlabrada</c:v>
                </c:pt>
                <c:pt idx="20">
                  <c:v>Q. Pozuelo</c:v>
                </c:pt>
                <c:pt idx="21">
                  <c:v>San José</c:v>
                </c:pt>
                <c:pt idx="22">
                  <c:v>Severo Ochoa</c:v>
                </c:pt>
                <c:pt idx="23">
                  <c:v>Clínico </c:v>
                </c:pt>
                <c:pt idx="24">
                  <c:v>FJD</c:v>
                </c:pt>
                <c:pt idx="25">
                  <c:v>La Milagrosa</c:v>
                </c:pt>
                <c:pt idx="26">
                  <c:v>Puerta del Sur</c:v>
                </c:pt>
                <c:pt idx="27">
                  <c:v>Torrejón</c:v>
                </c:pt>
                <c:pt idx="28">
                  <c:v>San Pedro </c:v>
                </c:pt>
                <c:pt idx="29">
                  <c:v>I. Sofía</c:v>
                </c:pt>
                <c:pt idx="30">
                  <c:v>Moraleja</c:v>
                </c:pt>
                <c:pt idx="31">
                  <c:v>Monteprincipe</c:v>
                </c:pt>
                <c:pt idx="32">
                  <c:v>Gregorio Marañón</c:v>
                </c:pt>
                <c:pt idx="33">
                  <c:v>Doce de octubre</c:v>
                </c:pt>
                <c:pt idx="34">
                  <c:v>La Paz</c:v>
                </c:pt>
              </c:strCache>
            </c:strRef>
          </c:cat>
          <c:val>
            <c:numRef>
              <c:f>'Gráfico Proc-No proc por mater'!$B$3:$B$37</c:f>
              <c:numCache>
                <c:formatCode>General</c:formatCode>
                <c:ptCount val="35"/>
                <c:pt idx="0">
                  <c:v>0</c:v>
                </c:pt>
                <c:pt idx="1">
                  <c:v>0</c:v>
                </c:pt>
                <c:pt idx="2">
                  <c:v>0</c:v>
                </c:pt>
                <c:pt idx="3">
                  <c:v>0</c:v>
                </c:pt>
                <c:pt idx="4">
                  <c:v>0</c:v>
                </c:pt>
                <c:pt idx="5">
                  <c:v>0</c:v>
                </c:pt>
                <c:pt idx="6">
                  <c:v>0</c:v>
                </c:pt>
                <c:pt idx="7">
                  <c:v>1</c:v>
                </c:pt>
                <c:pt idx="8">
                  <c:v>1</c:v>
                </c:pt>
                <c:pt idx="9">
                  <c:v>2</c:v>
                </c:pt>
                <c:pt idx="10">
                  <c:v>2</c:v>
                </c:pt>
                <c:pt idx="11">
                  <c:v>6</c:v>
                </c:pt>
                <c:pt idx="12">
                  <c:v>3</c:v>
                </c:pt>
                <c:pt idx="13">
                  <c:v>4</c:v>
                </c:pt>
                <c:pt idx="14">
                  <c:v>3</c:v>
                </c:pt>
                <c:pt idx="15">
                  <c:v>4</c:v>
                </c:pt>
                <c:pt idx="16">
                  <c:v>4</c:v>
                </c:pt>
                <c:pt idx="17">
                  <c:v>5</c:v>
                </c:pt>
                <c:pt idx="18">
                  <c:v>5</c:v>
                </c:pt>
                <c:pt idx="19">
                  <c:v>6</c:v>
                </c:pt>
                <c:pt idx="20">
                  <c:v>6</c:v>
                </c:pt>
                <c:pt idx="21">
                  <c:v>7</c:v>
                </c:pt>
                <c:pt idx="22">
                  <c:v>7</c:v>
                </c:pt>
                <c:pt idx="23">
                  <c:v>8</c:v>
                </c:pt>
                <c:pt idx="24">
                  <c:v>9</c:v>
                </c:pt>
                <c:pt idx="25">
                  <c:v>9</c:v>
                </c:pt>
                <c:pt idx="26">
                  <c:v>11</c:v>
                </c:pt>
                <c:pt idx="27">
                  <c:v>11</c:v>
                </c:pt>
                <c:pt idx="28">
                  <c:v>14</c:v>
                </c:pt>
                <c:pt idx="29">
                  <c:v>14</c:v>
                </c:pt>
                <c:pt idx="30">
                  <c:v>18</c:v>
                </c:pt>
                <c:pt idx="31">
                  <c:v>22</c:v>
                </c:pt>
                <c:pt idx="32">
                  <c:v>32</c:v>
                </c:pt>
                <c:pt idx="33">
                  <c:v>34</c:v>
                </c:pt>
                <c:pt idx="34">
                  <c:v>56</c:v>
                </c:pt>
              </c:numCache>
            </c:numRef>
          </c:val>
          <c:extLst>
            <c:ext xmlns:c16="http://schemas.microsoft.com/office/drawing/2014/chart" uri="{C3380CC4-5D6E-409C-BE32-E72D297353CC}">
              <c16:uniqueId val="{00000000-08AA-478B-867A-4D12A652B616}"/>
            </c:ext>
          </c:extLst>
        </c:ser>
        <c:ser>
          <c:idx val="1"/>
          <c:order val="1"/>
          <c:tx>
            <c:strRef>
              <c:f>'Gráfico Proc-No proc por mater'!$C$2</c:f>
              <c:strCache>
                <c:ptCount val="1"/>
                <c:pt idx="0">
                  <c:v>Procesados</c:v>
                </c:pt>
              </c:strCache>
            </c:strRef>
          </c:tx>
          <c:spPr>
            <a:solidFill>
              <a:schemeClr val="accent2"/>
            </a:solidFill>
            <a:ln>
              <a:noFill/>
            </a:ln>
            <a:effectLst/>
          </c:spPr>
          <c:invertIfNegative val="0"/>
          <c:cat>
            <c:strRef>
              <c:f>'Gráfico Proc-No proc por mater'!$A$3:$A$37</c:f>
              <c:strCache>
                <c:ptCount val="35"/>
                <c:pt idx="0">
                  <c:v>F. Alcorcón</c:v>
                </c:pt>
                <c:pt idx="1">
                  <c:v>Henares</c:v>
                </c:pt>
                <c:pt idx="2">
                  <c:v>I. Leonor</c:v>
                </c:pt>
                <c:pt idx="3">
                  <c:v>Nisa Pardo</c:v>
                </c:pt>
                <c:pt idx="4">
                  <c:v>Sureste Arganda</c:v>
                </c:pt>
                <c:pt idx="5">
                  <c:v>Tajo</c:v>
                </c:pt>
                <c:pt idx="6">
                  <c:v>Zarzuela</c:v>
                </c:pt>
                <c:pt idx="7">
                  <c:v>I. Elena</c:v>
                </c:pt>
                <c:pt idx="8">
                  <c:v>Villalba</c:v>
                </c:pt>
                <c:pt idx="9">
                  <c:v>Móstoles</c:v>
                </c:pt>
                <c:pt idx="10">
                  <c:v>San Rafael</c:v>
                </c:pt>
                <c:pt idx="11">
                  <c:v>N. Belén</c:v>
                </c:pt>
                <c:pt idx="12">
                  <c:v>Ruber</c:v>
                </c:pt>
                <c:pt idx="13">
                  <c:v>Escorial</c:v>
                </c:pt>
                <c:pt idx="14">
                  <c:v>Getafe</c:v>
                </c:pt>
                <c:pt idx="15">
                  <c:v>R. Juan Carlos</c:v>
                </c:pt>
                <c:pt idx="16">
                  <c:v>Puerta de Hierro</c:v>
                </c:pt>
                <c:pt idx="17">
                  <c:v>P. Asturias</c:v>
                </c:pt>
                <c:pt idx="18">
                  <c:v>I. Cristina</c:v>
                </c:pt>
                <c:pt idx="19">
                  <c:v>Fuenlabrada</c:v>
                </c:pt>
                <c:pt idx="20">
                  <c:v>Q. Pozuelo</c:v>
                </c:pt>
                <c:pt idx="21">
                  <c:v>San José</c:v>
                </c:pt>
                <c:pt idx="22">
                  <c:v>Severo Ochoa</c:v>
                </c:pt>
                <c:pt idx="23">
                  <c:v>Clínico </c:v>
                </c:pt>
                <c:pt idx="24">
                  <c:v>FJD</c:v>
                </c:pt>
                <c:pt idx="25">
                  <c:v>La Milagrosa</c:v>
                </c:pt>
                <c:pt idx="26">
                  <c:v>Puerta del Sur</c:v>
                </c:pt>
                <c:pt idx="27">
                  <c:v>Torrejón</c:v>
                </c:pt>
                <c:pt idx="28">
                  <c:v>San Pedro </c:v>
                </c:pt>
                <c:pt idx="29">
                  <c:v>I. Sofía</c:v>
                </c:pt>
                <c:pt idx="30">
                  <c:v>Moraleja</c:v>
                </c:pt>
                <c:pt idx="31">
                  <c:v>Monteprincipe</c:v>
                </c:pt>
                <c:pt idx="32">
                  <c:v>Gregorio Marañón</c:v>
                </c:pt>
                <c:pt idx="33">
                  <c:v>Doce de octubre</c:v>
                </c:pt>
                <c:pt idx="34">
                  <c:v>La Paz</c:v>
                </c:pt>
              </c:strCache>
            </c:strRef>
          </c:cat>
          <c:val>
            <c:numRef>
              <c:f>'Gráfico Proc-No proc por mater'!$C$3:$C$37</c:f>
              <c:numCache>
                <c:formatCode>General</c:formatCode>
                <c:ptCount val="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0</c:v>
                </c:pt>
                <c:pt idx="16">
                  <c:v>0</c:v>
                </c:pt>
                <c:pt idx="17">
                  <c:v>0</c:v>
                </c:pt>
                <c:pt idx="18">
                  <c:v>0</c:v>
                </c:pt>
                <c:pt idx="19">
                  <c:v>2</c:v>
                </c:pt>
                <c:pt idx="20">
                  <c:v>3</c:v>
                </c:pt>
                <c:pt idx="21">
                  <c:v>4</c:v>
                </c:pt>
                <c:pt idx="22">
                  <c:v>1</c:v>
                </c:pt>
                <c:pt idx="23">
                  <c:v>4</c:v>
                </c:pt>
                <c:pt idx="24">
                  <c:v>3</c:v>
                </c:pt>
                <c:pt idx="25">
                  <c:v>0</c:v>
                </c:pt>
                <c:pt idx="26">
                  <c:v>1</c:v>
                </c:pt>
                <c:pt idx="27">
                  <c:v>0</c:v>
                </c:pt>
                <c:pt idx="28">
                  <c:v>2</c:v>
                </c:pt>
                <c:pt idx="29">
                  <c:v>3</c:v>
                </c:pt>
                <c:pt idx="30">
                  <c:v>4</c:v>
                </c:pt>
                <c:pt idx="31">
                  <c:v>2</c:v>
                </c:pt>
                <c:pt idx="32">
                  <c:v>7</c:v>
                </c:pt>
                <c:pt idx="33">
                  <c:v>6</c:v>
                </c:pt>
                <c:pt idx="34">
                  <c:v>5</c:v>
                </c:pt>
              </c:numCache>
            </c:numRef>
          </c:val>
          <c:extLst>
            <c:ext xmlns:c16="http://schemas.microsoft.com/office/drawing/2014/chart" uri="{C3380CC4-5D6E-409C-BE32-E72D297353CC}">
              <c16:uniqueId val="{00000001-08AA-478B-867A-4D12A652B616}"/>
            </c:ext>
          </c:extLst>
        </c:ser>
        <c:dLbls>
          <c:showLegendKey val="0"/>
          <c:showVal val="0"/>
          <c:showCatName val="0"/>
          <c:showSerName val="0"/>
          <c:showPercent val="0"/>
          <c:showBubbleSize val="0"/>
        </c:dLbls>
        <c:gapWidth val="150"/>
        <c:overlap val="100"/>
        <c:axId val="339212168"/>
        <c:axId val="341009824"/>
      </c:barChart>
      <c:catAx>
        <c:axId val="339212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1009824"/>
        <c:crosses val="autoZero"/>
        <c:auto val="1"/>
        <c:lblAlgn val="ctr"/>
        <c:lblOffset val="100"/>
        <c:noMultiLvlLbl val="0"/>
      </c:catAx>
      <c:valAx>
        <c:axId val="341009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921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s-ES" sz="1100"/>
              <a:t>Incidentes en donación en</a:t>
            </a:r>
            <a:r>
              <a:rPr lang="es-ES" sz="1100" baseline="0"/>
              <a:t> Madrid</a:t>
            </a:r>
            <a:endParaRPr lang="es-ES" sz="1100"/>
          </a:p>
        </c:rich>
      </c:tx>
      <c:overlay val="0"/>
    </c:title>
    <c:autoTitleDeleted val="0"/>
    <c:plotArea>
      <c:layout/>
      <c:barChart>
        <c:barDir val="col"/>
        <c:grouping val="clustered"/>
        <c:varyColors val="0"/>
        <c:ser>
          <c:idx val="0"/>
          <c:order val="0"/>
          <c:tx>
            <c:strRef>
              <c:f>Hoja1!$B$1</c:f>
              <c:strCache>
                <c:ptCount val="1"/>
                <c:pt idx="0">
                  <c:v>Incidentes en donación</c:v>
                </c:pt>
              </c:strCache>
            </c:strRef>
          </c:tx>
          <c:spPr>
            <a:solidFill>
              <a:schemeClr val="accent1"/>
            </a:solidFill>
          </c:spPr>
          <c:invertIfNegative val="0"/>
          <c:dPt>
            <c:idx val="7"/>
            <c:invertIfNegative val="0"/>
            <c:bubble3D val="0"/>
            <c:spPr>
              <a:solidFill>
                <a:schemeClr val="accent1"/>
              </a:solidFill>
            </c:spPr>
            <c:extLst>
              <c:ext xmlns:c16="http://schemas.microsoft.com/office/drawing/2014/chart" uri="{C3380CC4-5D6E-409C-BE32-E72D297353CC}">
                <c16:uniqueId val="{00000001-0FDA-4E63-9263-E85A41F18EF7}"/>
              </c:ext>
            </c:extLst>
          </c:dPt>
          <c:dPt>
            <c:idx val="8"/>
            <c:invertIfNegative val="0"/>
            <c:bubble3D val="0"/>
            <c:spPr>
              <a:solidFill>
                <a:schemeClr val="accent1"/>
              </a:solidFill>
            </c:spPr>
            <c:extLst>
              <c:ext xmlns:c16="http://schemas.microsoft.com/office/drawing/2014/chart" uri="{C3380CC4-5D6E-409C-BE32-E72D297353CC}">
                <c16:uniqueId val="{00000003-0FDA-4E63-9263-E85A41F18EF7}"/>
              </c:ext>
            </c:extLst>
          </c:dPt>
          <c:dPt>
            <c:idx val="9"/>
            <c:invertIfNegative val="0"/>
            <c:bubble3D val="0"/>
            <c:spPr>
              <a:solidFill>
                <a:srgbClr val="00B050"/>
              </a:solidFill>
            </c:spPr>
            <c:extLst>
              <c:ext xmlns:c16="http://schemas.microsoft.com/office/drawing/2014/chart" uri="{C3380CC4-5D6E-409C-BE32-E72D297353CC}">
                <c16:uniqueId val="{00000005-0FDA-4E63-9263-E85A41F18EF7}"/>
              </c:ext>
            </c:extLst>
          </c:dPt>
          <c:dLbls>
            <c:dLbl>
              <c:idx val="7"/>
              <c:layout>
                <c:manualLayout>
                  <c:x val="1.4111006585136407E-2"/>
                  <c:y val="-4.03144527313045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DA-4E63-9263-E85A41F18EF7}"/>
                </c:ext>
              </c:extLst>
            </c:dLbl>
            <c:dLbl>
              <c:idx val="9"/>
              <c:tx>
                <c:rich>
                  <a:bodyPr/>
                  <a:lstStyle/>
                  <a:p>
                    <a:r>
                      <a:rPr lang="en-US"/>
                      <a:t>931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FDA-4E63-9263-E85A41F18EF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a:solidFill>
                  <a:srgbClr val="FF0000"/>
                </a:solidFill>
              </a:ln>
            </c:spPr>
            <c:trendlineType val="movingAvg"/>
            <c:period val="2"/>
            <c:dispRSqr val="0"/>
            <c:dispEq val="0"/>
          </c:trendline>
          <c:cat>
            <c:numRef>
              <c:f>Hoja1!$A$2:$A$11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Hoja1!$B$2:$B$11</c:f>
              <c:numCache>
                <c:formatCode>General</c:formatCode>
                <c:ptCount val="10"/>
                <c:pt idx="0">
                  <c:v>134</c:v>
                </c:pt>
                <c:pt idx="1">
                  <c:v>145</c:v>
                </c:pt>
                <c:pt idx="2">
                  <c:v>195</c:v>
                </c:pt>
                <c:pt idx="3">
                  <c:v>338</c:v>
                </c:pt>
                <c:pt idx="4">
                  <c:v>974</c:v>
                </c:pt>
                <c:pt idx="5">
                  <c:v>817</c:v>
                </c:pt>
                <c:pt idx="6">
                  <c:v>817</c:v>
                </c:pt>
                <c:pt idx="7">
                  <c:v>1266</c:v>
                </c:pt>
                <c:pt idx="8">
                  <c:v>1188</c:v>
                </c:pt>
                <c:pt idx="9">
                  <c:v>931</c:v>
                </c:pt>
              </c:numCache>
            </c:numRef>
          </c:val>
          <c:extLst>
            <c:ext xmlns:c16="http://schemas.microsoft.com/office/drawing/2014/chart" uri="{C3380CC4-5D6E-409C-BE32-E72D297353CC}">
              <c16:uniqueId val="{00000006-0FDA-4E63-9263-E85A41F18EF7}"/>
            </c:ext>
          </c:extLst>
        </c:ser>
        <c:dLbls>
          <c:showLegendKey val="0"/>
          <c:showVal val="0"/>
          <c:showCatName val="0"/>
          <c:showSerName val="0"/>
          <c:showPercent val="0"/>
          <c:showBubbleSize val="0"/>
        </c:dLbls>
        <c:gapWidth val="150"/>
        <c:axId val="907864680"/>
        <c:axId val="907865072"/>
      </c:barChart>
      <c:catAx>
        <c:axId val="907864680"/>
        <c:scaling>
          <c:orientation val="minMax"/>
        </c:scaling>
        <c:delete val="0"/>
        <c:axPos val="b"/>
        <c:numFmt formatCode="General" sourceLinked="1"/>
        <c:majorTickMark val="out"/>
        <c:minorTickMark val="none"/>
        <c:tickLblPos val="nextTo"/>
        <c:crossAx val="907865072"/>
        <c:crosses val="autoZero"/>
        <c:auto val="1"/>
        <c:lblAlgn val="ctr"/>
        <c:lblOffset val="100"/>
        <c:noMultiLvlLbl val="0"/>
      </c:catAx>
      <c:valAx>
        <c:axId val="907865072"/>
        <c:scaling>
          <c:orientation val="minMax"/>
        </c:scaling>
        <c:delete val="0"/>
        <c:axPos val="l"/>
        <c:majorGridlines/>
        <c:numFmt formatCode="General" sourceLinked="1"/>
        <c:majorTickMark val="out"/>
        <c:minorTickMark val="none"/>
        <c:tickLblPos val="nextTo"/>
        <c:crossAx val="907864680"/>
        <c:crosses val="autoZero"/>
        <c:crossBetween val="between"/>
      </c:valAx>
      <c:spPr>
        <a:ln>
          <a:solidFill>
            <a:schemeClr val="accent1"/>
          </a:solidFill>
        </a:ln>
      </c:spPr>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Tasa de</a:t>
            </a:r>
            <a:r>
              <a:rPr lang="en-US" sz="1100" baseline="0"/>
              <a:t> incidentes en donación</a:t>
            </a:r>
            <a:endParaRPr lang="en-US" sz="1100"/>
          </a:p>
        </c:rich>
      </c:tx>
      <c:overlay val="0"/>
    </c:title>
    <c:autoTitleDeleted val="0"/>
    <c:plotArea>
      <c:layout/>
      <c:barChart>
        <c:barDir val="col"/>
        <c:grouping val="clustered"/>
        <c:varyColors val="0"/>
        <c:ser>
          <c:idx val="0"/>
          <c:order val="0"/>
          <c:tx>
            <c:strRef>
              <c:f>Hoja1!$B$1</c:f>
              <c:strCache>
                <c:ptCount val="1"/>
                <c:pt idx="0">
                  <c:v>Madrid</c:v>
                </c:pt>
              </c:strCache>
            </c:strRef>
          </c:tx>
          <c:invertIfNegative val="0"/>
          <c:dLbls>
            <c:dLbl>
              <c:idx val="1"/>
              <c:layout>
                <c:manualLayout>
                  <c:x val="-7.0555032925682035E-3"/>
                  <c:y val="1.2094335819391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37-4281-BA63-56B0735C1085}"/>
                </c:ext>
              </c:extLst>
            </c:dLbl>
            <c:dLbl>
              <c:idx val="2"/>
              <c:layout>
                <c:manualLayout>
                  <c:x val="4.311646648059452E-17"/>
                  <c:y val="1.2094335819391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37-4281-BA63-56B0735C1085}"/>
                </c:ext>
              </c:extLst>
            </c:dLbl>
            <c:dLbl>
              <c:idx val="3"/>
              <c:layout>
                <c:manualLayout>
                  <c:x val="-7.0555032925682893E-3"/>
                  <c:y val="-8.06289054626083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37-4281-BA63-56B0735C1085}"/>
                </c:ext>
              </c:extLst>
            </c:dLbl>
            <c:dLbl>
              <c:idx val="4"/>
              <c:layout>
                <c:manualLayout>
                  <c:x val="-1.4111006585136407E-2"/>
                  <c:y val="-3.6283007458173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37-4281-BA63-56B0735C1085}"/>
                </c:ext>
              </c:extLst>
            </c:dLbl>
            <c:dLbl>
              <c:idx val="5"/>
              <c:layout>
                <c:manualLayout>
                  <c:x val="-9.4073377234242701E-3"/>
                  <c:y val="4.03144527313041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37-4281-BA63-56B0735C108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Hoja1!$A$2:$A$9</c:f>
              <c:numCache>
                <c:formatCode>General</c:formatCode>
                <c:ptCount val="8"/>
                <c:pt idx="0">
                  <c:v>2013</c:v>
                </c:pt>
                <c:pt idx="1">
                  <c:v>2014</c:v>
                </c:pt>
                <c:pt idx="2">
                  <c:v>2015</c:v>
                </c:pt>
                <c:pt idx="3">
                  <c:v>2016</c:v>
                </c:pt>
                <c:pt idx="4">
                  <c:v>2017</c:v>
                </c:pt>
                <c:pt idx="5">
                  <c:v>2018</c:v>
                </c:pt>
                <c:pt idx="6">
                  <c:v>2019</c:v>
                </c:pt>
                <c:pt idx="7">
                  <c:v>2020</c:v>
                </c:pt>
              </c:numCache>
            </c:numRef>
          </c:cat>
          <c:val>
            <c:numRef>
              <c:f>Hoja1!$B$2:$B$9</c:f>
              <c:numCache>
                <c:formatCode>General</c:formatCode>
                <c:ptCount val="8"/>
                <c:pt idx="0">
                  <c:v>28</c:v>
                </c:pt>
                <c:pt idx="1">
                  <c:v>15.8</c:v>
                </c:pt>
                <c:pt idx="2">
                  <c:v>40</c:v>
                </c:pt>
                <c:pt idx="3">
                  <c:v>32.1</c:v>
                </c:pt>
                <c:pt idx="4">
                  <c:v>33.18</c:v>
                </c:pt>
                <c:pt idx="5">
                  <c:v>51.52</c:v>
                </c:pt>
                <c:pt idx="6">
                  <c:v>50.07</c:v>
                </c:pt>
                <c:pt idx="7">
                  <c:v>39.82</c:v>
                </c:pt>
              </c:numCache>
            </c:numRef>
          </c:val>
          <c:extLst>
            <c:ext xmlns:c16="http://schemas.microsoft.com/office/drawing/2014/chart" uri="{C3380CC4-5D6E-409C-BE32-E72D297353CC}">
              <c16:uniqueId val="{00000005-9237-4281-BA63-56B0735C1085}"/>
            </c:ext>
          </c:extLst>
        </c:ser>
        <c:ser>
          <c:idx val="1"/>
          <c:order val="1"/>
          <c:tx>
            <c:strRef>
              <c:f>Hoja1!$C$1</c:f>
              <c:strCache>
                <c:ptCount val="1"/>
                <c:pt idx="0">
                  <c:v>España</c:v>
                </c:pt>
              </c:strCache>
            </c:strRef>
          </c:tx>
          <c:invertIfNegative val="0"/>
          <c:dLbls>
            <c:dLbl>
              <c:idx val="1"/>
              <c:layout>
                <c:manualLayout>
                  <c:x val="-4.311646648059452E-17"/>
                  <c:y val="1.2094335819391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37-4281-BA63-56B0735C1085}"/>
                </c:ext>
              </c:extLst>
            </c:dLbl>
            <c:dLbl>
              <c:idx val="2"/>
              <c:layout>
                <c:manualLayout>
                  <c:x val="-2.3518344308561538E-3"/>
                  <c:y val="-1.2094335819391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37-4281-BA63-56B0735C1085}"/>
                </c:ext>
              </c:extLst>
            </c:dLbl>
            <c:dLbl>
              <c:idx val="4"/>
              <c:layout>
                <c:manualLayout>
                  <c:x val="0"/>
                  <c:y val="-2.8220116911912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37-4281-BA63-56B0735C1085}"/>
                </c:ext>
              </c:extLst>
            </c:dLbl>
            <c:dLbl>
              <c:idx val="5"/>
              <c:layout>
                <c:manualLayout>
                  <c:x val="1.881467544684845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37-4281-BA63-56B0735C108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Hoja1!$A$2:$A$9</c:f>
              <c:numCache>
                <c:formatCode>General</c:formatCode>
                <c:ptCount val="8"/>
                <c:pt idx="0">
                  <c:v>2013</c:v>
                </c:pt>
                <c:pt idx="1">
                  <c:v>2014</c:v>
                </c:pt>
                <c:pt idx="2">
                  <c:v>2015</c:v>
                </c:pt>
                <c:pt idx="3">
                  <c:v>2016</c:v>
                </c:pt>
                <c:pt idx="4">
                  <c:v>2017</c:v>
                </c:pt>
                <c:pt idx="5">
                  <c:v>2018</c:v>
                </c:pt>
                <c:pt idx="6">
                  <c:v>2019</c:v>
                </c:pt>
                <c:pt idx="7">
                  <c:v>2020</c:v>
                </c:pt>
              </c:numCache>
            </c:numRef>
          </c:cat>
          <c:val>
            <c:numRef>
              <c:f>Hoja1!$C$2:$C$9</c:f>
              <c:numCache>
                <c:formatCode>General</c:formatCode>
                <c:ptCount val="8"/>
                <c:pt idx="0">
                  <c:v>54</c:v>
                </c:pt>
                <c:pt idx="1">
                  <c:v>49</c:v>
                </c:pt>
                <c:pt idx="2">
                  <c:v>58</c:v>
                </c:pt>
                <c:pt idx="3">
                  <c:v>77</c:v>
                </c:pt>
                <c:pt idx="4">
                  <c:v>67</c:v>
                </c:pt>
                <c:pt idx="5">
                  <c:v>54</c:v>
                </c:pt>
                <c:pt idx="6">
                  <c:v>40</c:v>
                </c:pt>
              </c:numCache>
            </c:numRef>
          </c:val>
          <c:extLst>
            <c:ext xmlns:c16="http://schemas.microsoft.com/office/drawing/2014/chart" uri="{C3380CC4-5D6E-409C-BE32-E72D297353CC}">
              <c16:uniqueId val="{0000000A-9237-4281-BA63-56B0735C1085}"/>
            </c:ext>
          </c:extLst>
        </c:ser>
        <c:dLbls>
          <c:showLegendKey val="0"/>
          <c:showVal val="0"/>
          <c:showCatName val="0"/>
          <c:showSerName val="0"/>
          <c:showPercent val="0"/>
          <c:showBubbleSize val="0"/>
        </c:dLbls>
        <c:gapWidth val="150"/>
        <c:axId val="907863112"/>
        <c:axId val="907863504"/>
      </c:barChart>
      <c:catAx>
        <c:axId val="907863112"/>
        <c:scaling>
          <c:orientation val="minMax"/>
        </c:scaling>
        <c:delete val="0"/>
        <c:axPos val="b"/>
        <c:numFmt formatCode="General" sourceLinked="1"/>
        <c:majorTickMark val="none"/>
        <c:minorTickMark val="none"/>
        <c:tickLblPos val="nextTo"/>
        <c:crossAx val="907863504"/>
        <c:crosses val="autoZero"/>
        <c:auto val="1"/>
        <c:lblAlgn val="ctr"/>
        <c:lblOffset val="100"/>
        <c:noMultiLvlLbl val="0"/>
      </c:catAx>
      <c:valAx>
        <c:axId val="907863504"/>
        <c:scaling>
          <c:orientation val="minMax"/>
        </c:scaling>
        <c:delete val="0"/>
        <c:axPos val="l"/>
        <c:majorGridlines/>
        <c:numFmt formatCode="General" sourceLinked="1"/>
        <c:majorTickMark val="out"/>
        <c:minorTickMark val="none"/>
        <c:tickLblPos val="nextTo"/>
        <c:crossAx val="907863112"/>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Incidentes según tipo de donación</a:t>
            </a:r>
          </a:p>
        </c:rich>
      </c:tx>
      <c:layout>
        <c:manualLayout>
          <c:xMode val="edge"/>
          <c:yMode val="edge"/>
          <c:x val="0.14730648197771112"/>
          <c:y val="2.4169184290030159E-2"/>
        </c:manualLayout>
      </c:layout>
      <c:overlay val="0"/>
    </c:title>
    <c:autoTitleDeleted val="0"/>
    <c:plotArea>
      <c:layout/>
      <c:pieChart>
        <c:varyColors val="1"/>
        <c:ser>
          <c:idx val="0"/>
          <c:order val="0"/>
          <c:tx>
            <c:strRef>
              <c:f>Hoja1!$B$1</c:f>
              <c:strCache>
                <c:ptCount val="1"/>
                <c:pt idx="0">
                  <c:v>Incidentes relacionados con la donación</c:v>
                </c:pt>
              </c:strCache>
            </c:strRef>
          </c:tx>
          <c:dLbls>
            <c:dLbl>
              <c:idx val="0"/>
              <c:layout>
                <c:manualLayout>
                  <c:x val="6.5343034496040883E-3"/>
                  <c:y val="-9.45231070063027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D0-41BC-A64D-5B1C1578AE14}"/>
                </c:ext>
              </c:extLst>
            </c:dLbl>
            <c:dLbl>
              <c:idx val="1"/>
              <c:layout>
                <c:manualLayout>
                  <c:x val="-8.6878986081584592E-4"/>
                  <c:y val="-1.703396730720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D0-41BC-A64D-5B1C1578AE14}"/>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Hoja1!$A$2:$A$3</c:f>
              <c:strCache>
                <c:ptCount val="2"/>
                <c:pt idx="0">
                  <c:v>Sangre total</c:v>
                </c:pt>
                <c:pt idx="1">
                  <c:v>Aféresis</c:v>
                </c:pt>
              </c:strCache>
            </c:strRef>
          </c:cat>
          <c:val>
            <c:numRef>
              <c:f>Hoja1!$B$2:$B$3</c:f>
              <c:numCache>
                <c:formatCode>General</c:formatCode>
                <c:ptCount val="2"/>
                <c:pt idx="0">
                  <c:v>588</c:v>
                </c:pt>
                <c:pt idx="1">
                  <c:v>343</c:v>
                </c:pt>
              </c:numCache>
            </c:numRef>
          </c:val>
          <c:extLst>
            <c:ext xmlns:c16="http://schemas.microsoft.com/office/drawing/2014/chart" uri="{C3380CC4-5D6E-409C-BE32-E72D297353CC}">
              <c16:uniqueId val="{00000002-4BD0-41BC-A64D-5B1C1578AE14}"/>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5044795964474365"/>
          <c:y val="0.38471923523165774"/>
          <c:w val="0.15547866312101394"/>
          <c:h val="0.14568308870756724"/>
        </c:manualLayout>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Sangre total</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Hoja1!$A$2:$A$5</c:f>
              <c:strCache>
                <c:ptCount val="4"/>
                <c:pt idx="0">
                  <c:v>1ª vez</c:v>
                </c:pt>
                <c:pt idx="1">
                  <c:v>Ocasional </c:v>
                </c:pt>
                <c:pt idx="2">
                  <c:v>Habitual</c:v>
                </c:pt>
                <c:pt idx="3">
                  <c:v>Autodon.</c:v>
                </c:pt>
              </c:strCache>
            </c:strRef>
          </c:cat>
          <c:val>
            <c:numRef>
              <c:f>Hoja1!$B$2:$B$5</c:f>
              <c:numCache>
                <c:formatCode>General</c:formatCode>
                <c:ptCount val="4"/>
                <c:pt idx="0">
                  <c:v>255</c:v>
                </c:pt>
                <c:pt idx="1">
                  <c:v>196</c:v>
                </c:pt>
                <c:pt idx="2">
                  <c:v>136</c:v>
                </c:pt>
                <c:pt idx="3">
                  <c:v>1</c:v>
                </c:pt>
              </c:numCache>
            </c:numRef>
          </c:val>
          <c:extLst>
            <c:ext xmlns:c16="http://schemas.microsoft.com/office/drawing/2014/chart" uri="{C3380CC4-5D6E-409C-BE32-E72D297353CC}">
              <c16:uniqueId val="{00000000-B4CA-4BFD-885C-2E7B7A0E4BD5}"/>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Aféresis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Hoja1!$A$2:$A$4</c:f>
              <c:strCache>
                <c:ptCount val="3"/>
                <c:pt idx="0">
                  <c:v>1ª vez</c:v>
                </c:pt>
                <c:pt idx="1">
                  <c:v>Ocasional</c:v>
                </c:pt>
                <c:pt idx="2">
                  <c:v>Habitual</c:v>
                </c:pt>
              </c:strCache>
            </c:strRef>
          </c:cat>
          <c:val>
            <c:numRef>
              <c:f>Hoja1!$B$2:$B$4</c:f>
              <c:numCache>
                <c:formatCode>General</c:formatCode>
                <c:ptCount val="3"/>
                <c:pt idx="0">
                  <c:v>84</c:v>
                </c:pt>
                <c:pt idx="1">
                  <c:v>62</c:v>
                </c:pt>
                <c:pt idx="2">
                  <c:v>197</c:v>
                </c:pt>
              </c:numCache>
            </c:numRef>
          </c:val>
          <c:extLst>
            <c:ext xmlns:c16="http://schemas.microsoft.com/office/drawing/2014/chart" uri="{C3380CC4-5D6E-409C-BE32-E72D297353CC}">
              <c16:uniqueId val="{00000000-9A0D-42FD-9443-26E62BE8748E}"/>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[Unidades Extraidas ENERO-DICIEMBRE 2020.xlsx]Hoja2!Tabla dinámica9</c:name>
    <c:fmtId val="-1"/>
  </c:pivotSource>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r>
              <a:rPr lang="es-ES"/>
              <a:t>CTCM</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endParaRPr lang="es-E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s>
    <c:plotArea>
      <c:layout/>
      <c:barChart>
        <c:barDir val="col"/>
        <c:grouping val="clustered"/>
        <c:varyColors val="0"/>
        <c:ser>
          <c:idx val="0"/>
          <c:order val="0"/>
          <c:tx>
            <c:strRef>
              <c:f>Hoja2!$B$17:$B$18</c:f>
              <c:strCache>
                <c:ptCount val="1"/>
                <c:pt idx="0">
                  <c:v>2019</c:v>
                </c:pt>
              </c:strCache>
            </c:strRef>
          </c:tx>
          <c:spPr>
            <a:solidFill>
              <a:schemeClr val="tx2">
                <a:lumMod val="40000"/>
                <a:lumOff val="60000"/>
              </a:schemeClr>
            </a:solidFill>
            <a:ln>
              <a:noFill/>
            </a:ln>
            <a:effectLst/>
          </c:spPr>
          <c:invertIfNegative val="0"/>
          <c:cat>
            <c:multiLvlStrRef>
              <c:f>Hoja2!$A$19:$A$32</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CTCM</c:v>
                  </c:pt>
                </c:lvl>
              </c:multiLvlStrCache>
            </c:multiLvlStrRef>
          </c:cat>
          <c:val>
            <c:numRef>
              <c:f>Hoja2!$B$19:$B$32</c:f>
              <c:numCache>
                <c:formatCode>General</c:formatCode>
                <c:ptCount val="12"/>
                <c:pt idx="0">
                  <c:v>615</c:v>
                </c:pt>
                <c:pt idx="1">
                  <c:v>493</c:v>
                </c:pt>
                <c:pt idx="2">
                  <c:v>482</c:v>
                </c:pt>
                <c:pt idx="3">
                  <c:v>467</c:v>
                </c:pt>
                <c:pt idx="4">
                  <c:v>581</c:v>
                </c:pt>
                <c:pt idx="5">
                  <c:v>380</c:v>
                </c:pt>
                <c:pt idx="6">
                  <c:v>616</c:v>
                </c:pt>
                <c:pt idx="7">
                  <c:v>712</c:v>
                </c:pt>
                <c:pt idx="8">
                  <c:v>590</c:v>
                </c:pt>
                <c:pt idx="9">
                  <c:v>478</c:v>
                </c:pt>
                <c:pt idx="10">
                  <c:v>383</c:v>
                </c:pt>
                <c:pt idx="11">
                  <c:v>726</c:v>
                </c:pt>
              </c:numCache>
            </c:numRef>
          </c:val>
          <c:extLst>
            <c:ext xmlns:c16="http://schemas.microsoft.com/office/drawing/2014/chart" uri="{C3380CC4-5D6E-409C-BE32-E72D297353CC}">
              <c16:uniqueId val="{00000000-FB87-4737-B50F-F0CBCF25344C}"/>
            </c:ext>
          </c:extLst>
        </c:ser>
        <c:ser>
          <c:idx val="1"/>
          <c:order val="1"/>
          <c:tx>
            <c:strRef>
              <c:f>Hoja2!$C$17:$C$18</c:f>
              <c:strCache>
                <c:ptCount val="1"/>
                <c:pt idx="0">
                  <c:v>2020</c:v>
                </c:pt>
              </c:strCache>
            </c:strRef>
          </c:tx>
          <c:spPr>
            <a:solidFill>
              <a:schemeClr val="tx2">
                <a:lumMod val="60000"/>
                <a:lumOff val="40000"/>
              </a:schemeClr>
            </a:solidFill>
            <a:ln>
              <a:noFill/>
            </a:ln>
            <a:effectLst/>
          </c:spPr>
          <c:invertIfNegative val="0"/>
          <c:cat>
            <c:multiLvlStrRef>
              <c:f>Hoja2!$A$19:$A$32</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CTCM</c:v>
                  </c:pt>
                </c:lvl>
              </c:multiLvlStrCache>
            </c:multiLvlStrRef>
          </c:cat>
          <c:val>
            <c:numRef>
              <c:f>Hoja2!$C$19:$C$32</c:f>
              <c:numCache>
                <c:formatCode>General</c:formatCode>
                <c:ptCount val="12"/>
                <c:pt idx="0">
                  <c:v>868</c:v>
                </c:pt>
                <c:pt idx="1">
                  <c:v>613</c:v>
                </c:pt>
                <c:pt idx="2">
                  <c:v>1137</c:v>
                </c:pt>
                <c:pt idx="3">
                  <c:v>1183</c:v>
                </c:pt>
                <c:pt idx="4">
                  <c:v>2534</c:v>
                </c:pt>
                <c:pt idx="5">
                  <c:v>1380</c:v>
                </c:pt>
                <c:pt idx="6">
                  <c:v>1024</c:v>
                </c:pt>
                <c:pt idx="7">
                  <c:v>1474</c:v>
                </c:pt>
                <c:pt idx="8">
                  <c:v>1483</c:v>
                </c:pt>
                <c:pt idx="9">
                  <c:v>1978</c:v>
                </c:pt>
                <c:pt idx="10">
                  <c:v>1420</c:v>
                </c:pt>
                <c:pt idx="11">
                  <c:v>1415</c:v>
                </c:pt>
              </c:numCache>
            </c:numRef>
          </c:val>
          <c:extLst>
            <c:ext xmlns:c16="http://schemas.microsoft.com/office/drawing/2014/chart" uri="{C3380CC4-5D6E-409C-BE32-E72D297353CC}">
              <c16:uniqueId val="{00000001-FB87-4737-B50F-F0CBCF25344C}"/>
            </c:ext>
          </c:extLst>
        </c:ser>
        <c:dLbls>
          <c:showLegendKey val="0"/>
          <c:showVal val="0"/>
          <c:showCatName val="0"/>
          <c:showSerName val="0"/>
          <c:showPercent val="0"/>
          <c:showBubbleSize val="0"/>
        </c:dLbls>
        <c:gapWidth val="150"/>
        <c:axId val="300135256"/>
        <c:axId val="300134472"/>
      </c:barChart>
      <c:catAx>
        <c:axId val="300135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00134472"/>
        <c:crosses val="autoZero"/>
        <c:auto val="1"/>
        <c:lblAlgn val="ctr"/>
        <c:lblOffset val="100"/>
        <c:noMultiLvlLbl val="0"/>
      </c:catAx>
      <c:valAx>
        <c:axId val="300134472"/>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00135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ontserrat" panose="00000500000000000000" pitchFamily="2" charset="0"/>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t>Sangre total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8072897939905577"/>
          <c:y val="0.19713174723368052"/>
          <c:w val="0.35213296257449039"/>
          <c:h val="0.58428338690346959"/>
        </c:manualLayout>
      </c:layout>
      <c:pieChart>
        <c:varyColors val="1"/>
        <c:ser>
          <c:idx val="0"/>
          <c:order val="0"/>
          <c:tx>
            <c:strRef>
              <c:f>Hoja1!$B$1</c:f>
              <c:strCache>
                <c:ptCount val="1"/>
                <c:pt idx="0">
                  <c:v>Sangre total</c:v>
                </c:pt>
              </c:strCache>
            </c:strRef>
          </c:tx>
          <c:spPr>
            <a:ln>
              <a:noFill/>
            </a:ln>
          </c:spPr>
          <c:dPt>
            <c:idx val="0"/>
            <c:bubble3D val="0"/>
            <c:spPr>
              <a:solidFill>
                <a:schemeClr val="accent1"/>
              </a:solidFill>
              <a:ln w="19050">
                <a:noFill/>
              </a:ln>
              <a:effectLst/>
            </c:spPr>
            <c:extLst>
              <c:ext xmlns:c16="http://schemas.microsoft.com/office/drawing/2014/chart" uri="{C3380CC4-5D6E-409C-BE32-E72D297353CC}">
                <c16:uniqueId val="{00000001-388A-40FC-9916-3C2B35D68CCB}"/>
              </c:ext>
            </c:extLst>
          </c:dPt>
          <c:dPt>
            <c:idx val="1"/>
            <c:bubble3D val="0"/>
            <c:spPr>
              <a:solidFill>
                <a:schemeClr val="accent2"/>
              </a:solidFill>
              <a:ln w="19050">
                <a:noFill/>
              </a:ln>
              <a:effectLst/>
            </c:spPr>
            <c:extLst>
              <c:ext xmlns:c16="http://schemas.microsoft.com/office/drawing/2014/chart" uri="{C3380CC4-5D6E-409C-BE32-E72D297353CC}">
                <c16:uniqueId val="{00000003-388A-40FC-9916-3C2B35D68CCB}"/>
              </c:ext>
            </c:extLst>
          </c:dPt>
          <c:dPt>
            <c:idx val="2"/>
            <c:bubble3D val="0"/>
            <c:spPr>
              <a:solidFill>
                <a:schemeClr val="accent3"/>
              </a:solidFill>
              <a:ln w="19050">
                <a:noFill/>
              </a:ln>
              <a:effectLst/>
            </c:spPr>
            <c:extLst>
              <c:ext xmlns:c16="http://schemas.microsoft.com/office/drawing/2014/chart" uri="{C3380CC4-5D6E-409C-BE32-E72D297353CC}">
                <c16:uniqueId val="{00000005-388A-40FC-9916-3C2B35D68CCB}"/>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8A-40FC-9916-3C2B35D68CC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88A-40FC-9916-3C2B35D68CCB}"/>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88A-40FC-9916-3C2B35D68C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extLst>
          </c:dLbls>
          <c:cat>
            <c:strRef>
              <c:f>Hoja1!$A$2:$A$4</c:f>
              <c:strCache>
                <c:ptCount val="3"/>
                <c:pt idx="0">
                  <c:v>Unidad móvil</c:v>
                </c:pt>
                <c:pt idx="1">
                  <c:v>Centro/hospital</c:v>
                </c:pt>
                <c:pt idx="2">
                  <c:v>Local acondicionado</c:v>
                </c:pt>
              </c:strCache>
            </c:strRef>
          </c:cat>
          <c:val>
            <c:numRef>
              <c:f>Hoja1!$B$2:$B$4</c:f>
              <c:numCache>
                <c:formatCode>General</c:formatCode>
                <c:ptCount val="3"/>
                <c:pt idx="0">
                  <c:v>297</c:v>
                </c:pt>
                <c:pt idx="1">
                  <c:v>249</c:v>
                </c:pt>
                <c:pt idx="2">
                  <c:v>42</c:v>
                </c:pt>
              </c:numCache>
            </c:numRef>
          </c:val>
          <c:extLst>
            <c:ext xmlns:c16="http://schemas.microsoft.com/office/drawing/2014/chart" uri="{C3380CC4-5D6E-409C-BE32-E72D297353CC}">
              <c16:uniqueId val="{00000006-388A-40FC-9916-3C2B35D68CCB}"/>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Entry>
      <c:legendEntry>
        <c:idx val="1"/>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Entry>
      <c:legendEntry>
        <c:idx val="2"/>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Entry>
      <c:layout>
        <c:manualLayout>
          <c:xMode val="edge"/>
          <c:yMode val="edge"/>
          <c:x val="0.65672950702831967"/>
          <c:y val="0.34599812548649977"/>
          <c:w val="0.34312007608073586"/>
          <c:h val="0.313271096661000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3175" cap="flat" cmpd="sng" algn="ctr">
      <a:solidFill>
        <a:schemeClr val="tx1"/>
      </a:solidFill>
      <a:round/>
    </a:ln>
    <a:effectLst/>
  </c:spPr>
  <c:txPr>
    <a:bodyPr/>
    <a:lstStyle/>
    <a:p>
      <a:pPr>
        <a:defRPr/>
      </a:pPr>
      <a:endParaRPr lang="es-E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Sangre total</c:v>
                </c:pt>
              </c:strCache>
            </c:strRef>
          </c:tx>
          <c:cat>
            <c:strRef>
              <c:f>Hoja1!$A$2:$A$8</c:f>
              <c:strCache>
                <c:ptCount val="7"/>
                <c:pt idx="0">
                  <c:v>RVV inmediata</c:v>
                </c:pt>
                <c:pt idx="1">
                  <c:v>RVV retardada</c:v>
                </c:pt>
                <c:pt idx="2">
                  <c:v>Probl. Acceso venoso</c:v>
                </c:pt>
                <c:pt idx="3">
                  <c:v>Hematoma</c:v>
                </c:pt>
                <c:pt idx="4">
                  <c:v>Punción arterial</c:v>
                </c:pt>
                <c:pt idx="5">
                  <c:v>Sangrado retardado</c:v>
                </c:pt>
                <c:pt idx="6">
                  <c:v>alta voluntaria</c:v>
                </c:pt>
              </c:strCache>
            </c:strRef>
          </c:cat>
          <c:val>
            <c:numRef>
              <c:f>Hoja1!$B$2:$B$8</c:f>
              <c:numCache>
                <c:formatCode>General</c:formatCode>
                <c:ptCount val="7"/>
                <c:pt idx="0">
                  <c:v>540</c:v>
                </c:pt>
                <c:pt idx="1">
                  <c:v>14</c:v>
                </c:pt>
                <c:pt idx="2">
                  <c:v>15</c:v>
                </c:pt>
                <c:pt idx="3">
                  <c:v>13</c:v>
                </c:pt>
                <c:pt idx="4">
                  <c:v>3</c:v>
                </c:pt>
                <c:pt idx="5">
                  <c:v>2</c:v>
                </c:pt>
                <c:pt idx="6">
                  <c:v>1</c:v>
                </c:pt>
              </c:numCache>
            </c:numRef>
          </c:val>
          <c:extLst>
            <c:ext xmlns:c16="http://schemas.microsoft.com/office/drawing/2014/chart" uri="{C3380CC4-5D6E-409C-BE32-E72D297353CC}">
              <c16:uniqueId val="{00000000-148D-456E-8314-8BBD9427454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3367030734061558"/>
          <c:y val="0.25394165235518379"/>
          <c:w val="0.33765585753393734"/>
          <c:h val="0.57428426384973486"/>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Aféresis</c:v>
                </c:pt>
              </c:strCache>
            </c:strRef>
          </c:tx>
          <c:cat>
            <c:strRef>
              <c:f>Hoja1!$A$2:$A$9</c:f>
              <c:strCache>
                <c:ptCount val="8"/>
                <c:pt idx="0">
                  <c:v>Reacc. citrato</c:v>
                </c:pt>
                <c:pt idx="1">
                  <c:v>Hematoma</c:v>
                </c:pt>
                <c:pt idx="2">
                  <c:v>Probl. Acc. Ven.</c:v>
                </c:pt>
                <c:pt idx="3">
                  <c:v>RVV</c:v>
                </c:pt>
                <c:pt idx="4">
                  <c:v>Mal fto. Máq.</c:v>
                </c:pt>
                <c:pt idx="5">
                  <c:v>Def. equipo</c:v>
                </c:pt>
                <c:pt idx="6">
                  <c:v>palpitaciones</c:v>
                </c:pt>
                <c:pt idx="7">
                  <c:v>sangrado retardado</c:v>
                </c:pt>
              </c:strCache>
            </c:strRef>
          </c:cat>
          <c:val>
            <c:numRef>
              <c:f>Hoja1!$B$2:$B$9</c:f>
              <c:numCache>
                <c:formatCode>General</c:formatCode>
                <c:ptCount val="8"/>
                <c:pt idx="0">
                  <c:v>226</c:v>
                </c:pt>
                <c:pt idx="1">
                  <c:v>43</c:v>
                </c:pt>
                <c:pt idx="2">
                  <c:v>25</c:v>
                </c:pt>
                <c:pt idx="3">
                  <c:v>35</c:v>
                </c:pt>
                <c:pt idx="4">
                  <c:v>8</c:v>
                </c:pt>
                <c:pt idx="5">
                  <c:v>4</c:v>
                </c:pt>
                <c:pt idx="6">
                  <c:v>1</c:v>
                </c:pt>
                <c:pt idx="7">
                  <c:v>1</c:v>
                </c:pt>
              </c:numCache>
            </c:numRef>
          </c:val>
          <c:extLst>
            <c:ext xmlns:c16="http://schemas.microsoft.com/office/drawing/2014/chart" uri="{C3380CC4-5D6E-409C-BE32-E72D297353CC}">
              <c16:uniqueId val="{00000000-67C2-4AC9-A00B-1D0237788394}"/>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628660664728764"/>
          <c:y val="0.25394165235518379"/>
          <c:w val="0.34503955822726462"/>
          <c:h val="0.54684942160007932"/>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S"/>
        </a:p>
      </c:txPr>
    </c:title>
    <c:autoTitleDeleted val="0"/>
    <c:plotArea>
      <c:layout/>
      <c:pieChart>
        <c:varyColors val="1"/>
        <c:ser>
          <c:idx val="0"/>
          <c:order val="0"/>
          <c:tx>
            <c:strRef>
              <c:f>Hoja1!$B$1</c:f>
              <c:strCache>
                <c:ptCount val="1"/>
                <c:pt idx="0">
                  <c:v>Sangre total</c:v>
                </c:pt>
              </c:strCache>
            </c:strRef>
          </c:tx>
          <c:dPt>
            <c:idx val="0"/>
            <c:bubble3D val="0"/>
            <c:spPr>
              <a:solidFill>
                <a:schemeClr val="accent6"/>
              </a:solidFill>
              <a:ln>
                <a:noFill/>
              </a:ln>
              <a:effectLst/>
            </c:spPr>
            <c:extLst>
              <c:ext xmlns:c16="http://schemas.microsoft.com/office/drawing/2014/chart" uri="{C3380CC4-5D6E-409C-BE32-E72D297353CC}">
                <c16:uniqueId val="{00000001-3AF4-4516-8B4A-7F6586C9EA4D}"/>
              </c:ext>
            </c:extLst>
          </c:dPt>
          <c:dPt>
            <c:idx val="1"/>
            <c:bubble3D val="0"/>
            <c:spPr>
              <a:solidFill>
                <a:schemeClr val="accent5"/>
              </a:solidFill>
              <a:ln>
                <a:noFill/>
              </a:ln>
              <a:effectLst/>
            </c:spPr>
            <c:extLst>
              <c:ext xmlns:c16="http://schemas.microsoft.com/office/drawing/2014/chart" uri="{C3380CC4-5D6E-409C-BE32-E72D297353CC}">
                <c16:uniqueId val="{00000003-3AF4-4516-8B4A-7F6586C9EA4D}"/>
              </c:ext>
            </c:extLst>
          </c:dPt>
          <c:dPt>
            <c:idx val="2"/>
            <c:bubble3D val="0"/>
            <c:spPr>
              <a:solidFill>
                <a:schemeClr val="accent4"/>
              </a:solidFill>
              <a:ln>
                <a:noFill/>
              </a:ln>
              <a:effectLst/>
            </c:spPr>
            <c:extLst>
              <c:ext xmlns:c16="http://schemas.microsoft.com/office/drawing/2014/chart" uri="{C3380CC4-5D6E-409C-BE32-E72D297353CC}">
                <c16:uniqueId val="{00000005-3AF4-4516-8B4A-7F6586C9EA4D}"/>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7-3AF4-4516-8B4A-7F6586C9EA4D}"/>
              </c:ext>
            </c:extLst>
          </c:dPt>
          <c:cat>
            <c:strRef>
              <c:f>Hoja1!$A$2:$A$5</c:f>
              <c:strCache>
                <c:ptCount val="4"/>
                <c:pt idx="0">
                  <c:v>Gravedad 0</c:v>
                </c:pt>
                <c:pt idx="1">
                  <c:v>Gravedad 1</c:v>
                </c:pt>
                <c:pt idx="2">
                  <c:v>Gravedad 2</c:v>
                </c:pt>
                <c:pt idx="3">
                  <c:v>Gravedad 3</c:v>
                </c:pt>
              </c:strCache>
            </c:strRef>
          </c:cat>
          <c:val>
            <c:numRef>
              <c:f>Hoja1!$B$2:$B$5</c:f>
              <c:numCache>
                <c:formatCode>General</c:formatCode>
                <c:ptCount val="4"/>
                <c:pt idx="0">
                  <c:v>10</c:v>
                </c:pt>
                <c:pt idx="1">
                  <c:v>566</c:v>
                </c:pt>
                <c:pt idx="2">
                  <c:v>10</c:v>
                </c:pt>
                <c:pt idx="3">
                  <c:v>2</c:v>
                </c:pt>
              </c:numCache>
            </c:numRef>
          </c:val>
          <c:extLst>
            <c:ext xmlns:c16="http://schemas.microsoft.com/office/drawing/2014/chart" uri="{C3380CC4-5D6E-409C-BE32-E72D297353CC}">
              <c16:uniqueId val="{00000008-3AF4-4516-8B4A-7F6586C9EA4D}"/>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2"/>
        <c:txPr>
          <a:bodyPr rot="0" spcFirstLastPara="1" vertOverflow="ellipsis" vert="horz" wrap="square" anchor="ctr" anchorCtr="1"/>
          <a:lstStyle/>
          <a:p>
            <a:pPr>
              <a:defRPr sz="8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s-ES"/>
          </a:p>
        </c:txPr>
      </c:legendEntry>
      <c:layout>
        <c:manualLayout>
          <c:xMode val="edge"/>
          <c:yMode val="edge"/>
          <c:x val="0.64091833094098227"/>
          <c:y val="0.36812887362910857"/>
          <c:w val="0.32746944566597247"/>
          <c:h val="0.4155794844962226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Calibri" panose="020F0502020204030204" pitchFamily="34" charset="0"/>
              <a:ea typeface="+mn-ea"/>
              <a:cs typeface="Calibri" panose="020F0502020204030204" pitchFamily="34" charset="0"/>
            </a:defRPr>
          </a:pPr>
          <a:endParaRPr lang="es-E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E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S"/>
        </a:p>
      </c:txPr>
    </c:title>
    <c:autoTitleDeleted val="0"/>
    <c:plotArea>
      <c:layout/>
      <c:pieChart>
        <c:varyColors val="1"/>
        <c:ser>
          <c:idx val="0"/>
          <c:order val="0"/>
          <c:tx>
            <c:strRef>
              <c:f>Hoja1!$B$1</c:f>
              <c:strCache>
                <c:ptCount val="1"/>
                <c:pt idx="0">
                  <c:v>Aféresis</c:v>
                </c:pt>
              </c:strCache>
            </c:strRef>
          </c:tx>
          <c:dPt>
            <c:idx val="0"/>
            <c:bubble3D val="0"/>
            <c:spPr>
              <a:solidFill>
                <a:schemeClr val="accent6"/>
              </a:solidFill>
              <a:ln>
                <a:noFill/>
              </a:ln>
              <a:effectLst/>
            </c:spPr>
            <c:extLst>
              <c:ext xmlns:c16="http://schemas.microsoft.com/office/drawing/2014/chart" uri="{C3380CC4-5D6E-409C-BE32-E72D297353CC}">
                <c16:uniqueId val="{00000001-3CC0-4EBF-A9D3-ACCFD9707B88}"/>
              </c:ext>
            </c:extLst>
          </c:dPt>
          <c:dPt>
            <c:idx val="1"/>
            <c:bubble3D val="0"/>
            <c:spPr>
              <a:solidFill>
                <a:schemeClr val="accent5"/>
              </a:solidFill>
              <a:ln>
                <a:noFill/>
              </a:ln>
              <a:effectLst/>
            </c:spPr>
            <c:extLst>
              <c:ext xmlns:c16="http://schemas.microsoft.com/office/drawing/2014/chart" uri="{C3380CC4-5D6E-409C-BE32-E72D297353CC}">
                <c16:uniqueId val="{00000003-3CC0-4EBF-A9D3-ACCFD9707B88}"/>
              </c:ext>
            </c:extLst>
          </c:dPt>
          <c:dPt>
            <c:idx val="2"/>
            <c:bubble3D val="0"/>
            <c:spPr>
              <a:solidFill>
                <a:schemeClr val="accent4"/>
              </a:solidFill>
              <a:ln>
                <a:noFill/>
              </a:ln>
              <a:effectLst/>
            </c:spPr>
            <c:extLst>
              <c:ext xmlns:c16="http://schemas.microsoft.com/office/drawing/2014/chart" uri="{C3380CC4-5D6E-409C-BE32-E72D297353CC}">
                <c16:uniqueId val="{00000005-3CC0-4EBF-A9D3-ACCFD9707B88}"/>
              </c:ext>
            </c:extLst>
          </c:dPt>
          <c:cat>
            <c:strRef>
              <c:f>Hoja1!$A$2:$A$4</c:f>
              <c:strCache>
                <c:ptCount val="3"/>
                <c:pt idx="0">
                  <c:v>Gravedad 0</c:v>
                </c:pt>
                <c:pt idx="1">
                  <c:v>Gravedad 1</c:v>
                </c:pt>
                <c:pt idx="2">
                  <c:v>Gravedad 2</c:v>
                </c:pt>
              </c:strCache>
            </c:strRef>
          </c:cat>
          <c:val>
            <c:numRef>
              <c:f>Hoja1!$B$2:$B$4</c:f>
              <c:numCache>
                <c:formatCode>General</c:formatCode>
                <c:ptCount val="3"/>
                <c:pt idx="0">
                  <c:v>17</c:v>
                </c:pt>
                <c:pt idx="1">
                  <c:v>321</c:v>
                </c:pt>
                <c:pt idx="2">
                  <c:v>5</c:v>
                </c:pt>
              </c:numCache>
            </c:numRef>
          </c:val>
          <c:extLst>
            <c:ext xmlns:c16="http://schemas.microsoft.com/office/drawing/2014/chart" uri="{C3380CC4-5D6E-409C-BE32-E72D297353CC}">
              <c16:uniqueId val="{00000006-3CC0-4EBF-A9D3-ACCFD9707B8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Calibri" panose="020F0502020204030204" pitchFamily="34" charset="0"/>
              <a:ea typeface="+mn-ea"/>
              <a:cs typeface="Calibri" panose="020F0502020204030204" pitchFamily="34" charset="0"/>
            </a:defRPr>
          </a:pPr>
          <a:endParaRPr lang="es-E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E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Seroconversiones en donantes</c:v>
                </c:pt>
              </c:strCache>
            </c:strRef>
          </c:tx>
          <c:dLbls>
            <c:dLbl>
              <c:idx val="0"/>
              <c:spPr/>
              <c:txPr>
                <a:bodyPr/>
                <a:lstStyle/>
                <a:p>
                  <a:pPr>
                    <a:defRPr sz="900">
                      <a:latin typeface="Calibri" panose="020F0502020204030204" pitchFamily="34" charset="0"/>
                      <a:cs typeface="Calibri" panose="020F0502020204030204" pitchFamily="34"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0-401E-442C-B88C-C988F263C375}"/>
                </c:ext>
              </c:extLst>
            </c:dLbl>
            <c:dLbl>
              <c:idx val="1"/>
              <c:spPr/>
              <c:txPr>
                <a:bodyPr/>
                <a:lstStyle/>
                <a:p>
                  <a:pPr>
                    <a:defRPr sz="900">
                      <a:latin typeface="Calibri" panose="020F0502020204030204" pitchFamily="34" charset="0"/>
                      <a:cs typeface="Calibri" panose="020F0502020204030204" pitchFamily="34"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1-401E-442C-B88C-C988F263C375}"/>
                </c:ext>
              </c:extLst>
            </c:dLbl>
            <c:dLbl>
              <c:idx val="2"/>
              <c:spPr/>
              <c:txPr>
                <a:bodyPr/>
                <a:lstStyle/>
                <a:p>
                  <a:pPr>
                    <a:defRPr sz="900">
                      <a:latin typeface="Calibri" panose="020F0502020204030204" pitchFamily="34" charset="0"/>
                      <a:cs typeface="Calibri" panose="020F0502020204030204" pitchFamily="34"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2-401E-442C-B88C-C988F263C375}"/>
                </c:ext>
              </c:extLst>
            </c:dLbl>
            <c:spPr>
              <a:noFill/>
              <a:ln>
                <a:noFill/>
              </a:ln>
              <a:effectLst/>
            </c:spPr>
            <c:txPr>
              <a:bodyPr wrap="square" lIns="38100" tIns="19050" rIns="38100" bIns="19050" anchor="ctr">
                <a:spAutoFit/>
              </a:bodyPr>
              <a:lstStyle/>
              <a:p>
                <a:pPr>
                  <a:defRPr sz="900">
                    <a:latin typeface="Calibri" panose="020F0502020204030204" pitchFamily="34" charset="0"/>
                    <a:cs typeface="Calibri" panose="020F0502020204030204" pitchFamily="34" charset="0"/>
                  </a:defRPr>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Hoja1!$A$2:$A$6</c:f>
              <c:strCache>
                <c:ptCount val="5"/>
                <c:pt idx="0">
                  <c:v>VHB</c:v>
                </c:pt>
                <c:pt idx="1">
                  <c:v>VIH</c:v>
                </c:pt>
                <c:pt idx="2">
                  <c:v>VHC</c:v>
                </c:pt>
                <c:pt idx="3">
                  <c:v>Malaria</c:v>
                </c:pt>
                <c:pt idx="4">
                  <c:v>Sífilis </c:v>
                </c:pt>
              </c:strCache>
            </c:strRef>
          </c:cat>
          <c:val>
            <c:numRef>
              <c:f>Hoja1!$B$2:$B$6</c:f>
              <c:numCache>
                <c:formatCode>General</c:formatCode>
                <c:ptCount val="5"/>
                <c:pt idx="0">
                  <c:v>11</c:v>
                </c:pt>
                <c:pt idx="1">
                  <c:v>7</c:v>
                </c:pt>
                <c:pt idx="2">
                  <c:v>3</c:v>
                </c:pt>
                <c:pt idx="3">
                  <c:v>5</c:v>
                </c:pt>
                <c:pt idx="4">
                  <c:v>45</c:v>
                </c:pt>
              </c:numCache>
            </c:numRef>
          </c:val>
          <c:extLst>
            <c:ext xmlns:c16="http://schemas.microsoft.com/office/drawing/2014/chart" uri="{C3380CC4-5D6E-409C-BE32-E72D297353CC}">
              <c16:uniqueId val="{00000004-401E-442C-B88C-C988F263C375}"/>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6486470470589163"/>
          <c:y val="0.33345880896514996"/>
          <c:w val="0.15552139901668707"/>
          <c:h val="0.6254649555917029"/>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VIH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4.2264464416695395E-2"/>
          <c:y val="0.21040755012006479"/>
          <c:w val="0.58325971879777649"/>
          <c:h val="0.73714100631038137"/>
        </c:manualLayout>
      </c:layout>
      <c:pieChart>
        <c:varyColors val="1"/>
        <c:ser>
          <c:idx val="0"/>
          <c:order val="0"/>
          <c:tx>
            <c:strRef>
              <c:f>'[Gráfico en Microsoft Word]Hoja1'!$B$1</c:f>
              <c:strCache>
                <c:ptCount val="1"/>
                <c:pt idx="0">
                  <c:v>VIH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090-427B-8085-DD28930A2BC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090-427B-8085-DD28930A2BC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090-427B-8085-DD28930A2BC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090-427B-8085-DD28930A2BC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090-427B-8085-DD28930A2BC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090-427B-8085-DD28930A2BCD}"/>
              </c:ext>
            </c:extLst>
          </c:dPt>
          <c:dLbls>
            <c:dLbl>
              <c:idx val="0"/>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90-427B-8085-DD28930A2BCD}"/>
                </c:ext>
              </c:extLst>
            </c:dLbl>
            <c:dLbl>
              <c:idx val="1"/>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90-427B-8085-DD28930A2BCD}"/>
                </c:ext>
              </c:extLst>
            </c:dLbl>
            <c:dLbl>
              <c:idx val="2"/>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90-427B-8085-DD28930A2BCD}"/>
                </c:ext>
              </c:extLst>
            </c:dLbl>
            <c:dLbl>
              <c:idx val="3"/>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090-427B-8085-DD28930A2BCD}"/>
                </c:ext>
              </c:extLst>
            </c:dLbl>
            <c:dLbl>
              <c:idx val="4"/>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090-427B-8085-DD28930A2BCD}"/>
                </c:ext>
              </c:extLst>
            </c:dLbl>
            <c:dLbl>
              <c:idx val="5"/>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090-427B-8085-DD28930A2B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extLst>
          </c:dLbls>
          <c:cat>
            <c:strRef>
              <c:f>'[Gráfico en Microsoft Word]Hoja1'!$A$2:$A$7</c:f>
              <c:strCache>
                <c:ptCount val="6"/>
                <c:pt idx="0">
                  <c:v>España</c:v>
                </c:pt>
                <c:pt idx="1">
                  <c:v>Brasil</c:v>
                </c:pt>
                <c:pt idx="2">
                  <c:v>Ecuador</c:v>
                </c:pt>
                <c:pt idx="3">
                  <c:v>Portugal</c:v>
                </c:pt>
                <c:pt idx="4">
                  <c:v>R. Dominicana</c:v>
                </c:pt>
                <c:pt idx="5">
                  <c:v>Colombia</c:v>
                </c:pt>
              </c:strCache>
            </c:strRef>
          </c:cat>
          <c:val>
            <c:numRef>
              <c:f>'[Gráfico en Microsoft Word]Hoja1'!$B$2:$B$7</c:f>
              <c:numCache>
                <c:formatCode>General</c:formatCode>
                <c:ptCount val="6"/>
                <c:pt idx="0">
                  <c:v>2</c:v>
                </c:pt>
                <c:pt idx="1">
                  <c:v>1</c:v>
                </c:pt>
                <c:pt idx="2">
                  <c:v>1</c:v>
                </c:pt>
                <c:pt idx="3">
                  <c:v>1</c:v>
                </c:pt>
                <c:pt idx="4">
                  <c:v>1</c:v>
                </c:pt>
                <c:pt idx="5">
                  <c:v>1</c:v>
                </c:pt>
              </c:numCache>
            </c:numRef>
          </c:val>
          <c:extLst>
            <c:ext xmlns:c16="http://schemas.microsoft.com/office/drawing/2014/chart" uri="{C3380CC4-5D6E-409C-BE32-E72D297353CC}">
              <c16:uniqueId val="{0000000C-C090-427B-8085-DD28930A2BC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6681159804519374"/>
          <c:y val="0.24964404981292238"/>
          <c:w val="0.30835211255158762"/>
          <c:h val="0.6141857374211202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9.4106920845420633E-2"/>
          <c:y val="0.24782221605559218"/>
          <c:w val="0.51048408422631386"/>
          <c:h val="0.59818839825638537"/>
        </c:manualLayout>
      </c:layout>
      <c:pieChart>
        <c:varyColors val="1"/>
        <c:ser>
          <c:idx val="0"/>
          <c:order val="0"/>
          <c:tx>
            <c:strRef>
              <c:f>Hoja1!$B$1</c:f>
              <c:strCache>
                <c:ptCount val="1"/>
                <c:pt idx="0">
                  <c:v>VHB</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Hoja1!$A$2:$A$3</c:f>
              <c:strCache>
                <c:ptCount val="2"/>
                <c:pt idx="0">
                  <c:v>España</c:v>
                </c:pt>
                <c:pt idx="1">
                  <c:v>Desconocido</c:v>
                </c:pt>
              </c:strCache>
            </c:strRef>
          </c:cat>
          <c:val>
            <c:numRef>
              <c:f>Hoja1!$B$2:$B$3</c:f>
              <c:numCache>
                <c:formatCode>General</c:formatCode>
                <c:ptCount val="2"/>
                <c:pt idx="0">
                  <c:v>8</c:v>
                </c:pt>
                <c:pt idx="1">
                  <c:v>3</c:v>
                </c:pt>
              </c:numCache>
            </c:numRef>
          </c:val>
          <c:extLst>
            <c:ext xmlns:c16="http://schemas.microsoft.com/office/drawing/2014/chart" uri="{C3380CC4-5D6E-409C-BE32-E72D297353CC}">
              <c16:uniqueId val="{00000000-6333-4856-A49A-B4CE6512C69E}"/>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VHC</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Hoja1!$A$2:$A$3</c:f>
              <c:strCache>
                <c:ptCount val="2"/>
                <c:pt idx="0">
                  <c:v>España</c:v>
                </c:pt>
                <c:pt idx="1">
                  <c:v>Rumanía</c:v>
                </c:pt>
              </c:strCache>
            </c:strRef>
          </c:cat>
          <c:val>
            <c:numRef>
              <c:f>Hoja1!$B$2:$B$3</c:f>
              <c:numCache>
                <c:formatCode>General</c:formatCode>
                <c:ptCount val="2"/>
                <c:pt idx="0">
                  <c:v>2</c:v>
                </c:pt>
                <c:pt idx="1">
                  <c:v>1</c:v>
                </c:pt>
              </c:numCache>
            </c:numRef>
          </c:val>
          <c:extLst>
            <c:ext xmlns:c16="http://schemas.microsoft.com/office/drawing/2014/chart" uri="{C3380CC4-5D6E-409C-BE32-E72D297353CC}">
              <c16:uniqueId val="{00000000-E27E-4BFF-86F8-AFCA75EEB9AC}"/>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Hoja1!$B$1</c:f>
              <c:strCache>
                <c:ptCount val="1"/>
                <c:pt idx="0">
                  <c:v>Malaria</c:v>
                </c:pt>
              </c:strCache>
            </c:strRef>
          </c:tx>
          <c:dPt>
            <c:idx val="0"/>
            <c:bubble3D val="0"/>
            <c:spPr>
              <a:solidFill>
                <a:srgbClr val="FFFF99"/>
              </a:solidFill>
            </c:spPr>
            <c:extLst>
              <c:ext xmlns:c16="http://schemas.microsoft.com/office/drawing/2014/chart" uri="{C3380CC4-5D6E-409C-BE32-E72D297353CC}">
                <c16:uniqueId val="{00000001-41AD-40B6-AA8E-97E4745F2131}"/>
              </c:ext>
            </c:extLst>
          </c:dPt>
          <c:dPt>
            <c:idx val="1"/>
            <c:bubble3D val="0"/>
            <c:spPr>
              <a:solidFill>
                <a:srgbClr val="FF9933"/>
              </a:solidFill>
            </c:spPr>
            <c:extLst>
              <c:ext xmlns:c16="http://schemas.microsoft.com/office/drawing/2014/chart" uri="{C3380CC4-5D6E-409C-BE32-E72D297353CC}">
                <c16:uniqueId val="{00000003-41AD-40B6-AA8E-97E4745F2131}"/>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Hoja1!$A$2:$A$5</c:f>
              <c:strCache>
                <c:ptCount val="4"/>
                <c:pt idx="0">
                  <c:v>Ecuador</c:v>
                </c:pt>
                <c:pt idx="1">
                  <c:v>República de Guinea</c:v>
                </c:pt>
                <c:pt idx="2">
                  <c:v>Guinea Ecuatorial</c:v>
                </c:pt>
                <c:pt idx="3">
                  <c:v>España</c:v>
                </c:pt>
              </c:strCache>
            </c:strRef>
          </c:cat>
          <c:val>
            <c:numRef>
              <c:f>Hoja1!$B$2:$B$5</c:f>
              <c:numCache>
                <c:formatCode>General</c:formatCode>
                <c:ptCount val="4"/>
                <c:pt idx="0">
                  <c:v>1</c:v>
                </c:pt>
                <c:pt idx="1">
                  <c:v>1</c:v>
                </c:pt>
                <c:pt idx="2">
                  <c:v>1</c:v>
                </c:pt>
                <c:pt idx="3">
                  <c:v>2</c:v>
                </c:pt>
              </c:numCache>
            </c:numRef>
          </c:val>
          <c:extLst>
            <c:ext xmlns:c16="http://schemas.microsoft.com/office/drawing/2014/chart" uri="{C3380CC4-5D6E-409C-BE32-E72D297353CC}">
              <c16:uniqueId val="{00000004-41AD-40B6-AA8E-97E4745F2131}"/>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[Unidades Extraidas ENERO-DICIEMBRE 2020.xlsx]Hoja2!Tabla dinámica11</c:name>
    <c:fmtId val="-1"/>
  </c:pivotSource>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r>
              <a:rPr lang="es-ES"/>
              <a:t>Hospitales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endParaRPr lang="es-E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s>
    <c:plotArea>
      <c:layout/>
      <c:barChart>
        <c:barDir val="col"/>
        <c:grouping val="clustered"/>
        <c:varyColors val="0"/>
        <c:ser>
          <c:idx val="0"/>
          <c:order val="0"/>
          <c:tx>
            <c:strRef>
              <c:f>Hoja2!$B$36:$B$37</c:f>
              <c:strCache>
                <c:ptCount val="1"/>
                <c:pt idx="0">
                  <c:v>2019</c:v>
                </c:pt>
              </c:strCache>
            </c:strRef>
          </c:tx>
          <c:spPr>
            <a:solidFill>
              <a:schemeClr val="accent1">
                <a:lumMod val="60000"/>
                <a:lumOff val="40000"/>
              </a:schemeClr>
            </a:solidFill>
            <a:ln>
              <a:noFill/>
            </a:ln>
            <a:effectLst/>
          </c:spPr>
          <c:invertIfNegative val="0"/>
          <c:cat>
            <c:multiLvlStrRef>
              <c:f>Hoja2!$A$38:$A$51</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Hospitales</c:v>
                  </c:pt>
                </c:lvl>
              </c:multiLvlStrCache>
            </c:multiLvlStrRef>
          </c:cat>
          <c:val>
            <c:numRef>
              <c:f>Hoja2!$B$38:$B$51</c:f>
              <c:numCache>
                <c:formatCode>General</c:formatCode>
                <c:ptCount val="12"/>
                <c:pt idx="0">
                  <c:v>10352</c:v>
                </c:pt>
                <c:pt idx="1">
                  <c:v>9875</c:v>
                </c:pt>
                <c:pt idx="2">
                  <c:v>9896</c:v>
                </c:pt>
                <c:pt idx="3">
                  <c:v>9683</c:v>
                </c:pt>
                <c:pt idx="4">
                  <c:v>11472</c:v>
                </c:pt>
                <c:pt idx="5">
                  <c:v>9521</c:v>
                </c:pt>
                <c:pt idx="6">
                  <c:v>9274</c:v>
                </c:pt>
                <c:pt idx="7">
                  <c:v>9576</c:v>
                </c:pt>
                <c:pt idx="8">
                  <c:v>9425</c:v>
                </c:pt>
                <c:pt idx="9">
                  <c:v>10911</c:v>
                </c:pt>
                <c:pt idx="10">
                  <c:v>9794</c:v>
                </c:pt>
                <c:pt idx="11">
                  <c:v>9154</c:v>
                </c:pt>
              </c:numCache>
            </c:numRef>
          </c:val>
          <c:extLst>
            <c:ext xmlns:c16="http://schemas.microsoft.com/office/drawing/2014/chart" uri="{C3380CC4-5D6E-409C-BE32-E72D297353CC}">
              <c16:uniqueId val="{00000000-93EC-42B8-B4A2-C691EE5FCB8C}"/>
            </c:ext>
          </c:extLst>
        </c:ser>
        <c:ser>
          <c:idx val="1"/>
          <c:order val="1"/>
          <c:tx>
            <c:strRef>
              <c:f>Hoja2!$C$36:$C$37</c:f>
              <c:strCache>
                <c:ptCount val="1"/>
                <c:pt idx="0">
                  <c:v>2020</c:v>
                </c:pt>
              </c:strCache>
            </c:strRef>
          </c:tx>
          <c:spPr>
            <a:solidFill>
              <a:schemeClr val="tx2">
                <a:lumMod val="60000"/>
                <a:lumOff val="40000"/>
              </a:schemeClr>
            </a:solidFill>
            <a:ln>
              <a:noFill/>
            </a:ln>
            <a:effectLst/>
          </c:spPr>
          <c:invertIfNegative val="0"/>
          <c:cat>
            <c:multiLvlStrRef>
              <c:f>Hoja2!$A$38:$A$51</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Hospitales</c:v>
                  </c:pt>
                </c:lvl>
              </c:multiLvlStrCache>
            </c:multiLvlStrRef>
          </c:cat>
          <c:val>
            <c:numRef>
              <c:f>Hoja2!$C$38:$C$51</c:f>
              <c:numCache>
                <c:formatCode>General</c:formatCode>
                <c:ptCount val="12"/>
                <c:pt idx="0">
                  <c:v>11783</c:v>
                </c:pt>
                <c:pt idx="1">
                  <c:v>10410</c:v>
                </c:pt>
                <c:pt idx="2">
                  <c:v>7517</c:v>
                </c:pt>
                <c:pt idx="3">
                  <c:v>4264</c:v>
                </c:pt>
                <c:pt idx="4">
                  <c:v>8441</c:v>
                </c:pt>
                <c:pt idx="5">
                  <c:v>9014</c:v>
                </c:pt>
                <c:pt idx="6">
                  <c:v>7604</c:v>
                </c:pt>
                <c:pt idx="7">
                  <c:v>7596</c:v>
                </c:pt>
                <c:pt idx="8">
                  <c:v>8105</c:v>
                </c:pt>
                <c:pt idx="9">
                  <c:v>10482</c:v>
                </c:pt>
                <c:pt idx="10">
                  <c:v>8318</c:v>
                </c:pt>
                <c:pt idx="11">
                  <c:v>7786</c:v>
                </c:pt>
              </c:numCache>
            </c:numRef>
          </c:val>
          <c:extLst>
            <c:ext xmlns:c16="http://schemas.microsoft.com/office/drawing/2014/chart" uri="{C3380CC4-5D6E-409C-BE32-E72D297353CC}">
              <c16:uniqueId val="{00000001-93EC-42B8-B4A2-C691EE5FCB8C}"/>
            </c:ext>
          </c:extLst>
        </c:ser>
        <c:dLbls>
          <c:showLegendKey val="0"/>
          <c:showVal val="0"/>
          <c:showCatName val="0"/>
          <c:showSerName val="0"/>
          <c:showPercent val="0"/>
          <c:showBubbleSize val="0"/>
        </c:dLbls>
        <c:gapWidth val="150"/>
        <c:axId val="339212952"/>
        <c:axId val="339213736"/>
      </c:barChart>
      <c:catAx>
        <c:axId val="339212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39213736"/>
        <c:crosses val="autoZero"/>
        <c:auto val="1"/>
        <c:lblAlgn val="ctr"/>
        <c:lblOffset val="100"/>
        <c:noMultiLvlLbl val="0"/>
      </c:catAx>
      <c:valAx>
        <c:axId val="339213736"/>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392129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ontserrat" panose="00000500000000000000" pitchFamily="2" charset="0"/>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SÍFILIS</a:t>
            </a:r>
          </a:p>
        </c:rich>
      </c:tx>
      <c:overlay val="0"/>
    </c:title>
    <c:autoTitleDeleted val="0"/>
    <c:plotArea>
      <c:layout/>
      <c:pieChart>
        <c:varyColors val="1"/>
        <c:ser>
          <c:idx val="0"/>
          <c:order val="0"/>
          <c:tx>
            <c:strRef>
              <c:f>Hoja1!$B$1</c:f>
              <c:strCache>
                <c:ptCount val="1"/>
                <c:pt idx="0">
                  <c:v>Malaria</c:v>
                </c:pt>
              </c:strCache>
            </c:strRef>
          </c:tx>
          <c:dPt>
            <c:idx val="0"/>
            <c:bubble3D val="0"/>
            <c:spPr>
              <a:solidFill>
                <a:srgbClr val="FFFF99"/>
              </a:solidFill>
            </c:spPr>
            <c:extLst>
              <c:ext xmlns:c16="http://schemas.microsoft.com/office/drawing/2014/chart" uri="{C3380CC4-5D6E-409C-BE32-E72D297353CC}">
                <c16:uniqueId val="{00000001-1E70-48EC-BF51-9AA2E91441CA}"/>
              </c:ext>
            </c:extLst>
          </c:dPt>
          <c:dPt>
            <c:idx val="1"/>
            <c:bubble3D val="0"/>
            <c:spPr>
              <a:solidFill>
                <a:srgbClr val="FF9933"/>
              </a:solidFill>
            </c:spPr>
            <c:extLst>
              <c:ext xmlns:c16="http://schemas.microsoft.com/office/drawing/2014/chart" uri="{C3380CC4-5D6E-409C-BE32-E72D297353CC}">
                <c16:uniqueId val="{00000003-1E70-48EC-BF51-9AA2E91441CA}"/>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Hoja1!$A$2:$A$10</c:f>
              <c:strCache>
                <c:ptCount val="9"/>
                <c:pt idx="0">
                  <c:v>España</c:v>
                </c:pt>
                <c:pt idx="1">
                  <c:v>Venezuela</c:v>
                </c:pt>
                <c:pt idx="2">
                  <c:v>Colombia</c:v>
                </c:pt>
                <c:pt idx="3">
                  <c:v>Brasil</c:v>
                </c:pt>
                <c:pt idx="4">
                  <c:v>Perú</c:v>
                </c:pt>
                <c:pt idx="5">
                  <c:v>Honduras</c:v>
                </c:pt>
                <c:pt idx="6">
                  <c:v>Ecuador</c:v>
                </c:pt>
                <c:pt idx="7">
                  <c:v>Rumanía</c:v>
                </c:pt>
                <c:pt idx="8">
                  <c:v>N.C.</c:v>
                </c:pt>
              </c:strCache>
            </c:strRef>
          </c:cat>
          <c:val>
            <c:numRef>
              <c:f>Hoja1!$B$2:$B$10</c:f>
              <c:numCache>
                <c:formatCode>General</c:formatCode>
                <c:ptCount val="9"/>
                <c:pt idx="0">
                  <c:v>32</c:v>
                </c:pt>
                <c:pt idx="1">
                  <c:v>2</c:v>
                </c:pt>
                <c:pt idx="2">
                  <c:v>2</c:v>
                </c:pt>
                <c:pt idx="3">
                  <c:v>2</c:v>
                </c:pt>
                <c:pt idx="4">
                  <c:v>1</c:v>
                </c:pt>
                <c:pt idx="5">
                  <c:v>1</c:v>
                </c:pt>
                <c:pt idx="6">
                  <c:v>1</c:v>
                </c:pt>
                <c:pt idx="7">
                  <c:v>1</c:v>
                </c:pt>
                <c:pt idx="8">
                  <c:v>3</c:v>
                </c:pt>
              </c:numCache>
            </c:numRef>
          </c:val>
          <c:extLst>
            <c:ext xmlns:c16="http://schemas.microsoft.com/office/drawing/2014/chart" uri="{C3380CC4-5D6E-409C-BE32-E72D297353CC}">
              <c16:uniqueId val="{00000004-1E70-48EC-BF51-9AA2E91441C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5631290293139064"/>
          <c:y val="0.22389891852045934"/>
          <c:w val="0.20153746587788221"/>
          <c:h val="0.71023543835019132"/>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Alertas enviadas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stacked"/>
        <c:varyColors val="0"/>
        <c:ser>
          <c:idx val="0"/>
          <c:order val="0"/>
          <c:tx>
            <c:strRef>
              <c:f>Hoja1!$B$1</c:f>
              <c:strCache>
                <c:ptCount val="1"/>
                <c:pt idx="0">
                  <c:v>Alertas respondidas</c:v>
                </c:pt>
              </c:strCache>
            </c:strRef>
          </c:tx>
          <c:spPr>
            <a:solidFill>
              <a:schemeClr val="accent1"/>
            </a:solidFill>
            <a:ln>
              <a:noFill/>
            </a:ln>
            <a:effectLst/>
          </c:spPr>
          <c:invertIfNegative val="0"/>
          <c:cat>
            <c:strRef>
              <c:f>Hoja1!$A$2:$A$36</c:f>
              <c:strCache>
                <c:ptCount val="34"/>
                <c:pt idx="0">
                  <c:v>Industria</c:v>
                </c:pt>
                <c:pt idx="1">
                  <c:v>CTCM</c:v>
                </c:pt>
                <c:pt idx="2">
                  <c:v>Doce Oct</c:v>
                </c:pt>
                <c:pt idx="3">
                  <c:v>La Paz</c:v>
                </c:pt>
                <c:pt idx="4">
                  <c:v>G. Marañón</c:v>
                </c:pt>
                <c:pt idx="5">
                  <c:v>Ramón y C</c:v>
                </c:pt>
                <c:pt idx="6">
                  <c:v>Princesa</c:v>
                </c:pt>
                <c:pt idx="7">
                  <c:v>P de Asturias</c:v>
                </c:pt>
                <c:pt idx="8">
                  <c:v>Puerta de H</c:v>
                </c:pt>
                <c:pt idx="9">
                  <c:v>FH Alcorcón</c:v>
                </c:pt>
                <c:pt idx="10">
                  <c:v>F Jiménez Díaz</c:v>
                </c:pt>
                <c:pt idx="11">
                  <c:v>S Ochoa</c:v>
                </c:pt>
                <c:pt idx="12">
                  <c:v>Villalba</c:v>
                </c:pt>
                <c:pt idx="13">
                  <c:v>I Sofía</c:v>
                </c:pt>
                <c:pt idx="14">
                  <c:v>Niño Jesús</c:v>
                </c:pt>
                <c:pt idx="15">
                  <c:v>Arganda</c:v>
                </c:pt>
                <c:pt idx="16">
                  <c:v>Clínico</c:v>
                </c:pt>
                <c:pt idx="17">
                  <c:v>I Leonor</c:v>
                </c:pt>
                <c:pt idx="18">
                  <c:v>Zarzuela</c:v>
                </c:pt>
                <c:pt idx="19">
                  <c:v>Móstoles</c:v>
                </c:pt>
                <c:pt idx="20">
                  <c:v>Fuenlabrada</c:v>
                </c:pt>
                <c:pt idx="21">
                  <c:v>Sanchinarro</c:v>
                </c:pt>
                <c:pt idx="22">
                  <c:v>Henares</c:v>
                </c:pt>
                <c:pt idx="23">
                  <c:v>S Cristina</c:v>
                </c:pt>
                <c:pt idx="24">
                  <c:v>C. Rosario</c:v>
                </c:pt>
                <c:pt idx="25">
                  <c:v>Moncloa</c:v>
                </c:pt>
                <c:pt idx="26">
                  <c:v>Quirón Pozuelo</c:v>
                </c:pt>
                <c:pt idx="27">
                  <c:v>Tajo</c:v>
                </c:pt>
                <c:pt idx="28">
                  <c:v>G. Ulla</c:v>
                </c:pt>
                <c:pt idx="29">
                  <c:v>I. Elena</c:v>
                </c:pt>
                <c:pt idx="30">
                  <c:v>R. Juan Carlos</c:v>
                </c:pt>
                <c:pt idx="31">
                  <c:v>Ruber</c:v>
                </c:pt>
                <c:pt idx="32">
                  <c:v>Montepríncipe</c:v>
                </c:pt>
                <c:pt idx="33">
                  <c:v>Getafe</c:v>
                </c:pt>
              </c:strCache>
            </c:strRef>
          </c:cat>
          <c:val>
            <c:numRef>
              <c:f>Hoja1!$B$2:$B$36</c:f>
              <c:numCache>
                <c:formatCode>General</c:formatCode>
                <c:ptCount val="35"/>
                <c:pt idx="0">
                  <c:v>35</c:v>
                </c:pt>
                <c:pt idx="1">
                  <c:v>28</c:v>
                </c:pt>
                <c:pt idx="2">
                  <c:v>10</c:v>
                </c:pt>
                <c:pt idx="3">
                  <c:v>0</c:v>
                </c:pt>
                <c:pt idx="4">
                  <c:v>3</c:v>
                </c:pt>
                <c:pt idx="5">
                  <c:v>5</c:v>
                </c:pt>
                <c:pt idx="6">
                  <c:v>8</c:v>
                </c:pt>
                <c:pt idx="7">
                  <c:v>7</c:v>
                </c:pt>
                <c:pt idx="8">
                  <c:v>2</c:v>
                </c:pt>
                <c:pt idx="9">
                  <c:v>6</c:v>
                </c:pt>
                <c:pt idx="10">
                  <c:v>5</c:v>
                </c:pt>
                <c:pt idx="11">
                  <c:v>5</c:v>
                </c:pt>
                <c:pt idx="12">
                  <c:v>0</c:v>
                </c:pt>
                <c:pt idx="13">
                  <c:v>4</c:v>
                </c:pt>
                <c:pt idx="14">
                  <c:v>2</c:v>
                </c:pt>
                <c:pt idx="15">
                  <c:v>2</c:v>
                </c:pt>
                <c:pt idx="16">
                  <c:v>2</c:v>
                </c:pt>
                <c:pt idx="17">
                  <c:v>1</c:v>
                </c:pt>
                <c:pt idx="18">
                  <c:v>0</c:v>
                </c:pt>
                <c:pt idx="19">
                  <c:v>2</c:v>
                </c:pt>
                <c:pt idx="20">
                  <c:v>0</c:v>
                </c:pt>
                <c:pt idx="21">
                  <c:v>0</c:v>
                </c:pt>
                <c:pt idx="22">
                  <c:v>0</c:v>
                </c:pt>
                <c:pt idx="23">
                  <c:v>0</c:v>
                </c:pt>
                <c:pt idx="24">
                  <c:v>0</c:v>
                </c:pt>
                <c:pt idx="25">
                  <c:v>1</c:v>
                </c:pt>
                <c:pt idx="26">
                  <c:v>0</c:v>
                </c:pt>
                <c:pt idx="27">
                  <c:v>0</c:v>
                </c:pt>
                <c:pt idx="28">
                  <c:v>0</c:v>
                </c:pt>
                <c:pt idx="29">
                  <c:v>1</c:v>
                </c:pt>
                <c:pt idx="30">
                  <c:v>0</c:v>
                </c:pt>
                <c:pt idx="31">
                  <c:v>0</c:v>
                </c:pt>
                <c:pt idx="32">
                  <c:v>0</c:v>
                </c:pt>
                <c:pt idx="33">
                  <c:v>0</c:v>
                </c:pt>
              </c:numCache>
            </c:numRef>
          </c:val>
          <c:extLst>
            <c:ext xmlns:c16="http://schemas.microsoft.com/office/drawing/2014/chart" uri="{C3380CC4-5D6E-409C-BE32-E72D297353CC}">
              <c16:uniqueId val="{00000000-0D5D-41B5-BFCB-A21B221234A2}"/>
            </c:ext>
          </c:extLst>
        </c:ser>
        <c:ser>
          <c:idx val="1"/>
          <c:order val="1"/>
          <c:tx>
            <c:strRef>
              <c:f>Hoja1!$C$1</c:f>
              <c:strCache>
                <c:ptCount val="1"/>
                <c:pt idx="0">
                  <c:v>Alertas pendientes</c:v>
                </c:pt>
              </c:strCache>
            </c:strRef>
          </c:tx>
          <c:spPr>
            <a:solidFill>
              <a:schemeClr val="accent2"/>
            </a:solidFill>
            <a:ln>
              <a:noFill/>
            </a:ln>
            <a:effectLst/>
          </c:spPr>
          <c:invertIfNegative val="0"/>
          <c:cat>
            <c:strRef>
              <c:f>Hoja1!$A$2:$A$36</c:f>
              <c:strCache>
                <c:ptCount val="34"/>
                <c:pt idx="0">
                  <c:v>Industria</c:v>
                </c:pt>
                <c:pt idx="1">
                  <c:v>CTCM</c:v>
                </c:pt>
                <c:pt idx="2">
                  <c:v>Doce Oct</c:v>
                </c:pt>
                <c:pt idx="3">
                  <c:v>La Paz</c:v>
                </c:pt>
                <c:pt idx="4">
                  <c:v>G. Marañón</c:v>
                </c:pt>
                <c:pt idx="5">
                  <c:v>Ramón y C</c:v>
                </c:pt>
                <c:pt idx="6">
                  <c:v>Princesa</c:v>
                </c:pt>
                <c:pt idx="7">
                  <c:v>P de Asturias</c:v>
                </c:pt>
                <c:pt idx="8">
                  <c:v>Puerta de H</c:v>
                </c:pt>
                <c:pt idx="9">
                  <c:v>FH Alcorcón</c:v>
                </c:pt>
                <c:pt idx="10">
                  <c:v>F Jiménez Díaz</c:v>
                </c:pt>
                <c:pt idx="11">
                  <c:v>S Ochoa</c:v>
                </c:pt>
                <c:pt idx="12">
                  <c:v>Villalba</c:v>
                </c:pt>
                <c:pt idx="13">
                  <c:v>I Sofía</c:v>
                </c:pt>
                <c:pt idx="14">
                  <c:v>Niño Jesús</c:v>
                </c:pt>
                <c:pt idx="15">
                  <c:v>Arganda</c:v>
                </c:pt>
                <c:pt idx="16">
                  <c:v>Clínico</c:v>
                </c:pt>
                <c:pt idx="17">
                  <c:v>I Leonor</c:v>
                </c:pt>
                <c:pt idx="18">
                  <c:v>Zarzuela</c:v>
                </c:pt>
                <c:pt idx="19">
                  <c:v>Móstoles</c:v>
                </c:pt>
                <c:pt idx="20">
                  <c:v>Fuenlabrada</c:v>
                </c:pt>
                <c:pt idx="21">
                  <c:v>Sanchinarro</c:v>
                </c:pt>
                <c:pt idx="22">
                  <c:v>Henares</c:v>
                </c:pt>
                <c:pt idx="23">
                  <c:v>S Cristina</c:v>
                </c:pt>
                <c:pt idx="24">
                  <c:v>C. Rosario</c:v>
                </c:pt>
                <c:pt idx="25">
                  <c:v>Moncloa</c:v>
                </c:pt>
                <c:pt idx="26">
                  <c:v>Quirón Pozuelo</c:v>
                </c:pt>
                <c:pt idx="27">
                  <c:v>Tajo</c:v>
                </c:pt>
                <c:pt idx="28">
                  <c:v>G. Ulla</c:v>
                </c:pt>
                <c:pt idx="29">
                  <c:v>I. Elena</c:v>
                </c:pt>
                <c:pt idx="30">
                  <c:v>R. Juan Carlos</c:v>
                </c:pt>
                <c:pt idx="31">
                  <c:v>Ruber</c:v>
                </c:pt>
                <c:pt idx="32">
                  <c:v>Montepríncipe</c:v>
                </c:pt>
                <c:pt idx="33">
                  <c:v>Getafe</c:v>
                </c:pt>
              </c:strCache>
            </c:strRef>
          </c:cat>
          <c:val>
            <c:numRef>
              <c:f>Hoja1!$C$2:$C$36</c:f>
              <c:numCache>
                <c:formatCode>General</c:formatCode>
                <c:ptCount val="35"/>
                <c:pt idx="0">
                  <c:v>0</c:v>
                </c:pt>
                <c:pt idx="1">
                  <c:v>0</c:v>
                </c:pt>
                <c:pt idx="2">
                  <c:v>8</c:v>
                </c:pt>
                <c:pt idx="3">
                  <c:v>13</c:v>
                </c:pt>
                <c:pt idx="4">
                  <c:v>9</c:v>
                </c:pt>
                <c:pt idx="5">
                  <c:v>7</c:v>
                </c:pt>
                <c:pt idx="6">
                  <c:v>1</c:v>
                </c:pt>
                <c:pt idx="7">
                  <c:v>0</c:v>
                </c:pt>
                <c:pt idx="8">
                  <c:v>5</c:v>
                </c:pt>
                <c:pt idx="9">
                  <c:v>0</c:v>
                </c:pt>
                <c:pt idx="10">
                  <c:v>1</c:v>
                </c:pt>
                <c:pt idx="11">
                  <c:v>0</c:v>
                </c:pt>
                <c:pt idx="12">
                  <c:v>4</c:v>
                </c:pt>
                <c:pt idx="13">
                  <c:v>0</c:v>
                </c:pt>
                <c:pt idx="14">
                  <c:v>1</c:v>
                </c:pt>
                <c:pt idx="15">
                  <c:v>1</c:v>
                </c:pt>
                <c:pt idx="16">
                  <c:v>0</c:v>
                </c:pt>
                <c:pt idx="17">
                  <c:v>1</c:v>
                </c:pt>
                <c:pt idx="18">
                  <c:v>2</c:v>
                </c:pt>
                <c:pt idx="19">
                  <c:v>0</c:v>
                </c:pt>
                <c:pt idx="20">
                  <c:v>1</c:v>
                </c:pt>
                <c:pt idx="21">
                  <c:v>1</c:v>
                </c:pt>
                <c:pt idx="22">
                  <c:v>1</c:v>
                </c:pt>
                <c:pt idx="23">
                  <c:v>1</c:v>
                </c:pt>
                <c:pt idx="24">
                  <c:v>1</c:v>
                </c:pt>
                <c:pt idx="25">
                  <c:v>0</c:v>
                </c:pt>
                <c:pt idx="26">
                  <c:v>1</c:v>
                </c:pt>
                <c:pt idx="27">
                  <c:v>1</c:v>
                </c:pt>
                <c:pt idx="28">
                  <c:v>1</c:v>
                </c:pt>
                <c:pt idx="29">
                  <c:v>0</c:v>
                </c:pt>
                <c:pt idx="30">
                  <c:v>1</c:v>
                </c:pt>
                <c:pt idx="31">
                  <c:v>1</c:v>
                </c:pt>
                <c:pt idx="32">
                  <c:v>1</c:v>
                </c:pt>
                <c:pt idx="33">
                  <c:v>1</c:v>
                </c:pt>
              </c:numCache>
            </c:numRef>
          </c:val>
          <c:extLst>
            <c:ext xmlns:c16="http://schemas.microsoft.com/office/drawing/2014/chart" uri="{C3380CC4-5D6E-409C-BE32-E72D297353CC}">
              <c16:uniqueId val="{00000001-0D5D-41B5-BFCB-A21B221234A2}"/>
            </c:ext>
          </c:extLst>
        </c:ser>
        <c:dLbls>
          <c:showLegendKey val="0"/>
          <c:showVal val="0"/>
          <c:showCatName val="0"/>
          <c:showSerName val="0"/>
          <c:showPercent val="0"/>
          <c:showBubbleSize val="0"/>
        </c:dLbls>
        <c:gapWidth val="219"/>
        <c:overlap val="100"/>
        <c:axId val="907859584"/>
        <c:axId val="907856840"/>
      </c:barChart>
      <c:catAx>
        <c:axId val="90785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s-ES"/>
          </a:p>
        </c:txPr>
        <c:crossAx val="907856840"/>
        <c:crosses val="autoZero"/>
        <c:auto val="1"/>
        <c:lblAlgn val="ctr"/>
        <c:lblOffset val="100"/>
        <c:noMultiLvlLbl val="0"/>
      </c:catAx>
      <c:valAx>
        <c:axId val="907856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785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barChart>
        <c:barDir val="col"/>
        <c:grouping val="clustered"/>
        <c:varyColors val="0"/>
        <c:ser>
          <c:idx val="0"/>
          <c:order val="0"/>
          <c:tx>
            <c:strRef>
              <c:f>Hoja1!$B$1</c:f>
              <c:strCache>
                <c:ptCount val="1"/>
                <c:pt idx="0">
                  <c:v>Concentrado de hematíes</c:v>
                </c:pt>
              </c:strCache>
            </c:strRef>
          </c:tx>
          <c:invertIfNegative val="0"/>
          <c:dPt>
            <c:idx val="5"/>
            <c:invertIfNegative val="0"/>
            <c:bubble3D val="0"/>
            <c:spPr>
              <a:solidFill>
                <a:srgbClr val="00B050"/>
              </a:solidFill>
            </c:spPr>
            <c:extLst>
              <c:ext xmlns:c16="http://schemas.microsoft.com/office/drawing/2014/chart" uri="{C3380CC4-5D6E-409C-BE32-E72D297353CC}">
                <c16:uniqueId val="{00000001-034E-4BE9-A7CC-3475EF3FFD44}"/>
              </c:ext>
            </c:extLst>
          </c:dPt>
          <c:trendline>
            <c:spPr>
              <a:ln w="25400">
                <a:solidFill>
                  <a:srgbClr val="FF0000"/>
                </a:solidFill>
              </a:ln>
            </c:spPr>
            <c:trendlineType val="movingAvg"/>
            <c:period val="2"/>
            <c:dispRSqr val="0"/>
            <c:dispEq val="0"/>
          </c:trendline>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Hoja1!$B$2:$B$12</c:f>
              <c:numCache>
                <c:formatCode>General</c:formatCode>
                <c:ptCount val="11"/>
                <c:pt idx="0">
                  <c:v>213765</c:v>
                </c:pt>
                <c:pt idx="1">
                  <c:v>219257</c:v>
                </c:pt>
                <c:pt idx="2">
                  <c:v>210562</c:v>
                </c:pt>
                <c:pt idx="3">
                  <c:v>210390</c:v>
                </c:pt>
                <c:pt idx="4">
                  <c:v>211691</c:v>
                </c:pt>
                <c:pt idx="5">
                  <c:v>239744</c:v>
                </c:pt>
                <c:pt idx="6">
                  <c:v>235788</c:v>
                </c:pt>
                <c:pt idx="7">
                  <c:v>234692</c:v>
                </c:pt>
                <c:pt idx="8">
                  <c:v>229620</c:v>
                </c:pt>
                <c:pt idx="9">
                  <c:v>232337</c:v>
                </c:pt>
                <c:pt idx="10">
                  <c:v>221450</c:v>
                </c:pt>
              </c:numCache>
            </c:numRef>
          </c:val>
          <c:extLst>
            <c:ext xmlns:c16="http://schemas.microsoft.com/office/drawing/2014/chart" uri="{C3380CC4-5D6E-409C-BE32-E72D297353CC}">
              <c16:uniqueId val="{00000002-034E-4BE9-A7CC-3475EF3FFD44}"/>
            </c:ext>
          </c:extLst>
        </c:ser>
        <c:dLbls>
          <c:showLegendKey val="0"/>
          <c:showVal val="0"/>
          <c:showCatName val="0"/>
          <c:showSerName val="0"/>
          <c:showPercent val="0"/>
          <c:showBubbleSize val="0"/>
        </c:dLbls>
        <c:gapWidth val="150"/>
        <c:axId val="907858408"/>
        <c:axId val="907854880"/>
      </c:barChart>
      <c:catAx>
        <c:axId val="907858408"/>
        <c:scaling>
          <c:orientation val="minMax"/>
        </c:scaling>
        <c:delete val="0"/>
        <c:axPos val="b"/>
        <c:numFmt formatCode="General" sourceLinked="1"/>
        <c:majorTickMark val="out"/>
        <c:minorTickMark val="none"/>
        <c:tickLblPos val="nextTo"/>
        <c:crossAx val="907854880"/>
        <c:crosses val="autoZero"/>
        <c:auto val="1"/>
        <c:lblAlgn val="ctr"/>
        <c:lblOffset val="100"/>
        <c:noMultiLvlLbl val="0"/>
      </c:catAx>
      <c:valAx>
        <c:axId val="907854880"/>
        <c:scaling>
          <c:orientation val="minMax"/>
        </c:scaling>
        <c:delete val="0"/>
        <c:axPos val="l"/>
        <c:majorGridlines/>
        <c:numFmt formatCode="General" sourceLinked="1"/>
        <c:majorTickMark val="out"/>
        <c:minorTickMark val="none"/>
        <c:tickLblPos val="nextTo"/>
        <c:crossAx val="907858408"/>
        <c:crosses val="autoZero"/>
        <c:crossBetween val="between"/>
      </c:valAx>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barChart>
        <c:barDir val="col"/>
        <c:grouping val="clustered"/>
        <c:varyColors val="0"/>
        <c:ser>
          <c:idx val="0"/>
          <c:order val="0"/>
          <c:tx>
            <c:strRef>
              <c:f>Hoja1!$B$1</c:f>
              <c:strCache>
                <c:ptCount val="1"/>
                <c:pt idx="0">
                  <c:v>Unidades terapéuticas de plaquetas</c:v>
                </c:pt>
              </c:strCache>
            </c:strRef>
          </c:tx>
          <c:invertIfNegative val="0"/>
          <c:dPt>
            <c:idx val="5"/>
            <c:invertIfNegative val="0"/>
            <c:bubble3D val="0"/>
            <c:spPr>
              <a:solidFill>
                <a:srgbClr val="00B050"/>
              </a:solidFill>
            </c:spPr>
            <c:extLst>
              <c:ext xmlns:c16="http://schemas.microsoft.com/office/drawing/2014/chart" uri="{C3380CC4-5D6E-409C-BE32-E72D297353CC}">
                <c16:uniqueId val="{00000001-06B6-42B4-8549-5E9488AE5BAE}"/>
              </c:ext>
            </c:extLst>
          </c:dPt>
          <c:trendline>
            <c:spPr>
              <a:ln w="25400">
                <a:solidFill>
                  <a:srgbClr val="FF0000"/>
                </a:solidFill>
              </a:ln>
            </c:spPr>
            <c:trendlineType val="movingAvg"/>
            <c:period val="2"/>
            <c:dispRSqr val="0"/>
            <c:dispEq val="0"/>
          </c:trendline>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Hoja1!$B$2:$B$12</c:f>
              <c:numCache>
                <c:formatCode>General</c:formatCode>
                <c:ptCount val="11"/>
                <c:pt idx="0">
                  <c:v>34188</c:v>
                </c:pt>
                <c:pt idx="1">
                  <c:v>36848</c:v>
                </c:pt>
                <c:pt idx="2">
                  <c:v>33457</c:v>
                </c:pt>
                <c:pt idx="3">
                  <c:v>35629</c:v>
                </c:pt>
                <c:pt idx="4">
                  <c:v>36485</c:v>
                </c:pt>
                <c:pt idx="5">
                  <c:v>40074</c:v>
                </c:pt>
                <c:pt idx="6">
                  <c:v>38668</c:v>
                </c:pt>
                <c:pt idx="7">
                  <c:v>39062</c:v>
                </c:pt>
                <c:pt idx="8">
                  <c:v>40012</c:v>
                </c:pt>
                <c:pt idx="9">
                  <c:v>41664</c:v>
                </c:pt>
                <c:pt idx="10">
                  <c:v>38706</c:v>
                </c:pt>
              </c:numCache>
            </c:numRef>
          </c:val>
          <c:extLst>
            <c:ext xmlns:c16="http://schemas.microsoft.com/office/drawing/2014/chart" uri="{C3380CC4-5D6E-409C-BE32-E72D297353CC}">
              <c16:uniqueId val="{00000002-06B6-42B4-8549-5E9488AE5BAE}"/>
            </c:ext>
          </c:extLst>
        </c:ser>
        <c:dLbls>
          <c:showLegendKey val="0"/>
          <c:showVal val="0"/>
          <c:showCatName val="0"/>
          <c:showSerName val="0"/>
          <c:showPercent val="0"/>
          <c:showBubbleSize val="0"/>
        </c:dLbls>
        <c:gapWidth val="150"/>
        <c:axId val="907851352"/>
        <c:axId val="907857624"/>
      </c:barChart>
      <c:catAx>
        <c:axId val="907851352"/>
        <c:scaling>
          <c:orientation val="minMax"/>
        </c:scaling>
        <c:delete val="0"/>
        <c:axPos val="b"/>
        <c:numFmt formatCode="General" sourceLinked="1"/>
        <c:majorTickMark val="out"/>
        <c:minorTickMark val="none"/>
        <c:tickLblPos val="nextTo"/>
        <c:crossAx val="907857624"/>
        <c:crosses val="autoZero"/>
        <c:auto val="1"/>
        <c:lblAlgn val="ctr"/>
        <c:lblOffset val="100"/>
        <c:noMultiLvlLbl val="0"/>
      </c:catAx>
      <c:valAx>
        <c:axId val="907857624"/>
        <c:scaling>
          <c:orientation val="minMax"/>
        </c:scaling>
        <c:delete val="0"/>
        <c:axPos val="l"/>
        <c:majorGridlines/>
        <c:numFmt formatCode="General" sourceLinked="1"/>
        <c:majorTickMark val="out"/>
        <c:minorTickMark val="none"/>
        <c:tickLblPos val="nextTo"/>
        <c:crossAx val="907851352"/>
        <c:crosses val="autoZero"/>
        <c:crossBetween val="between"/>
      </c:valAx>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barChart>
        <c:barDir val="col"/>
        <c:grouping val="clustered"/>
        <c:varyColors val="0"/>
        <c:ser>
          <c:idx val="0"/>
          <c:order val="0"/>
          <c:tx>
            <c:strRef>
              <c:f>Hoja1!$B$1</c:f>
              <c:strCache>
                <c:ptCount val="1"/>
                <c:pt idx="0">
                  <c:v>Unidades de plasma</c:v>
                </c:pt>
              </c:strCache>
            </c:strRef>
          </c:tx>
          <c:invertIfNegative val="0"/>
          <c:dPt>
            <c:idx val="5"/>
            <c:invertIfNegative val="0"/>
            <c:bubble3D val="0"/>
            <c:spPr>
              <a:solidFill>
                <a:srgbClr val="00B050"/>
              </a:solidFill>
            </c:spPr>
            <c:extLst>
              <c:ext xmlns:c16="http://schemas.microsoft.com/office/drawing/2014/chart" uri="{C3380CC4-5D6E-409C-BE32-E72D297353CC}">
                <c16:uniqueId val="{00000001-C908-4CAE-B47D-DFA18B1546DE}"/>
              </c:ext>
            </c:extLst>
          </c:dPt>
          <c:trendline>
            <c:spPr>
              <a:ln w="25400">
                <a:solidFill>
                  <a:srgbClr val="FF0000"/>
                </a:solidFill>
              </a:ln>
            </c:spPr>
            <c:trendlineType val="linear"/>
            <c:dispRSqr val="0"/>
            <c:dispEq val="0"/>
          </c:trendline>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Hoja1!$B$2:$B$12</c:f>
              <c:numCache>
                <c:formatCode>General</c:formatCode>
                <c:ptCount val="11"/>
                <c:pt idx="0">
                  <c:v>37836</c:v>
                </c:pt>
                <c:pt idx="1">
                  <c:v>38330</c:v>
                </c:pt>
                <c:pt idx="2">
                  <c:v>36371</c:v>
                </c:pt>
                <c:pt idx="3">
                  <c:v>34102</c:v>
                </c:pt>
                <c:pt idx="4">
                  <c:v>35668</c:v>
                </c:pt>
                <c:pt idx="5">
                  <c:v>39721</c:v>
                </c:pt>
                <c:pt idx="6">
                  <c:v>36249</c:v>
                </c:pt>
                <c:pt idx="7">
                  <c:v>35140</c:v>
                </c:pt>
                <c:pt idx="8">
                  <c:v>33951</c:v>
                </c:pt>
                <c:pt idx="9">
                  <c:v>30104</c:v>
                </c:pt>
                <c:pt idx="10">
                  <c:v>27927</c:v>
                </c:pt>
              </c:numCache>
            </c:numRef>
          </c:val>
          <c:extLst>
            <c:ext xmlns:c16="http://schemas.microsoft.com/office/drawing/2014/chart" uri="{C3380CC4-5D6E-409C-BE32-E72D297353CC}">
              <c16:uniqueId val="{00000002-C908-4CAE-B47D-DFA18B1546DE}"/>
            </c:ext>
          </c:extLst>
        </c:ser>
        <c:dLbls>
          <c:showLegendKey val="0"/>
          <c:showVal val="0"/>
          <c:showCatName val="0"/>
          <c:showSerName val="0"/>
          <c:showPercent val="0"/>
          <c:showBubbleSize val="0"/>
        </c:dLbls>
        <c:gapWidth val="150"/>
        <c:axId val="907858016"/>
        <c:axId val="907855664"/>
      </c:barChart>
      <c:catAx>
        <c:axId val="907858016"/>
        <c:scaling>
          <c:orientation val="minMax"/>
        </c:scaling>
        <c:delete val="0"/>
        <c:axPos val="b"/>
        <c:numFmt formatCode="General" sourceLinked="1"/>
        <c:majorTickMark val="out"/>
        <c:minorTickMark val="none"/>
        <c:tickLblPos val="nextTo"/>
        <c:crossAx val="907855664"/>
        <c:crosses val="autoZero"/>
        <c:auto val="1"/>
        <c:lblAlgn val="ctr"/>
        <c:lblOffset val="100"/>
        <c:noMultiLvlLbl val="0"/>
      </c:catAx>
      <c:valAx>
        <c:axId val="907855664"/>
        <c:scaling>
          <c:orientation val="minMax"/>
        </c:scaling>
        <c:delete val="0"/>
        <c:axPos val="l"/>
        <c:majorGridlines/>
        <c:numFmt formatCode="General" sourceLinked="1"/>
        <c:majorTickMark val="out"/>
        <c:minorTickMark val="none"/>
        <c:tickLblPos val="nextTo"/>
        <c:crossAx val="907858016"/>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Participación de hospitales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Hoja1!$A$2:$A$4</c:f>
              <c:strCache>
                <c:ptCount val="3"/>
                <c:pt idx="0">
                  <c:v>Sin transfusión</c:v>
                </c:pt>
                <c:pt idx="1">
                  <c:v>Con incidentes</c:v>
                </c:pt>
                <c:pt idx="2">
                  <c:v>Sin incidentes</c:v>
                </c:pt>
              </c:strCache>
            </c:strRef>
          </c:cat>
          <c:val>
            <c:numRef>
              <c:f>Hoja1!$B$2:$B$4</c:f>
              <c:numCache>
                <c:formatCode>General</c:formatCode>
                <c:ptCount val="3"/>
                <c:pt idx="0">
                  <c:v>13</c:v>
                </c:pt>
                <c:pt idx="1">
                  <c:v>27</c:v>
                </c:pt>
                <c:pt idx="2">
                  <c:v>31</c:v>
                </c:pt>
              </c:numCache>
            </c:numRef>
          </c:val>
          <c:extLst>
            <c:ext xmlns:c16="http://schemas.microsoft.com/office/drawing/2014/chart" uri="{C3380CC4-5D6E-409C-BE32-E72D297353CC}">
              <c16:uniqueId val="{00000000-1D76-4205-AE9E-ABD4D04DB1B6}"/>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1020807253279705"/>
          <c:y val="0.44099217994848044"/>
          <c:w val="0.18160754364782491"/>
          <c:h val="0.21870082708115426"/>
        </c:manualLayout>
      </c:layout>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barChart>
        <c:barDir val="col"/>
        <c:grouping val="clustered"/>
        <c:varyColors val="0"/>
        <c:ser>
          <c:idx val="0"/>
          <c:order val="0"/>
          <c:tx>
            <c:strRef>
              <c:f>Hoja1!$B$1</c:f>
              <c:strCache>
                <c:ptCount val="1"/>
                <c:pt idx="0">
                  <c:v>Incidentes comunicados en Comunidad de Madrid</c:v>
                </c:pt>
              </c:strCache>
            </c:strRef>
          </c:tx>
          <c:spPr>
            <a:solidFill>
              <a:srgbClr val="0070C0"/>
            </a:solidFill>
          </c:spPr>
          <c:invertIfNegative val="0"/>
          <c:dPt>
            <c:idx val="9"/>
            <c:invertIfNegative val="0"/>
            <c:bubble3D val="0"/>
            <c:spPr>
              <a:solidFill>
                <a:srgbClr val="0070C0"/>
              </a:solidFill>
            </c:spPr>
            <c:extLst>
              <c:ext xmlns:c16="http://schemas.microsoft.com/office/drawing/2014/chart" uri="{C3380CC4-5D6E-409C-BE32-E72D297353CC}">
                <c16:uniqueId val="{00000001-D0FF-49AC-B3DF-A66E43EF24AF}"/>
              </c:ext>
            </c:extLst>
          </c:dPt>
          <c:dPt>
            <c:idx val="10"/>
            <c:invertIfNegative val="0"/>
            <c:bubble3D val="0"/>
            <c:spPr>
              <a:solidFill>
                <a:schemeClr val="accent1"/>
              </a:solidFill>
            </c:spPr>
            <c:extLst>
              <c:ext xmlns:c16="http://schemas.microsoft.com/office/drawing/2014/chart" uri="{C3380CC4-5D6E-409C-BE32-E72D297353CC}">
                <c16:uniqueId val="{00000003-D0FF-49AC-B3DF-A66E43EF24AF}"/>
              </c:ext>
            </c:extLst>
          </c:dPt>
          <c:dPt>
            <c:idx val="11"/>
            <c:invertIfNegative val="0"/>
            <c:bubble3D val="0"/>
            <c:spPr>
              <a:solidFill>
                <a:srgbClr val="00B050"/>
              </a:solidFill>
            </c:spPr>
            <c:extLst>
              <c:ext xmlns:c16="http://schemas.microsoft.com/office/drawing/2014/chart" uri="{C3380CC4-5D6E-409C-BE32-E72D297353CC}">
                <c16:uniqueId val="{00000005-D0FF-49AC-B3DF-A66E43EF24AF}"/>
              </c:ext>
            </c:extLst>
          </c:dPt>
          <c:dLbls>
            <c:dLbl>
              <c:idx val="6"/>
              <c:layout>
                <c:manualLayout>
                  <c:x val="2.3518344308559817E-3"/>
                  <c:y val="-3.6283007458173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FF-49AC-B3DF-A66E43EF24A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25400">
                <a:solidFill>
                  <a:srgbClr val="FF0000"/>
                </a:solidFill>
              </a:ln>
            </c:spPr>
            <c:trendlineType val="movingAvg"/>
            <c:period val="2"/>
            <c:dispRSqr val="0"/>
            <c:dispEq val="0"/>
          </c:trendline>
          <c:cat>
            <c:numRef>
              <c:f>Hoja1!$A$2:$A$13</c:f>
              <c:numCache>
                <c:formatCode>General</c:formatCod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numCache>
            </c:numRef>
          </c:cat>
          <c:val>
            <c:numRef>
              <c:f>Hoja1!$B$2:$B$13</c:f>
              <c:numCache>
                <c:formatCode>General</c:formatCode>
                <c:ptCount val="12"/>
                <c:pt idx="0">
                  <c:v>62</c:v>
                </c:pt>
                <c:pt idx="1">
                  <c:v>73</c:v>
                </c:pt>
                <c:pt idx="2">
                  <c:v>160</c:v>
                </c:pt>
                <c:pt idx="3">
                  <c:v>269</c:v>
                </c:pt>
                <c:pt idx="4">
                  <c:v>233</c:v>
                </c:pt>
                <c:pt idx="5">
                  <c:v>210</c:v>
                </c:pt>
                <c:pt idx="6">
                  <c:v>311</c:v>
                </c:pt>
                <c:pt idx="7">
                  <c:v>268</c:v>
                </c:pt>
                <c:pt idx="8">
                  <c:v>450</c:v>
                </c:pt>
                <c:pt idx="9">
                  <c:v>519</c:v>
                </c:pt>
                <c:pt idx="10">
                  <c:v>643</c:v>
                </c:pt>
                <c:pt idx="11">
                  <c:v>377</c:v>
                </c:pt>
              </c:numCache>
            </c:numRef>
          </c:val>
          <c:extLst>
            <c:ext xmlns:c16="http://schemas.microsoft.com/office/drawing/2014/chart" uri="{C3380CC4-5D6E-409C-BE32-E72D297353CC}">
              <c16:uniqueId val="{00000007-D0FF-49AC-B3DF-A66E43EF24AF}"/>
            </c:ext>
          </c:extLst>
        </c:ser>
        <c:dLbls>
          <c:showLegendKey val="0"/>
          <c:showVal val="0"/>
          <c:showCatName val="0"/>
          <c:showSerName val="0"/>
          <c:showPercent val="0"/>
          <c:showBubbleSize val="0"/>
        </c:dLbls>
        <c:gapWidth val="150"/>
        <c:axId val="907861152"/>
        <c:axId val="907861936"/>
      </c:barChart>
      <c:catAx>
        <c:axId val="907861152"/>
        <c:scaling>
          <c:orientation val="minMax"/>
        </c:scaling>
        <c:delete val="0"/>
        <c:axPos val="b"/>
        <c:numFmt formatCode="General" sourceLinked="1"/>
        <c:majorTickMark val="out"/>
        <c:minorTickMark val="none"/>
        <c:tickLblPos val="nextTo"/>
        <c:crossAx val="907861936"/>
        <c:crosses val="autoZero"/>
        <c:auto val="1"/>
        <c:lblAlgn val="ctr"/>
        <c:lblOffset val="100"/>
        <c:noMultiLvlLbl val="0"/>
      </c:catAx>
      <c:valAx>
        <c:axId val="907861936"/>
        <c:scaling>
          <c:orientation val="minMax"/>
        </c:scaling>
        <c:delete val="0"/>
        <c:axPos val="l"/>
        <c:majorGridlines/>
        <c:numFmt formatCode="General" sourceLinked="1"/>
        <c:majorTickMark val="out"/>
        <c:minorTickMark val="none"/>
        <c:tickLblPos val="nextTo"/>
        <c:crossAx val="907861152"/>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Columna1</c:v>
                </c:pt>
              </c:strCache>
            </c:strRef>
          </c:tx>
          <c:invertIfNegative val="0"/>
          <c:dPt>
            <c:idx val="8"/>
            <c:invertIfNegative val="0"/>
            <c:bubble3D val="0"/>
            <c:spPr>
              <a:solidFill>
                <a:srgbClr val="0070C0"/>
              </a:solidFill>
            </c:spPr>
            <c:extLst>
              <c:ext xmlns:c16="http://schemas.microsoft.com/office/drawing/2014/chart" uri="{C3380CC4-5D6E-409C-BE32-E72D297353CC}">
                <c16:uniqueId val="{00000001-035C-4F71-B346-1016395F0F1A}"/>
              </c:ext>
            </c:extLst>
          </c:dPt>
          <c:dPt>
            <c:idx val="9"/>
            <c:invertIfNegative val="0"/>
            <c:bubble3D val="0"/>
            <c:spPr>
              <a:solidFill>
                <a:srgbClr val="4F81BD"/>
              </a:solidFill>
            </c:spPr>
            <c:extLst>
              <c:ext xmlns:c16="http://schemas.microsoft.com/office/drawing/2014/chart" uri="{C3380CC4-5D6E-409C-BE32-E72D297353CC}">
                <c16:uniqueId val="{00000003-035C-4F71-B346-1016395F0F1A}"/>
              </c:ext>
            </c:extLst>
          </c:dPt>
          <c:dPt>
            <c:idx val="10"/>
            <c:invertIfNegative val="0"/>
            <c:bubble3D val="0"/>
            <c:spPr>
              <a:solidFill>
                <a:srgbClr val="00B050"/>
              </a:solidFill>
            </c:spPr>
            <c:extLst>
              <c:ext xmlns:c16="http://schemas.microsoft.com/office/drawing/2014/chart" uri="{C3380CC4-5D6E-409C-BE32-E72D297353CC}">
                <c16:uniqueId val="{00000005-035C-4F71-B346-1016395F0F1A}"/>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25400">
                <a:solidFill>
                  <a:srgbClr val="FF0000"/>
                </a:solidFill>
              </a:ln>
            </c:spPr>
            <c:trendlineType val="movingAvg"/>
            <c:period val="2"/>
            <c:dispRSqr val="0"/>
            <c:dispEq val="0"/>
          </c:trendline>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Hoja1!$B$2:$B$12</c:f>
              <c:numCache>
                <c:formatCode>General</c:formatCode>
                <c:ptCount val="11"/>
                <c:pt idx="0">
                  <c:v>3.7</c:v>
                </c:pt>
                <c:pt idx="1">
                  <c:v>4.7</c:v>
                </c:pt>
                <c:pt idx="2">
                  <c:v>8</c:v>
                </c:pt>
                <c:pt idx="3">
                  <c:v>7.1</c:v>
                </c:pt>
                <c:pt idx="4">
                  <c:v>6.3</c:v>
                </c:pt>
                <c:pt idx="5">
                  <c:v>9.3000000000000007</c:v>
                </c:pt>
                <c:pt idx="6">
                  <c:v>8.6</c:v>
                </c:pt>
                <c:pt idx="7">
                  <c:v>14.6</c:v>
                </c:pt>
                <c:pt idx="8">
                  <c:v>17.100000000000001</c:v>
                </c:pt>
                <c:pt idx="9">
                  <c:v>21.1</c:v>
                </c:pt>
                <c:pt idx="10">
                  <c:v>13.08</c:v>
                </c:pt>
              </c:numCache>
            </c:numRef>
          </c:val>
          <c:extLst>
            <c:ext xmlns:c16="http://schemas.microsoft.com/office/drawing/2014/chart" uri="{C3380CC4-5D6E-409C-BE32-E72D297353CC}">
              <c16:uniqueId val="{00000006-035C-4F71-B346-1016395F0F1A}"/>
            </c:ext>
          </c:extLst>
        </c:ser>
        <c:dLbls>
          <c:showLegendKey val="0"/>
          <c:showVal val="0"/>
          <c:showCatName val="0"/>
          <c:showSerName val="0"/>
          <c:showPercent val="0"/>
          <c:showBubbleSize val="0"/>
        </c:dLbls>
        <c:gapWidth val="150"/>
        <c:axId val="980849840"/>
        <c:axId val="980851800"/>
      </c:barChart>
      <c:catAx>
        <c:axId val="980849840"/>
        <c:scaling>
          <c:orientation val="minMax"/>
        </c:scaling>
        <c:delete val="0"/>
        <c:axPos val="b"/>
        <c:numFmt formatCode="General" sourceLinked="1"/>
        <c:majorTickMark val="out"/>
        <c:minorTickMark val="none"/>
        <c:tickLblPos val="nextTo"/>
        <c:crossAx val="980851800"/>
        <c:crosses val="autoZero"/>
        <c:auto val="1"/>
        <c:lblAlgn val="ctr"/>
        <c:lblOffset val="100"/>
        <c:noMultiLvlLbl val="0"/>
      </c:catAx>
      <c:valAx>
        <c:axId val="980851800"/>
        <c:scaling>
          <c:orientation val="minMax"/>
        </c:scaling>
        <c:delete val="0"/>
        <c:axPos val="l"/>
        <c:majorGridlines/>
        <c:numFmt formatCode="General" sourceLinked="1"/>
        <c:majorTickMark val="out"/>
        <c:minorTickMark val="none"/>
        <c:tickLblPos val="nextTo"/>
        <c:crossAx val="980849840"/>
        <c:crosses val="autoZero"/>
        <c:crossBetween val="between"/>
      </c:valAx>
    </c:plotArea>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Hoja1!$B$1</c:f>
              <c:strCache>
                <c:ptCount val="1"/>
                <c:pt idx="0">
                  <c:v>CAM</c:v>
                </c:pt>
              </c:strCache>
            </c:strRef>
          </c:tx>
          <c:invertIfNegative val="0"/>
          <c:dPt>
            <c:idx val="10"/>
            <c:invertIfNegative val="0"/>
            <c:bubble3D val="0"/>
            <c:spPr>
              <a:solidFill>
                <a:srgbClr val="00B050"/>
              </a:solidFill>
            </c:spPr>
            <c:extLst>
              <c:ext xmlns:c16="http://schemas.microsoft.com/office/drawing/2014/chart" uri="{C3380CC4-5D6E-409C-BE32-E72D297353CC}">
                <c16:uniqueId val="{00000001-E815-409F-8336-D5D5B1806C2D}"/>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movingAvg"/>
            <c:period val="2"/>
            <c:dispRSqr val="0"/>
            <c:dispEq val="0"/>
          </c:trendline>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Hoja1!$B$2:$B$12</c:f>
              <c:numCache>
                <c:formatCode>General</c:formatCode>
                <c:ptCount val="11"/>
                <c:pt idx="0">
                  <c:v>3.7</c:v>
                </c:pt>
                <c:pt idx="1">
                  <c:v>4.7</c:v>
                </c:pt>
                <c:pt idx="2">
                  <c:v>8</c:v>
                </c:pt>
                <c:pt idx="3">
                  <c:v>7.1</c:v>
                </c:pt>
                <c:pt idx="4">
                  <c:v>6.3</c:v>
                </c:pt>
                <c:pt idx="5">
                  <c:v>9.3000000000000007</c:v>
                </c:pt>
                <c:pt idx="6">
                  <c:v>8.6</c:v>
                </c:pt>
                <c:pt idx="7">
                  <c:v>14.6</c:v>
                </c:pt>
                <c:pt idx="8">
                  <c:v>17.100000000000001</c:v>
                </c:pt>
                <c:pt idx="9">
                  <c:v>21.1</c:v>
                </c:pt>
                <c:pt idx="10">
                  <c:v>13.08</c:v>
                </c:pt>
              </c:numCache>
            </c:numRef>
          </c:val>
          <c:extLst>
            <c:ext xmlns:c16="http://schemas.microsoft.com/office/drawing/2014/chart" uri="{C3380CC4-5D6E-409C-BE32-E72D297353CC}">
              <c16:uniqueId val="{00000002-E815-409F-8336-D5D5B1806C2D}"/>
            </c:ext>
          </c:extLst>
        </c:ser>
        <c:ser>
          <c:idx val="1"/>
          <c:order val="1"/>
          <c:tx>
            <c:strRef>
              <c:f>Hoja1!$C$1</c:f>
              <c:strCache>
                <c:ptCount val="1"/>
                <c:pt idx="0">
                  <c:v>España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movingAvg"/>
            <c:period val="2"/>
            <c:dispRSqr val="0"/>
            <c:dispEq val="0"/>
          </c:trendline>
          <c:cat>
            <c:numRef>
              <c:f>Hoja1!$A$2:$A$12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Hoja1!$C$2:$C$12</c:f>
              <c:numCache>
                <c:formatCode>General</c:formatCode>
                <c:ptCount val="11"/>
                <c:pt idx="0">
                  <c:v>12.4</c:v>
                </c:pt>
                <c:pt idx="1">
                  <c:v>13.8</c:v>
                </c:pt>
                <c:pt idx="2">
                  <c:v>15.5</c:v>
                </c:pt>
                <c:pt idx="3">
                  <c:v>16.899999999999999</c:v>
                </c:pt>
                <c:pt idx="4">
                  <c:v>20.399999999999999</c:v>
                </c:pt>
                <c:pt idx="5">
                  <c:v>20.399999999999999</c:v>
                </c:pt>
                <c:pt idx="6">
                  <c:v>20.6</c:v>
                </c:pt>
                <c:pt idx="7">
                  <c:v>22.3</c:v>
                </c:pt>
                <c:pt idx="8">
                  <c:v>23</c:v>
                </c:pt>
                <c:pt idx="9">
                  <c:v>24.7</c:v>
                </c:pt>
              </c:numCache>
            </c:numRef>
          </c:val>
          <c:extLst>
            <c:ext xmlns:c16="http://schemas.microsoft.com/office/drawing/2014/chart" uri="{C3380CC4-5D6E-409C-BE32-E72D297353CC}">
              <c16:uniqueId val="{00000003-E815-409F-8336-D5D5B1806C2D}"/>
            </c:ext>
          </c:extLst>
        </c:ser>
        <c:dLbls>
          <c:showLegendKey val="0"/>
          <c:showVal val="0"/>
          <c:showCatName val="0"/>
          <c:showSerName val="0"/>
          <c:showPercent val="0"/>
          <c:showBubbleSize val="0"/>
        </c:dLbls>
        <c:gapWidth val="150"/>
        <c:axId val="980850624"/>
        <c:axId val="980846312"/>
      </c:barChart>
      <c:catAx>
        <c:axId val="980850624"/>
        <c:scaling>
          <c:orientation val="minMax"/>
        </c:scaling>
        <c:delete val="0"/>
        <c:axPos val="b"/>
        <c:numFmt formatCode="General" sourceLinked="1"/>
        <c:majorTickMark val="out"/>
        <c:minorTickMark val="none"/>
        <c:tickLblPos val="nextTo"/>
        <c:crossAx val="980846312"/>
        <c:crosses val="autoZero"/>
        <c:auto val="1"/>
        <c:lblAlgn val="ctr"/>
        <c:lblOffset val="100"/>
        <c:noMultiLvlLbl val="0"/>
      </c:catAx>
      <c:valAx>
        <c:axId val="980846312"/>
        <c:scaling>
          <c:orientation val="minMax"/>
        </c:scaling>
        <c:delete val="0"/>
        <c:axPos val="l"/>
        <c:majorGridlines/>
        <c:numFmt formatCode="General" sourceLinked="1"/>
        <c:majorTickMark val="out"/>
        <c:minorTickMark val="none"/>
        <c:tickLblPos val="nextTo"/>
        <c:crossAx val="980850624"/>
        <c:crosses val="autoZero"/>
        <c:crossBetween val="between"/>
      </c:valAx>
    </c:plotArea>
    <c:legend>
      <c:legendPos val="r"/>
      <c:legendEntry>
        <c:idx val="2"/>
        <c:delete val="1"/>
      </c:legendEntry>
      <c:legendEntry>
        <c:idx val="3"/>
        <c:delete val="1"/>
      </c:legendEntry>
      <c:layout>
        <c:manualLayout>
          <c:xMode val="edge"/>
          <c:yMode val="edge"/>
          <c:x val="0.8470837253057385"/>
          <c:y val="0.36242946954751165"/>
          <c:w val="0.15056444026340546"/>
          <c:h val="0.21870082708115426"/>
        </c:manualLayout>
      </c:layout>
      <c:overlay val="0"/>
    </c:legend>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barChart>
        <c:barDir val="col"/>
        <c:grouping val="clustered"/>
        <c:varyColors val="0"/>
        <c:ser>
          <c:idx val="0"/>
          <c:order val="0"/>
          <c:tx>
            <c:strRef>
              <c:f>Hoja1!$B$1</c:f>
              <c:strCache>
                <c:ptCount val="1"/>
                <c:pt idx="0">
                  <c:v>INCIDENTES TRANSFUSIONALES POR HOSPITALES Datos absolutos</c:v>
                </c:pt>
              </c:strCache>
            </c:strRef>
          </c:tx>
          <c:invertIfNegative val="0"/>
          <c:dPt>
            <c:idx val="24"/>
            <c:invertIfNegative val="0"/>
            <c:bubble3D val="0"/>
            <c:spPr>
              <a:solidFill>
                <a:srgbClr val="0070C0"/>
              </a:solidFill>
            </c:spPr>
            <c:extLst>
              <c:ext xmlns:c16="http://schemas.microsoft.com/office/drawing/2014/chart" uri="{C3380CC4-5D6E-409C-BE32-E72D297353CC}">
                <c16:uniqueId val="{00000001-BB82-4E1A-B238-A8D2963723E3}"/>
              </c:ext>
            </c:extLst>
          </c:dPt>
          <c:dPt>
            <c:idx val="25"/>
            <c:invertIfNegative val="0"/>
            <c:bubble3D val="0"/>
            <c:spPr>
              <a:solidFill>
                <a:srgbClr val="0070C0"/>
              </a:solidFill>
            </c:spPr>
            <c:extLst>
              <c:ext xmlns:c16="http://schemas.microsoft.com/office/drawing/2014/chart" uri="{C3380CC4-5D6E-409C-BE32-E72D297353CC}">
                <c16:uniqueId val="{00000003-BB82-4E1A-B238-A8D2963723E3}"/>
              </c:ext>
            </c:extLst>
          </c:dPt>
          <c:dPt>
            <c:idx val="26"/>
            <c:invertIfNegative val="0"/>
            <c:bubble3D val="0"/>
            <c:spPr>
              <a:solidFill>
                <a:srgbClr val="0070C0"/>
              </a:solidFill>
            </c:spPr>
            <c:extLst>
              <c:ext xmlns:c16="http://schemas.microsoft.com/office/drawing/2014/chart" uri="{C3380CC4-5D6E-409C-BE32-E72D297353CC}">
                <c16:uniqueId val="{00000005-BB82-4E1A-B238-A8D2963723E3}"/>
              </c:ext>
            </c:extLst>
          </c:dPt>
          <c:dPt>
            <c:idx val="27"/>
            <c:invertIfNegative val="0"/>
            <c:bubble3D val="0"/>
            <c:spPr>
              <a:solidFill>
                <a:srgbClr val="0070C0"/>
              </a:solidFill>
              <a:ln>
                <a:solidFill>
                  <a:schemeClr val="accent1"/>
                </a:solidFill>
              </a:ln>
            </c:spPr>
            <c:extLst>
              <c:ext xmlns:c16="http://schemas.microsoft.com/office/drawing/2014/chart" uri="{C3380CC4-5D6E-409C-BE32-E72D297353CC}">
                <c16:uniqueId val="{00000007-BB82-4E1A-B238-A8D2963723E3}"/>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Hoja1!$A$2:$A$28</c:f>
              <c:strCache>
                <c:ptCount val="27"/>
                <c:pt idx="0">
                  <c:v>Clínica Cemtro</c:v>
                </c:pt>
                <c:pt idx="1">
                  <c:v>H. de El Escorial</c:v>
                </c:pt>
                <c:pt idx="2">
                  <c:v>H. del Sur</c:v>
                </c:pt>
                <c:pt idx="3">
                  <c:v>H. La Paz</c:v>
                </c:pt>
                <c:pt idx="4">
                  <c:v>H. La Zarzuela</c:v>
                </c:pt>
                <c:pt idx="5">
                  <c:v>N. Sra de América</c:v>
                </c:pt>
                <c:pt idx="6">
                  <c:v>Torrejón</c:v>
                </c:pt>
                <c:pt idx="7">
                  <c:v>Sanchinarro</c:v>
                </c:pt>
                <c:pt idx="8">
                  <c:v>Clínica La Luz</c:v>
                </c:pt>
                <c:pt idx="9">
                  <c:v>C.O. MD. Anderson</c:v>
                </c:pt>
                <c:pt idx="10">
                  <c:v>H. Henares</c:v>
                </c:pt>
                <c:pt idx="11">
                  <c:v>Rey Juan Carlos</c:v>
                </c:pt>
                <c:pt idx="12">
                  <c:v>H. Moncloa</c:v>
                </c:pt>
                <c:pt idx="13">
                  <c:v>H. Severo Ochoa</c:v>
                </c:pt>
                <c:pt idx="14">
                  <c:v>H. Alcorcón</c:v>
                </c:pt>
                <c:pt idx="15">
                  <c:v>Hospital de Getafe</c:v>
                </c:pt>
                <c:pt idx="16">
                  <c:v>H. Ppe. de Asturias</c:v>
                </c:pt>
                <c:pt idx="17">
                  <c:v>H. Infanta Leonor</c:v>
                </c:pt>
                <c:pt idx="18">
                  <c:v>H. Niño Jesús</c:v>
                </c:pt>
                <c:pt idx="19">
                  <c:v>H. Doce de Octubre</c:v>
                </c:pt>
                <c:pt idx="20">
                  <c:v>H. Infanta Sofía</c:v>
                </c:pt>
                <c:pt idx="21">
                  <c:v>H. Princesa</c:v>
                </c:pt>
                <c:pt idx="22">
                  <c:v>Hospital de Móstoles</c:v>
                </c:pt>
                <c:pt idx="23">
                  <c:v>H.G.U. G. Marañón</c:v>
                </c:pt>
                <c:pt idx="24">
                  <c:v>H. Ramón y Cajal</c:v>
                </c:pt>
                <c:pt idx="25">
                  <c:v>F. Jiménez Díaz</c:v>
                </c:pt>
                <c:pt idx="26">
                  <c:v>H. Puerta de Hierro</c:v>
                </c:pt>
              </c:strCache>
            </c:strRef>
          </c:cat>
          <c:val>
            <c:numRef>
              <c:f>Hoja1!$B$2:$B$28</c:f>
              <c:numCache>
                <c:formatCode>General</c:formatCode>
                <c:ptCount val="27"/>
                <c:pt idx="0">
                  <c:v>1</c:v>
                </c:pt>
                <c:pt idx="1">
                  <c:v>1</c:v>
                </c:pt>
                <c:pt idx="2">
                  <c:v>1</c:v>
                </c:pt>
                <c:pt idx="3">
                  <c:v>1</c:v>
                </c:pt>
                <c:pt idx="4">
                  <c:v>1</c:v>
                </c:pt>
                <c:pt idx="5">
                  <c:v>1</c:v>
                </c:pt>
                <c:pt idx="6">
                  <c:v>1</c:v>
                </c:pt>
                <c:pt idx="7">
                  <c:v>2</c:v>
                </c:pt>
                <c:pt idx="8">
                  <c:v>2</c:v>
                </c:pt>
                <c:pt idx="9">
                  <c:v>2</c:v>
                </c:pt>
                <c:pt idx="10">
                  <c:v>2</c:v>
                </c:pt>
                <c:pt idx="11">
                  <c:v>2</c:v>
                </c:pt>
                <c:pt idx="12">
                  <c:v>3</c:v>
                </c:pt>
                <c:pt idx="13">
                  <c:v>4</c:v>
                </c:pt>
                <c:pt idx="14">
                  <c:v>4</c:v>
                </c:pt>
                <c:pt idx="15">
                  <c:v>5</c:v>
                </c:pt>
                <c:pt idx="16">
                  <c:v>5</c:v>
                </c:pt>
                <c:pt idx="17">
                  <c:v>5</c:v>
                </c:pt>
                <c:pt idx="18">
                  <c:v>8</c:v>
                </c:pt>
                <c:pt idx="19">
                  <c:v>8</c:v>
                </c:pt>
                <c:pt idx="20">
                  <c:v>12</c:v>
                </c:pt>
                <c:pt idx="21">
                  <c:v>19</c:v>
                </c:pt>
                <c:pt idx="22">
                  <c:v>20</c:v>
                </c:pt>
                <c:pt idx="23">
                  <c:v>20</c:v>
                </c:pt>
                <c:pt idx="24">
                  <c:v>44</c:v>
                </c:pt>
                <c:pt idx="25">
                  <c:v>67</c:v>
                </c:pt>
                <c:pt idx="26">
                  <c:v>89</c:v>
                </c:pt>
              </c:numCache>
            </c:numRef>
          </c:val>
          <c:extLst>
            <c:ext xmlns:c16="http://schemas.microsoft.com/office/drawing/2014/chart" uri="{C3380CC4-5D6E-409C-BE32-E72D297353CC}">
              <c16:uniqueId val="{00000008-BB82-4E1A-B238-A8D2963723E3}"/>
            </c:ext>
          </c:extLst>
        </c:ser>
        <c:dLbls>
          <c:showLegendKey val="0"/>
          <c:showVal val="0"/>
          <c:showCatName val="0"/>
          <c:showSerName val="0"/>
          <c:showPercent val="0"/>
          <c:showBubbleSize val="0"/>
        </c:dLbls>
        <c:gapWidth val="150"/>
        <c:axId val="980842784"/>
        <c:axId val="980844352"/>
      </c:barChart>
      <c:catAx>
        <c:axId val="980842784"/>
        <c:scaling>
          <c:orientation val="minMax"/>
        </c:scaling>
        <c:delete val="0"/>
        <c:axPos val="b"/>
        <c:numFmt formatCode="General" sourceLinked="0"/>
        <c:majorTickMark val="out"/>
        <c:minorTickMark val="none"/>
        <c:tickLblPos val="nextTo"/>
        <c:txPr>
          <a:bodyPr/>
          <a:lstStyle/>
          <a:p>
            <a:pPr>
              <a:defRPr sz="800" baseline="0">
                <a:latin typeface="Calibri" panose="020F0502020204030204" pitchFamily="34" charset="0"/>
                <a:cs typeface="Calibri" panose="020F0502020204030204" pitchFamily="34" charset="0"/>
              </a:defRPr>
            </a:pPr>
            <a:endParaRPr lang="es-ES"/>
          </a:p>
        </c:txPr>
        <c:crossAx val="980844352"/>
        <c:crosses val="autoZero"/>
        <c:auto val="1"/>
        <c:lblAlgn val="ctr"/>
        <c:lblOffset val="100"/>
        <c:noMultiLvlLbl val="0"/>
      </c:catAx>
      <c:valAx>
        <c:axId val="980844352"/>
        <c:scaling>
          <c:orientation val="minMax"/>
        </c:scaling>
        <c:delete val="0"/>
        <c:axPos val="l"/>
        <c:majorGridlines/>
        <c:numFmt formatCode="General" sourceLinked="1"/>
        <c:majorTickMark val="out"/>
        <c:minorTickMark val="none"/>
        <c:tickLblPos val="nextTo"/>
        <c:crossAx val="98084278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[Unidades Extraidas ENERO-DICIEMBRE 2020.xlsx]Hoja2!Tabla dinámica12</c:name>
    <c:fmtId val="-1"/>
  </c:pivotSource>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r>
              <a:rPr lang="es-ES"/>
              <a:t>Colectas externas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endParaRPr lang="es-E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s>
    <c:plotArea>
      <c:layout/>
      <c:barChart>
        <c:barDir val="col"/>
        <c:grouping val="clustered"/>
        <c:varyColors val="0"/>
        <c:ser>
          <c:idx val="0"/>
          <c:order val="0"/>
          <c:tx>
            <c:strRef>
              <c:f>Hoja2!$B$54:$B$55</c:f>
              <c:strCache>
                <c:ptCount val="1"/>
                <c:pt idx="0">
                  <c:v>2019</c:v>
                </c:pt>
              </c:strCache>
            </c:strRef>
          </c:tx>
          <c:spPr>
            <a:solidFill>
              <a:schemeClr val="accent1">
                <a:lumMod val="60000"/>
                <a:lumOff val="40000"/>
              </a:schemeClr>
            </a:solidFill>
            <a:ln>
              <a:noFill/>
            </a:ln>
            <a:effectLst/>
          </c:spPr>
          <c:invertIfNegative val="0"/>
          <c:cat>
            <c:multiLvlStrRef>
              <c:f>Hoja2!$A$56:$A$69</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Colectas externas</c:v>
                  </c:pt>
                </c:lvl>
              </c:multiLvlStrCache>
            </c:multiLvlStrRef>
          </c:cat>
          <c:val>
            <c:numRef>
              <c:f>Hoja2!$B$56:$B$69</c:f>
              <c:numCache>
                <c:formatCode>General</c:formatCode>
                <c:ptCount val="12"/>
                <c:pt idx="0">
                  <c:v>9450</c:v>
                </c:pt>
                <c:pt idx="1">
                  <c:v>10537</c:v>
                </c:pt>
                <c:pt idx="2">
                  <c:v>11228</c:v>
                </c:pt>
                <c:pt idx="3">
                  <c:v>9224</c:v>
                </c:pt>
                <c:pt idx="4">
                  <c:v>9847</c:v>
                </c:pt>
                <c:pt idx="5">
                  <c:v>10572</c:v>
                </c:pt>
                <c:pt idx="6">
                  <c:v>7386</c:v>
                </c:pt>
                <c:pt idx="7">
                  <c:v>6594</c:v>
                </c:pt>
                <c:pt idx="8">
                  <c:v>9932</c:v>
                </c:pt>
                <c:pt idx="9">
                  <c:v>11660</c:v>
                </c:pt>
                <c:pt idx="10">
                  <c:v>10148</c:v>
                </c:pt>
                <c:pt idx="11">
                  <c:v>7714</c:v>
                </c:pt>
              </c:numCache>
            </c:numRef>
          </c:val>
          <c:extLst>
            <c:ext xmlns:c16="http://schemas.microsoft.com/office/drawing/2014/chart" uri="{C3380CC4-5D6E-409C-BE32-E72D297353CC}">
              <c16:uniqueId val="{00000000-0E6D-41E2-A575-F38F3669558D}"/>
            </c:ext>
          </c:extLst>
        </c:ser>
        <c:ser>
          <c:idx val="1"/>
          <c:order val="1"/>
          <c:tx>
            <c:strRef>
              <c:f>Hoja2!$C$54:$C$55</c:f>
              <c:strCache>
                <c:ptCount val="1"/>
                <c:pt idx="0">
                  <c:v>2020</c:v>
                </c:pt>
              </c:strCache>
            </c:strRef>
          </c:tx>
          <c:spPr>
            <a:solidFill>
              <a:schemeClr val="tx2">
                <a:lumMod val="60000"/>
                <a:lumOff val="40000"/>
              </a:schemeClr>
            </a:solidFill>
            <a:ln>
              <a:noFill/>
            </a:ln>
            <a:effectLst/>
          </c:spPr>
          <c:invertIfNegative val="0"/>
          <c:cat>
            <c:multiLvlStrRef>
              <c:f>Hoja2!$A$56:$A$69</c:f>
              <c:multiLvlStrCache>
                <c:ptCount val="12"/>
                <c:lvl>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lvl>
                <c:lvl>
                  <c:pt idx="0">
                    <c:v>Colectas externas</c:v>
                  </c:pt>
                </c:lvl>
              </c:multiLvlStrCache>
            </c:multiLvlStrRef>
          </c:cat>
          <c:val>
            <c:numRef>
              <c:f>Hoja2!$C$56:$C$69</c:f>
              <c:numCache>
                <c:formatCode>General</c:formatCode>
                <c:ptCount val="12"/>
                <c:pt idx="0">
                  <c:v>9289</c:v>
                </c:pt>
                <c:pt idx="1">
                  <c:v>10037</c:v>
                </c:pt>
                <c:pt idx="2">
                  <c:v>9846</c:v>
                </c:pt>
                <c:pt idx="3">
                  <c:v>9970</c:v>
                </c:pt>
                <c:pt idx="4">
                  <c:v>10108</c:v>
                </c:pt>
                <c:pt idx="5">
                  <c:v>9835</c:v>
                </c:pt>
                <c:pt idx="6">
                  <c:v>7937</c:v>
                </c:pt>
                <c:pt idx="7">
                  <c:v>7355</c:v>
                </c:pt>
                <c:pt idx="8">
                  <c:v>9107</c:v>
                </c:pt>
                <c:pt idx="9">
                  <c:v>9652</c:v>
                </c:pt>
                <c:pt idx="10">
                  <c:v>9226</c:v>
                </c:pt>
                <c:pt idx="11">
                  <c:v>8276</c:v>
                </c:pt>
              </c:numCache>
            </c:numRef>
          </c:val>
          <c:extLst>
            <c:ext xmlns:c16="http://schemas.microsoft.com/office/drawing/2014/chart" uri="{C3380CC4-5D6E-409C-BE32-E72D297353CC}">
              <c16:uniqueId val="{00000001-0E6D-41E2-A575-F38F3669558D}"/>
            </c:ext>
          </c:extLst>
        </c:ser>
        <c:dLbls>
          <c:showLegendKey val="0"/>
          <c:showVal val="0"/>
          <c:showCatName val="0"/>
          <c:showSerName val="0"/>
          <c:showPercent val="0"/>
          <c:showBubbleSize val="0"/>
        </c:dLbls>
        <c:gapWidth val="150"/>
        <c:axId val="339210600"/>
        <c:axId val="339207856"/>
      </c:barChart>
      <c:catAx>
        <c:axId val="339210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39207856"/>
        <c:crosses val="autoZero"/>
        <c:auto val="1"/>
        <c:lblAlgn val="ctr"/>
        <c:lblOffset val="100"/>
        <c:noMultiLvlLbl val="0"/>
      </c:catAx>
      <c:valAx>
        <c:axId val="339207856"/>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3392106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ontserrat" panose="00000500000000000000" pitchFamily="2" charset="0"/>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INCIDENTES TRANSFUSIONALES POR HOSPITALES Datos relativos / 10</a:t>
            </a:r>
            <a:r>
              <a:rPr lang="en-US" sz="1100">
                <a:latin typeface="Calibri" panose="020F0502020204030204" pitchFamily="34" charset="0"/>
              </a:rPr>
              <a:t>⁴</a:t>
            </a:r>
            <a:endParaRPr lang="en-US" sz="1100"/>
          </a:p>
        </c:rich>
      </c:tx>
      <c:overlay val="0"/>
    </c:title>
    <c:autoTitleDeleted val="0"/>
    <c:plotArea>
      <c:layout/>
      <c:barChart>
        <c:barDir val="col"/>
        <c:grouping val="clustered"/>
        <c:varyColors val="0"/>
        <c:ser>
          <c:idx val="0"/>
          <c:order val="0"/>
          <c:tx>
            <c:strRef>
              <c:f>Hoja1!$B$1</c:f>
              <c:strCache>
                <c:ptCount val="1"/>
                <c:pt idx="0">
                  <c:v>INCIDENTES TRANSFUSIONALES POR HOSPITALES Datos absolutos</c:v>
                </c:pt>
              </c:strCache>
            </c:strRef>
          </c:tx>
          <c:invertIfNegative val="0"/>
          <c:dPt>
            <c:idx val="24"/>
            <c:invertIfNegative val="0"/>
            <c:bubble3D val="0"/>
            <c:spPr>
              <a:solidFill>
                <a:srgbClr val="0070C0"/>
              </a:solidFill>
            </c:spPr>
            <c:extLst>
              <c:ext xmlns:c16="http://schemas.microsoft.com/office/drawing/2014/chart" uri="{C3380CC4-5D6E-409C-BE32-E72D297353CC}">
                <c16:uniqueId val="{00000001-8C29-471B-9F7B-EBBB5F48F972}"/>
              </c:ext>
            </c:extLst>
          </c:dPt>
          <c:dPt>
            <c:idx val="25"/>
            <c:invertIfNegative val="0"/>
            <c:bubble3D val="0"/>
            <c:spPr>
              <a:solidFill>
                <a:srgbClr val="0070C0"/>
              </a:solidFill>
            </c:spPr>
            <c:extLst>
              <c:ext xmlns:c16="http://schemas.microsoft.com/office/drawing/2014/chart" uri="{C3380CC4-5D6E-409C-BE32-E72D297353CC}">
                <c16:uniqueId val="{00000003-8C29-471B-9F7B-EBBB5F48F972}"/>
              </c:ext>
            </c:extLst>
          </c:dPt>
          <c:dPt>
            <c:idx val="26"/>
            <c:invertIfNegative val="0"/>
            <c:bubble3D val="0"/>
            <c:spPr>
              <a:solidFill>
                <a:srgbClr val="0070C0"/>
              </a:solidFill>
            </c:spPr>
            <c:extLst>
              <c:ext xmlns:c16="http://schemas.microsoft.com/office/drawing/2014/chart" uri="{C3380CC4-5D6E-409C-BE32-E72D297353CC}">
                <c16:uniqueId val="{00000005-8C29-471B-9F7B-EBBB5F48F972}"/>
              </c:ext>
            </c:extLst>
          </c:dPt>
          <c:dPt>
            <c:idx val="27"/>
            <c:invertIfNegative val="0"/>
            <c:bubble3D val="0"/>
            <c:spPr>
              <a:solidFill>
                <a:srgbClr val="0070C0"/>
              </a:solidFill>
              <a:ln>
                <a:solidFill>
                  <a:schemeClr val="accent1"/>
                </a:solidFill>
              </a:ln>
            </c:spPr>
            <c:extLst>
              <c:ext xmlns:c16="http://schemas.microsoft.com/office/drawing/2014/chart" uri="{C3380CC4-5D6E-409C-BE32-E72D297353CC}">
                <c16:uniqueId val="{00000007-8C29-471B-9F7B-EBBB5F48F972}"/>
              </c:ext>
            </c:extLst>
          </c:dPt>
          <c:dLbls>
            <c:dLbl>
              <c:idx val="3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C29-471B-9F7B-EBBB5F48F97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Hoja1!$A$2:$A$28</c:f>
              <c:strCache>
                <c:ptCount val="27"/>
                <c:pt idx="0">
                  <c:v>La Paz</c:v>
                </c:pt>
                <c:pt idx="1">
                  <c:v>Sanchinarro</c:v>
                </c:pt>
                <c:pt idx="2">
                  <c:v>Rey J Carlos</c:v>
                </c:pt>
                <c:pt idx="3">
                  <c:v>Doce de Oct</c:v>
                </c:pt>
                <c:pt idx="4">
                  <c:v>Torrejón</c:v>
                </c:pt>
                <c:pt idx="5">
                  <c:v>Zarzuela</c:v>
                </c:pt>
                <c:pt idx="6">
                  <c:v>Henares</c:v>
                </c:pt>
                <c:pt idx="7">
                  <c:v>Moncloa</c:v>
                </c:pt>
                <c:pt idx="8">
                  <c:v>Escorial</c:v>
                </c:pt>
                <c:pt idx="9">
                  <c:v>Marañón</c:v>
                </c:pt>
                <c:pt idx="10">
                  <c:v>P de Asturias</c:v>
                </c:pt>
                <c:pt idx="11">
                  <c:v>S Ochoa</c:v>
                </c:pt>
                <c:pt idx="12">
                  <c:v>Getafe</c:v>
                </c:pt>
                <c:pt idx="13">
                  <c:v>Alcorcón</c:v>
                </c:pt>
                <c:pt idx="14">
                  <c:v>H. Sur</c:v>
                </c:pt>
                <c:pt idx="15">
                  <c:v>I Leonor</c:v>
                </c:pt>
                <c:pt idx="16">
                  <c:v>MD Anderson</c:v>
                </c:pt>
                <c:pt idx="17">
                  <c:v>N. Sra de América</c:v>
                </c:pt>
                <c:pt idx="18">
                  <c:v>La Luz</c:v>
                </c:pt>
                <c:pt idx="19">
                  <c:v>Cemtro</c:v>
                </c:pt>
                <c:pt idx="20">
                  <c:v>Princesa</c:v>
                </c:pt>
                <c:pt idx="21">
                  <c:v>I Sofía</c:v>
                </c:pt>
                <c:pt idx="22">
                  <c:v>Niño Jesús</c:v>
                </c:pt>
                <c:pt idx="23">
                  <c:v>Ramón y C</c:v>
                </c:pt>
                <c:pt idx="24">
                  <c:v>P de Hierro</c:v>
                </c:pt>
                <c:pt idx="25">
                  <c:v>F Jiménez D</c:v>
                </c:pt>
                <c:pt idx="26">
                  <c:v>Móstoles</c:v>
                </c:pt>
              </c:strCache>
            </c:strRef>
          </c:cat>
          <c:val>
            <c:numRef>
              <c:f>Hoja1!$B$2:$B$28</c:f>
              <c:numCache>
                <c:formatCode>0.00</c:formatCode>
                <c:ptCount val="27"/>
                <c:pt idx="0">
                  <c:v>0.41</c:v>
                </c:pt>
                <c:pt idx="1">
                  <c:v>1.8</c:v>
                </c:pt>
                <c:pt idx="2">
                  <c:v>2.9</c:v>
                </c:pt>
                <c:pt idx="3">
                  <c:v>2.97</c:v>
                </c:pt>
                <c:pt idx="4">
                  <c:v>4.29</c:v>
                </c:pt>
                <c:pt idx="5">
                  <c:v>4.6100000000000003</c:v>
                </c:pt>
                <c:pt idx="6">
                  <c:v>5.73</c:v>
                </c:pt>
                <c:pt idx="7">
                  <c:v>5.96</c:v>
                </c:pt>
                <c:pt idx="8">
                  <c:v>6.88</c:v>
                </c:pt>
                <c:pt idx="9">
                  <c:v>6.58</c:v>
                </c:pt>
                <c:pt idx="10">
                  <c:v>7.36</c:v>
                </c:pt>
                <c:pt idx="11">
                  <c:v>7.05</c:v>
                </c:pt>
                <c:pt idx="12">
                  <c:v>8.26</c:v>
                </c:pt>
                <c:pt idx="13">
                  <c:v>9.02</c:v>
                </c:pt>
                <c:pt idx="14">
                  <c:v>9.4</c:v>
                </c:pt>
                <c:pt idx="15">
                  <c:v>9.4</c:v>
                </c:pt>
                <c:pt idx="16">
                  <c:v>9.5399999999999991</c:v>
                </c:pt>
                <c:pt idx="17">
                  <c:v>10.76</c:v>
                </c:pt>
                <c:pt idx="18">
                  <c:v>13.21</c:v>
                </c:pt>
                <c:pt idx="19">
                  <c:v>15.06</c:v>
                </c:pt>
                <c:pt idx="20">
                  <c:v>16.079999999999998</c:v>
                </c:pt>
                <c:pt idx="21">
                  <c:v>19.170000000000002</c:v>
                </c:pt>
                <c:pt idx="22">
                  <c:v>20.77</c:v>
                </c:pt>
                <c:pt idx="23">
                  <c:v>23.47</c:v>
                </c:pt>
                <c:pt idx="24">
                  <c:v>49.07</c:v>
                </c:pt>
                <c:pt idx="25">
                  <c:v>55.63</c:v>
                </c:pt>
                <c:pt idx="26">
                  <c:v>57.02</c:v>
                </c:pt>
              </c:numCache>
            </c:numRef>
          </c:val>
          <c:extLst>
            <c:ext xmlns:c16="http://schemas.microsoft.com/office/drawing/2014/chart" uri="{C3380CC4-5D6E-409C-BE32-E72D297353CC}">
              <c16:uniqueId val="{00000009-8C29-471B-9F7B-EBBB5F48F972}"/>
            </c:ext>
          </c:extLst>
        </c:ser>
        <c:dLbls>
          <c:showLegendKey val="0"/>
          <c:showVal val="0"/>
          <c:showCatName val="0"/>
          <c:showSerName val="0"/>
          <c:showPercent val="0"/>
          <c:showBubbleSize val="0"/>
        </c:dLbls>
        <c:gapWidth val="150"/>
        <c:axId val="980838472"/>
        <c:axId val="980839648"/>
      </c:barChart>
      <c:catAx>
        <c:axId val="980838472"/>
        <c:scaling>
          <c:orientation val="minMax"/>
        </c:scaling>
        <c:delete val="0"/>
        <c:axPos val="b"/>
        <c:numFmt formatCode="General" sourceLinked="0"/>
        <c:majorTickMark val="out"/>
        <c:minorTickMark val="none"/>
        <c:tickLblPos val="nextTo"/>
        <c:txPr>
          <a:bodyPr/>
          <a:lstStyle/>
          <a:p>
            <a:pPr>
              <a:defRPr sz="800" baseline="0">
                <a:latin typeface="Calibri" panose="020F0502020204030204" pitchFamily="34" charset="0"/>
                <a:cs typeface="Calibri" panose="020F0502020204030204" pitchFamily="34" charset="0"/>
              </a:defRPr>
            </a:pPr>
            <a:endParaRPr lang="es-ES"/>
          </a:p>
        </c:txPr>
        <c:crossAx val="980839648"/>
        <c:crosses val="autoZero"/>
        <c:auto val="1"/>
        <c:lblAlgn val="ctr"/>
        <c:lblOffset val="100"/>
        <c:noMultiLvlLbl val="0"/>
      </c:catAx>
      <c:valAx>
        <c:axId val="980839648"/>
        <c:scaling>
          <c:orientation val="minMax"/>
        </c:scaling>
        <c:delete val="0"/>
        <c:axPos val="l"/>
        <c:majorGridlines/>
        <c:numFmt formatCode="0.00" sourceLinked="1"/>
        <c:majorTickMark val="out"/>
        <c:minorTickMark val="none"/>
        <c:tickLblPos val="nextTo"/>
        <c:crossAx val="980838472"/>
        <c:crosses val="autoZero"/>
        <c:crossBetween val="between"/>
      </c:valAx>
      <c:spPr>
        <a:noFill/>
        <a:ln w="25400">
          <a:noFill/>
        </a:ln>
      </c:spPr>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s-ES" sz="1100"/>
              <a:t>Componente sanguíneo implicado</a:t>
            </a:r>
          </a:p>
        </c:rich>
      </c:tx>
      <c:overlay val="0"/>
    </c:title>
    <c:autoTitleDeleted val="0"/>
    <c:plotArea>
      <c:layout/>
      <c:pieChart>
        <c:varyColors val="1"/>
        <c:ser>
          <c:idx val="0"/>
          <c:order val="0"/>
          <c:tx>
            <c:strRef>
              <c:f>Hoja1!$B$1</c:f>
              <c:strCache>
                <c:ptCount val="1"/>
                <c:pt idx="0">
                  <c:v>Componente sanguineo implicado</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Hoja1!$A$2:$A$5</c:f>
              <c:strCache>
                <c:ptCount val="4"/>
                <c:pt idx="0">
                  <c:v>Hematíes</c:v>
                </c:pt>
                <c:pt idx="1">
                  <c:v>Plaquetas</c:v>
                </c:pt>
                <c:pt idx="2">
                  <c:v>Plasma</c:v>
                </c:pt>
                <c:pt idx="3">
                  <c:v>Multicomponentes </c:v>
                </c:pt>
              </c:strCache>
            </c:strRef>
          </c:cat>
          <c:val>
            <c:numRef>
              <c:f>Hoja1!$B$2:$B$5</c:f>
              <c:numCache>
                <c:formatCode>General</c:formatCode>
                <c:ptCount val="4"/>
                <c:pt idx="0">
                  <c:v>251</c:v>
                </c:pt>
                <c:pt idx="1">
                  <c:v>45</c:v>
                </c:pt>
                <c:pt idx="2">
                  <c:v>27</c:v>
                </c:pt>
                <c:pt idx="3">
                  <c:v>7</c:v>
                </c:pt>
              </c:numCache>
            </c:numRef>
          </c:val>
          <c:extLst>
            <c:ext xmlns:c16="http://schemas.microsoft.com/office/drawing/2014/chart" uri="{C3380CC4-5D6E-409C-BE32-E72D297353CC}">
              <c16:uniqueId val="{00000000-643F-416C-916B-B893F41C368E}"/>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5383079952690368"/>
          <c:y val="0.43443555230903097"/>
          <c:w val="0.23103488340915382"/>
          <c:h val="0.39655820648612644"/>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0412926391382422"/>
          <c:y val="1.9672131147541058E-2"/>
        </c:manualLayout>
      </c:layout>
      <c:overlay val="0"/>
      <c:txPr>
        <a:bodyPr/>
        <a:lstStyle/>
        <a:p>
          <a:pPr>
            <a:defRPr sz="1100"/>
          </a:pPr>
          <a:endParaRPr lang="es-ES"/>
        </a:p>
      </c:txPr>
    </c:title>
    <c:autoTitleDeleted val="0"/>
    <c:plotArea>
      <c:layout/>
      <c:pieChart>
        <c:varyColors val="1"/>
        <c:ser>
          <c:idx val="0"/>
          <c:order val="0"/>
          <c:tx>
            <c:strRef>
              <c:f>Hoja1!$B$1</c:f>
              <c:strCache>
                <c:ptCount val="1"/>
                <c:pt idx="0">
                  <c:v>Distribución de incidentes relacionados con la transfusión</c:v>
                </c:pt>
              </c:strCache>
            </c:strRef>
          </c:tx>
          <c:dLbls>
            <c:dLbl>
              <c:idx val="0"/>
              <c:layout>
                <c:manualLayout>
                  <c:x val="5.1701885243254963E-3"/>
                  <c:y val="-1.18929260348480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75-40F3-A3E6-C0CF570D5461}"/>
                </c:ext>
              </c:extLst>
            </c:dLbl>
            <c:dLbl>
              <c:idx val="1"/>
              <c:layout>
                <c:manualLayout>
                  <c:x val="-7.9109179893813804E-4"/>
                  <c:y val="-4.53973373810201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75-40F3-A3E6-C0CF570D5461}"/>
                </c:ext>
              </c:extLst>
            </c:dLbl>
            <c:dLbl>
              <c:idx val="2"/>
              <c:layout>
                <c:manualLayout>
                  <c:x val="8.8676085963771221E-3"/>
                  <c:y val="-7.99892483319103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75-40F3-A3E6-C0CF570D546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Hoja1!$A$2:$A$4</c:f>
              <c:strCache>
                <c:ptCount val="3"/>
                <c:pt idx="0">
                  <c:v>Reacción adversa transfusional</c:v>
                </c:pt>
                <c:pt idx="1">
                  <c:v>"Casi incidentes"</c:v>
                </c:pt>
                <c:pt idx="2">
                  <c:v>Error en administración de componentes</c:v>
                </c:pt>
              </c:strCache>
            </c:strRef>
          </c:cat>
          <c:val>
            <c:numRef>
              <c:f>Hoja1!$B$2:$B$4</c:f>
              <c:numCache>
                <c:formatCode>General</c:formatCode>
                <c:ptCount val="3"/>
                <c:pt idx="0">
                  <c:v>302</c:v>
                </c:pt>
                <c:pt idx="1">
                  <c:v>47</c:v>
                </c:pt>
                <c:pt idx="2">
                  <c:v>28</c:v>
                </c:pt>
              </c:numCache>
            </c:numRef>
          </c:val>
          <c:extLst>
            <c:ext xmlns:c16="http://schemas.microsoft.com/office/drawing/2014/chart" uri="{C3380CC4-5D6E-409C-BE32-E72D297353CC}">
              <c16:uniqueId val="{00000003-6E75-40F3-A3E6-C0CF570D5461}"/>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0805391417461263"/>
          <c:y val="0.3811235493153724"/>
          <c:w val="0.37086326730453412"/>
          <c:h val="0.37811403092685791"/>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zero"/>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latin typeface="+mn-lt"/>
              </a:defRPr>
            </a:pPr>
            <a:r>
              <a:rPr lang="en-US" sz="1100">
                <a:latin typeface="+mn-lt"/>
              </a:rPr>
              <a:t>Distribución</a:t>
            </a:r>
            <a:r>
              <a:rPr lang="en-US" sz="1100" baseline="0">
                <a:latin typeface="+mn-lt"/>
              </a:rPr>
              <a:t> de reacciones adversas transfusionales</a:t>
            </a:r>
            <a:endParaRPr lang="en-US" sz="1100">
              <a:latin typeface="+mn-lt"/>
            </a:endParaRPr>
          </a:p>
        </c:rich>
      </c:tx>
      <c:layout>
        <c:manualLayout>
          <c:xMode val="edge"/>
          <c:yMode val="edge"/>
          <c:x val="0.15097999274079543"/>
          <c:y val="1.9886305003672569E-2"/>
        </c:manualLayout>
      </c:layout>
      <c:overlay val="0"/>
    </c:title>
    <c:autoTitleDeleted val="0"/>
    <c:plotArea>
      <c:layout/>
      <c:barChart>
        <c:barDir val="col"/>
        <c:grouping val="stacked"/>
        <c:varyColors val="0"/>
        <c:ser>
          <c:idx val="0"/>
          <c:order val="0"/>
          <c:tx>
            <c:strRef>
              <c:f>Hoja1!$B$1</c:f>
              <c:strCache>
                <c:ptCount val="1"/>
                <c:pt idx="0">
                  <c:v>Serie 1</c:v>
                </c:pt>
              </c:strCache>
            </c:strRef>
          </c:tx>
          <c:invertIfNegative val="0"/>
          <c:dLbls>
            <c:dLbl>
              <c:idx val="0"/>
              <c:layout>
                <c:manualLayout>
                  <c:x val="-2.3518344308560675E-3"/>
                  <c:y val="-0.235131041349206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D3D-45AB-81B9-DB282C0767F5}"/>
                </c:ext>
              </c:extLst>
            </c:dLbl>
            <c:dLbl>
              <c:idx val="1"/>
              <c:layout>
                <c:manualLayout>
                  <c:x val="0"/>
                  <c:y val="-0.20814191060864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D3D-45AB-81B9-DB282C0767F5}"/>
                </c:ext>
              </c:extLst>
            </c:dLbl>
            <c:dLbl>
              <c:idx val="2"/>
              <c:layout>
                <c:manualLayout>
                  <c:x val="2.3498875199509149E-3"/>
                  <c:y val="-0.107919940144432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D3D-45AB-81B9-DB282C0767F5}"/>
                </c:ext>
              </c:extLst>
            </c:dLbl>
            <c:dLbl>
              <c:idx val="3"/>
              <c:layout>
                <c:manualLayout>
                  <c:x val="-4.3080773526328109E-17"/>
                  <c:y val="-7.70849780365747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D3D-45AB-81B9-DB282C0767F5}"/>
                </c:ext>
              </c:extLst>
            </c:dLbl>
            <c:dLbl>
              <c:idx val="4"/>
              <c:layout>
                <c:manualLayout>
                  <c:x val="2.3498875199509149E-3"/>
                  <c:y val="-6.5525280542632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D3D-45AB-81B9-DB282C0767F5}"/>
                </c:ext>
              </c:extLst>
            </c:dLbl>
            <c:dLbl>
              <c:idx val="5"/>
              <c:layout>
                <c:manualLayout>
                  <c:x val="-8.6232932961189039E-17"/>
                  <c:y val="-6.93839204949035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D3D-45AB-81B9-DB282C0767F5}"/>
                </c:ext>
              </c:extLst>
            </c:dLbl>
            <c:dLbl>
              <c:idx val="6"/>
              <c:layout>
                <c:manualLayout>
                  <c:x val="-8.6232932961189039E-17"/>
                  <c:y val="-6.93842240421567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D3D-45AB-81B9-DB282C0767F5}"/>
                </c:ext>
              </c:extLst>
            </c:dLbl>
            <c:dLbl>
              <c:idx val="7"/>
              <c:layout>
                <c:manualLayout>
                  <c:x val="2.3498875199509149E-3"/>
                  <c:y val="-3.8558114331172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D3D-45AB-81B9-DB282C0767F5}"/>
                </c:ext>
              </c:extLst>
            </c:dLbl>
            <c:dLbl>
              <c:idx val="8"/>
              <c:layout>
                <c:manualLayout>
                  <c:x val="8.6161547052656218E-17"/>
                  <c:y val="-3.8556597310504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D3D-45AB-81B9-DB282C0767F5}"/>
                </c:ext>
              </c:extLst>
            </c:dLbl>
            <c:dLbl>
              <c:idx val="9"/>
              <c:layout>
                <c:manualLayout>
                  <c:x val="4.6977397042546288E-3"/>
                  <c:y val="-4.2422572782100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D3D-45AB-81B9-DB282C0767F5}"/>
                </c:ext>
              </c:extLst>
            </c:dLbl>
            <c:dLbl>
              <c:idx val="10"/>
              <c:layout>
                <c:manualLayout>
                  <c:x val="0"/>
                  <c:y val="-4.23979625908365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D3D-45AB-81B9-DB282C0767F5}"/>
                </c:ext>
              </c:extLst>
            </c:dLbl>
            <c:dLbl>
              <c:idx val="11"/>
              <c:layout>
                <c:manualLayout>
                  <c:x val="0"/>
                  <c:y val="-6.93581849636553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D3D-45AB-81B9-DB282C0767F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R. febril</c:v>
                </c:pt>
                <c:pt idx="1">
                  <c:v>R. alérgica</c:v>
                </c:pt>
                <c:pt idx="2">
                  <c:v>Aloinmunización</c:v>
                </c:pt>
                <c:pt idx="3">
                  <c:v>Hemosiderosis</c:v>
                </c:pt>
                <c:pt idx="4">
                  <c:v>EAC</c:v>
                </c:pt>
                <c:pt idx="5">
                  <c:v>Ed. pulm. cardiog.</c:v>
                </c:pt>
                <c:pt idx="6">
                  <c:v>R. hemolítica</c:v>
                </c:pt>
                <c:pt idx="7">
                  <c:v>Otras</c:v>
                </c:pt>
                <c:pt idx="8">
                  <c:v>TRALI</c:v>
                </c:pt>
                <c:pt idx="9">
                  <c:v>DAT</c:v>
                </c:pt>
                <c:pt idx="10">
                  <c:v>IBTT</c:v>
                </c:pt>
                <c:pt idx="11">
                  <c:v>IVTT</c:v>
                </c:pt>
              </c:strCache>
            </c:strRef>
          </c:cat>
          <c:val>
            <c:numRef>
              <c:f>Hoja1!$B$2:$B$13</c:f>
              <c:numCache>
                <c:formatCode>General</c:formatCode>
                <c:ptCount val="12"/>
                <c:pt idx="0">
                  <c:v>78</c:v>
                </c:pt>
                <c:pt idx="1">
                  <c:v>74</c:v>
                </c:pt>
                <c:pt idx="2">
                  <c:v>52</c:v>
                </c:pt>
                <c:pt idx="3">
                  <c:v>35</c:v>
                </c:pt>
                <c:pt idx="4">
                  <c:v>28</c:v>
                </c:pt>
                <c:pt idx="5">
                  <c:v>23</c:v>
                </c:pt>
                <c:pt idx="6">
                  <c:v>11</c:v>
                </c:pt>
                <c:pt idx="7">
                  <c:v>11</c:v>
                </c:pt>
                <c:pt idx="8">
                  <c:v>10</c:v>
                </c:pt>
                <c:pt idx="9">
                  <c:v>8</c:v>
                </c:pt>
                <c:pt idx="10">
                  <c:v>2</c:v>
                </c:pt>
                <c:pt idx="11">
                  <c:v>2</c:v>
                </c:pt>
              </c:numCache>
            </c:numRef>
          </c:val>
          <c:extLst>
            <c:ext xmlns:c16="http://schemas.microsoft.com/office/drawing/2014/chart" uri="{C3380CC4-5D6E-409C-BE32-E72D297353CC}">
              <c16:uniqueId val="{0000000C-2D3D-45AB-81B9-DB282C0767F5}"/>
            </c:ext>
          </c:extLst>
        </c:ser>
        <c:dLbls>
          <c:showLegendKey val="0"/>
          <c:showVal val="0"/>
          <c:showCatName val="0"/>
          <c:showSerName val="0"/>
          <c:showPercent val="0"/>
          <c:showBubbleSize val="0"/>
        </c:dLbls>
        <c:gapWidth val="150"/>
        <c:overlap val="100"/>
        <c:axId val="980839256"/>
        <c:axId val="980844744"/>
      </c:barChart>
      <c:catAx>
        <c:axId val="980839256"/>
        <c:scaling>
          <c:orientation val="minMax"/>
        </c:scaling>
        <c:delete val="0"/>
        <c:axPos val="b"/>
        <c:numFmt formatCode="General" sourceLinked="1"/>
        <c:majorTickMark val="out"/>
        <c:minorTickMark val="none"/>
        <c:tickLblPos val="nextTo"/>
        <c:txPr>
          <a:bodyPr/>
          <a:lstStyle/>
          <a:p>
            <a:pPr>
              <a:defRPr sz="800">
                <a:latin typeface="Calibri" panose="020F0502020204030204" pitchFamily="34" charset="0"/>
                <a:cs typeface="Calibri" panose="020F0502020204030204" pitchFamily="34" charset="0"/>
              </a:defRPr>
            </a:pPr>
            <a:endParaRPr lang="es-ES"/>
          </a:p>
        </c:txPr>
        <c:crossAx val="980844744"/>
        <c:crosses val="autoZero"/>
        <c:auto val="1"/>
        <c:lblAlgn val="ctr"/>
        <c:lblOffset val="100"/>
        <c:noMultiLvlLbl val="0"/>
      </c:catAx>
      <c:valAx>
        <c:axId val="980844744"/>
        <c:scaling>
          <c:orientation val="minMax"/>
        </c:scaling>
        <c:delete val="0"/>
        <c:axPos val="l"/>
        <c:majorGridlines/>
        <c:numFmt formatCode="General" sourceLinked="1"/>
        <c:majorTickMark val="out"/>
        <c:minorTickMark val="none"/>
        <c:tickLblPos val="nextTo"/>
        <c:crossAx val="980839256"/>
        <c:crosses val="autoZero"/>
        <c:crossBetween val="between"/>
      </c:valAx>
    </c:plotArea>
    <c:plotVisOnly val="1"/>
    <c:dispBlanksAs val="gap"/>
    <c:showDLblsOverMax val="0"/>
  </c:chart>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Reacciones febriles transfusionales</a:t>
            </a:r>
          </a:p>
        </c:rich>
      </c:tx>
      <c:overlay val="0"/>
    </c:title>
    <c:autoTitleDeleted val="0"/>
    <c:plotArea>
      <c:layout/>
      <c:pieChart>
        <c:varyColors val="1"/>
        <c:ser>
          <c:idx val="0"/>
          <c:order val="0"/>
          <c:tx>
            <c:strRef>
              <c:f>Hoja1!$B$1</c:f>
              <c:strCache>
                <c:ptCount val="1"/>
                <c:pt idx="0">
                  <c:v>Componente sanguineo implicado en R. febril</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Hoja1!$A$2:$A$3</c:f>
              <c:strCache>
                <c:ptCount val="2"/>
                <c:pt idx="0">
                  <c:v>Hematíes</c:v>
                </c:pt>
                <c:pt idx="1">
                  <c:v>Plaquetas </c:v>
                </c:pt>
              </c:strCache>
            </c:strRef>
          </c:cat>
          <c:val>
            <c:numRef>
              <c:f>Hoja1!$B$2:$B$3</c:f>
              <c:numCache>
                <c:formatCode>General</c:formatCode>
                <c:ptCount val="2"/>
                <c:pt idx="0">
                  <c:v>71</c:v>
                </c:pt>
                <c:pt idx="1">
                  <c:v>7</c:v>
                </c:pt>
              </c:numCache>
            </c:numRef>
          </c:val>
          <c:extLst>
            <c:ext xmlns:c16="http://schemas.microsoft.com/office/drawing/2014/chart" uri="{C3380CC4-5D6E-409C-BE32-E72D297353CC}">
              <c16:uniqueId val="{00000000-1786-480A-8316-7CD48619C2D0}"/>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7087862365949302"/>
          <c:y val="0.4580085645194748"/>
          <c:w val="0.21058088379521955"/>
          <c:h val="0.29262628901245163"/>
        </c:manualLayout>
      </c:layout>
      <c:overlay val="0"/>
      <c:txPr>
        <a:bodyPr/>
        <a:lstStyle/>
        <a:p>
          <a:pPr>
            <a:defRPr>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Reacciones alérgicas transfusionales</a:t>
            </a:r>
          </a:p>
        </c:rich>
      </c:tx>
      <c:overlay val="0"/>
    </c:title>
    <c:autoTitleDeleted val="0"/>
    <c:plotArea>
      <c:layout/>
      <c:pieChart>
        <c:varyColors val="1"/>
        <c:ser>
          <c:idx val="0"/>
          <c:order val="0"/>
          <c:tx>
            <c:strRef>
              <c:f>Hoja1!$B$1</c:f>
              <c:strCache>
                <c:ptCount val="1"/>
                <c:pt idx="0">
                  <c:v>Reacciones alérgicas</c:v>
                </c:pt>
              </c:strCache>
            </c:strRef>
          </c:tx>
          <c:dLbls>
            <c:dLbl>
              <c:idx val="0"/>
              <c:layout>
                <c:manualLayout>
                  <c:x val="1.7664221005770329E-2"/>
                  <c:y val="-4.2496829601601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E5-463B-94A5-C83B6483CB51}"/>
                </c:ext>
              </c:extLst>
            </c:dLbl>
            <c:dLbl>
              <c:idx val="1"/>
              <c:layout>
                <c:manualLayout>
                  <c:x val="-6.6031362730646442E-2"/>
                  <c:y val="-1.4685571076443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E5-463B-94A5-C83B6483CB51}"/>
                </c:ext>
              </c:extLst>
            </c:dLbl>
            <c:dLbl>
              <c:idx val="2"/>
              <c:layout>
                <c:manualLayout>
                  <c:x val="-1.9258838823416127E-2"/>
                  <c:y val="-2.3004315551062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8E5-463B-94A5-C83B6483CB51}"/>
                </c:ext>
              </c:extLst>
            </c:dLbl>
            <c:dLbl>
              <c:idx val="3"/>
              <c:layout>
                <c:manualLayout>
                  <c:x val="1.9810964363227044E-3"/>
                  <c:y val="-1.7598369645439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8E5-463B-94A5-C83B6483CB51}"/>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Hoja1!$A$2:$A$4</c:f>
              <c:strCache>
                <c:ptCount val="3"/>
                <c:pt idx="0">
                  <c:v>Hematíes</c:v>
                </c:pt>
                <c:pt idx="1">
                  <c:v>Plaquetas</c:v>
                </c:pt>
                <c:pt idx="2">
                  <c:v>Plasma</c:v>
                </c:pt>
              </c:strCache>
            </c:strRef>
          </c:cat>
          <c:val>
            <c:numRef>
              <c:f>Hoja1!$B$2:$B$4</c:f>
              <c:numCache>
                <c:formatCode>General</c:formatCode>
                <c:ptCount val="3"/>
                <c:pt idx="0">
                  <c:v>26</c:v>
                </c:pt>
                <c:pt idx="1">
                  <c:v>29</c:v>
                </c:pt>
                <c:pt idx="2">
                  <c:v>19</c:v>
                </c:pt>
              </c:numCache>
            </c:numRef>
          </c:val>
          <c:extLst>
            <c:ext xmlns:c16="http://schemas.microsoft.com/office/drawing/2014/chart" uri="{C3380CC4-5D6E-409C-BE32-E72D297353CC}">
              <c16:uniqueId val="{00000004-38E5-463B-94A5-C83B6483CB51}"/>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8480488858389263"/>
          <c:y val="0.43837504117653309"/>
          <c:w val="0.20094671436077616"/>
          <c:h val="0.25911993794297977"/>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Aloinmunización</a:t>
            </a:r>
          </a:p>
        </c:rich>
      </c:tx>
      <c:overlay val="0"/>
    </c:title>
    <c:autoTitleDeleted val="0"/>
    <c:plotArea>
      <c:layout/>
      <c:pieChart>
        <c:varyColors val="1"/>
        <c:ser>
          <c:idx val="0"/>
          <c:order val="0"/>
          <c:tx>
            <c:strRef>
              <c:f>Hoja1!$B$1</c:f>
              <c:strCache>
                <c:ptCount val="1"/>
                <c:pt idx="0">
                  <c:v>Aloinmunizaciones</c:v>
                </c:pt>
              </c:strCache>
            </c:strRef>
          </c:tx>
          <c:dLbls>
            <c:dLbl>
              <c:idx val="0"/>
              <c:layout>
                <c:manualLayout>
                  <c:x val="1.7664221005770329E-2"/>
                  <c:y val="-4.2496829601601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2C-452B-A7F1-0981CCAEE83C}"/>
                </c:ext>
              </c:extLst>
            </c:dLbl>
            <c:dLbl>
              <c:idx val="1"/>
              <c:layout>
                <c:manualLayout>
                  <c:x val="-6.6031362730646442E-2"/>
                  <c:y val="-1.4685571076443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2C-452B-A7F1-0981CCAEE83C}"/>
                </c:ext>
              </c:extLst>
            </c:dLbl>
            <c:dLbl>
              <c:idx val="2"/>
              <c:layout>
                <c:manualLayout>
                  <c:x val="-1.9258838823416127E-2"/>
                  <c:y val="-2.3004315551062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2C-452B-A7F1-0981CCAEE83C}"/>
                </c:ext>
              </c:extLst>
            </c:dLbl>
            <c:dLbl>
              <c:idx val="3"/>
              <c:layout>
                <c:manualLayout>
                  <c:x val="1.9810964363227044E-3"/>
                  <c:y val="-1.7598369645439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2C-452B-A7F1-0981CCAEE83C}"/>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Hoja1!$A$2:$A$9</c:f>
              <c:strCache>
                <c:ptCount val="8"/>
                <c:pt idx="0">
                  <c:v>Sistema Rh</c:v>
                </c:pt>
                <c:pt idx="1">
                  <c:v>Sistema Kell</c:v>
                </c:pt>
                <c:pt idx="2">
                  <c:v>Sistema Duffy</c:v>
                </c:pt>
                <c:pt idx="3">
                  <c:v>Sistema Kidd</c:v>
                </c:pt>
                <c:pt idx="4">
                  <c:v>Sistema Lewis</c:v>
                </c:pt>
                <c:pt idx="5">
                  <c:v>Sistema MNSs</c:v>
                </c:pt>
                <c:pt idx="6">
                  <c:v>Sistema Lutheran</c:v>
                </c:pt>
                <c:pt idx="7">
                  <c:v>Sistema Ch/R</c:v>
                </c:pt>
              </c:strCache>
            </c:strRef>
          </c:cat>
          <c:val>
            <c:numRef>
              <c:f>Hoja1!$B$2:$B$9</c:f>
              <c:numCache>
                <c:formatCode>General</c:formatCode>
                <c:ptCount val="8"/>
                <c:pt idx="0">
                  <c:v>30</c:v>
                </c:pt>
                <c:pt idx="1">
                  <c:v>14</c:v>
                </c:pt>
                <c:pt idx="2">
                  <c:v>6</c:v>
                </c:pt>
                <c:pt idx="3">
                  <c:v>5</c:v>
                </c:pt>
                <c:pt idx="4">
                  <c:v>1</c:v>
                </c:pt>
                <c:pt idx="5">
                  <c:v>1</c:v>
                </c:pt>
                <c:pt idx="6">
                  <c:v>1</c:v>
                </c:pt>
                <c:pt idx="7">
                  <c:v>1</c:v>
                </c:pt>
              </c:numCache>
            </c:numRef>
          </c:val>
          <c:extLst>
            <c:ext xmlns:c16="http://schemas.microsoft.com/office/drawing/2014/chart" uri="{C3380CC4-5D6E-409C-BE32-E72D297353CC}">
              <c16:uniqueId val="{00000004-F32C-452B-A7F1-0981CCAEE83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6495597355182154"/>
          <c:y val="0.27963715382887094"/>
          <c:w val="0.22056176721573814"/>
          <c:h val="0.54601865683801065"/>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Edema pulmonar cardiogénico</a:t>
            </a:r>
          </a:p>
        </c:rich>
      </c:tx>
      <c:overlay val="0"/>
    </c:title>
    <c:autoTitleDeleted val="0"/>
    <c:plotArea>
      <c:layout/>
      <c:pieChart>
        <c:varyColors val="1"/>
        <c:ser>
          <c:idx val="0"/>
          <c:order val="0"/>
          <c:tx>
            <c:strRef>
              <c:f>Hoja1!$B$1</c:f>
              <c:strCache>
                <c:ptCount val="1"/>
                <c:pt idx="0">
                  <c:v>Reacciones alérgicas</c:v>
                </c:pt>
              </c:strCache>
            </c:strRef>
          </c:tx>
          <c:dLbls>
            <c:dLbl>
              <c:idx val="0"/>
              <c:layout>
                <c:manualLayout>
                  <c:x val="1.7664221005770329E-2"/>
                  <c:y val="-4.2496829601601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88-4E9A-82AE-38E1F4AD6DD3}"/>
                </c:ext>
              </c:extLst>
            </c:dLbl>
            <c:dLbl>
              <c:idx val="1"/>
              <c:layout>
                <c:manualLayout>
                  <c:x val="-6.6031362730646442E-2"/>
                  <c:y val="-1.4685571076443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88-4E9A-82AE-38E1F4AD6DD3}"/>
                </c:ext>
              </c:extLst>
            </c:dLbl>
            <c:dLbl>
              <c:idx val="2"/>
              <c:layout>
                <c:manualLayout>
                  <c:x val="-1.9258838823416127E-2"/>
                  <c:y val="-2.3004315551062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88-4E9A-82AE-38E1F4AD6DD3}"/>
                </c:ext>
              </c:extLst>
            </c:dLbl>
            <c:dLbl>
              <c:idx val="3"/>
              <c:layout>
                <c:manualLayout>
                  <c:x val="1.9810964363227044E-3"/>
                  <c:y val="-1.7598369645439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688-4E9A-82AE-38E1F4AD6DD3}"/>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Hoja1!$A$2:$A$5</c:f>
              <c:strCache>
                <c:ptCount val="4"/>
                <c:pt idx="0">
                  <c:v>Hematíes</c:v>
                </c:pt>
                <c:pt idx="1">
                  <c:v>Multicomponentes</c:v>
                </c:pt>
                <c:pt idx="2">
                  <c:v>Plasma</c:v>
                </c:pt>
                <c:pt idx="3">
                  <c:v>plaquetas</c:v>
                </c:pt>
              </c:strCache>
            </c:strRef>
          </c:cat>
          <c:val>
            <c:numRef>
              <c:f>Hoja1!$B$2:$B$5</c:f>
              <c:numCache>
                <c:formatCode>General</c:formatCode>
                <c:ptCount val="4"/>
                <c:pt idx="0">
                  <c:v>19</c:v>
                </c:pt>
                <c:pt idx="1">
                  <c:v>2</c:v>
                </c:pt>
                <c:pt idx="2">
                  <c:v>1</c:v>
                </c:pt>
                <c:pt idx="3">
                  <c:v>1</c:v>
                </c:pt>
              </c:numCache>
            </c:numRef>
          </c:val>
          <c:extLst>
            <c:ext xmlns:c16="http://schemas.microsoft.com/office/drawing/2014/chart" uri="{C3380CC4-5D6E-409C-BE32-E72D297353CC}">
              <c16:uniqueId val="{00000004-8688-4E9A-82AE-38E1F4AD6DD3}"/>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7066232274568494"/>
          <c:y val="0.35390264290358203"/>
          <c:w val="0.29166951670584235"/>
          <c:h val="0.52372669012703688"/>
        </c:manualLayout>
      </c:layout>
      <c:overlay val="0"/>
      <c:txPr>
        <a:bodyPr/>
        <a:lstStyle/>
        <a:p>
          <a:pPr>
            <a:defRPr>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Tasa</a:t>
            </a:r>
            <a:r>
              <a:rPr lang="en-US" sz="1100" baseline="0"/>
              <a:t> de TRALI</a:t>
            </a:r>
            <a:endParaRPr lang="en-US" sz="1100"/>
          </a:p>
        </c:rich>
      </c:tx>
      <c:overlay val="0"/>
    </c:title>
    <c:autoTitleDeleted val="0"/>
    <c:plotArea>
      <c:layout>
        <c:manualLayout>
          <c:layoutTarget val="inner"/>
          <c:xMode val="edge"/>
          <c:yMode val="edge"/>
          <c:x val="8.4456411433989395E-2"/>
          <c:y val="0.18172771237701321"/>
          <c:w val="0.89672891311916492"/>
          <c:h val="0.69942178916810971"/>
        </c:manualLayout>
      </c:layout>
      <c:lineChart>
        <c:grouping val="standard"/>
        <c:varyColors val="0"/>
        <c:ser>
          <c:idx val="0"/>
          <c:order val="0"/>
          <c:tx>
            <c:strRef>
              <c:f>Hoja1!$B$1</c:f>
              <c:strCache>
                <c:ptCount val="1"/>
                <c:pt idx="0">
                  <c:v>TRALI</c:v>
                </c:pt>
              </c:strCache>
            </c:strRef>
          </c:tx>
          <c:marker>
            <c:symbol val="none"/>
          </c:marker>
          <c:dLbls>
            <c:dLbl>
              <c:idx val="0"/>
              <c:layout>
                <c:manualLayout>
                  <c:x val="0"/>
                  <c:y val="-3.62830074581738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1C-4AF2-827A-66B0016E8C07}"/>
                </c:ext>
              </c:extLst>
            </c:dLbl>
            <c:dLbl>
              <c:idx val="1"/>
              <c:layout>
                <c:manualLayout>
                  <c:x val="-2.3518344308560677E-2"/>
                  <c:y val="-5.2408788550695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1C-4AF2-827A-66B0016E8C07}"/>
                </c:ext>
              </c:extLst>
            </c:dLbl>
            <c:dLbl>
              <c:idx val="3"/>
              <c:layout>
                <c:manualLayout>
                  <c:x val="-2.1166509877704607E-2"/>
                  <c:y val="-4.4345898004434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1C-4AF2-827A-66B0016E8C0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25400">
                <a:solidFill>
                  <a:srgbClr val="FF0000"/>
                </a:solidFill>
              </a:ln>
            </c:spPr>
            <c:trendlineType val="movingAvg"/>
            <c:period val="2"/>
            <c:dispRSqr val="0"/>
            <c:dispEq val="0"/>
          </c:trendline>
          <c:cat>
            <c:numRef>
              <c:f>Hoja1!$A$2:$A$9</c:f>
              <c:numCache>
                <c:formatCode>General</c:formatCode>
                <c:ptCount val="8"/>
                <c:pt idx="0">
                  <c:v>2013</c:v>
                </c:pt>
                <c:pt idx="1">
                  <c:v>2014</c:v>
                </c:pt>
                <c:pt idx="2">
                  <c:v>2015</c:v>
                </c:pt>
                <c:pt idx="3">
                  <c:v>2016</c:v>
                </c:pt>
                <c:pt idx="4">
                  <c:v>2017</c:v>
                </c:pt>
                <c:pt idx="5">
                  <c:v>2018</c:v>
                </c:pt>
                <c:pt idx="6">
                  <c:v>2019</c:v>
                </c:pt>
                <c:pt idx="7">
                  <c:v>2020</c:v>
                </c:pt>
              </c:numCache>
            </c:numRef>
          </c:cat>
          <c:val>
            <c:numRef>
              <c:f>Hoja1!$B$2:$B$9</c:f>
              <c:numCache>
                <c:formatCode>General</c:formatCode>
                <c:ptCount val="8"/>
                <c:pt idx="0">
                  <c:v>3</c:v>
                </c:pt>
                <c:pt idx="1">
                  <c:v>2.85</c:v>
                </c:pt>
                <c:pt idx="2">
                  <c:v>2.2799999999999998</c:v>
                </c:pt>
                <c:pt idx="3">
                  <c:v>3.36</c:v>
                </c:pt>
                <c:pt idx="4">
                  <c:v>2.67</c:v>
                </c:pt>
                <c:pt idx="5">
                  <c:v>3.17</c:v>
                </c:pt>
                <c:pt idx="6">
                  <c:v>3.16</c:v>
                </c:pt>
                <c:pt idx="7">
                  <c:v>3.59</c:v>
                </c:pt>
              </c:numCache>
            </c:numRef>
          </c:val>
          <c:smooth val="0"/>
          <c:extLst>
            <c:ext xmlns:c16="http://schemas.microsoft.com/office/drawing/2014/chart" uri="{C3380CC4-5D6E-409C-BE32-E72D297353CC}">
              <c16:uniqueId val="{00000003-011C-4AF2-827A-66B0016E8C07}"/>
            </c:ext>
          </c:extLst>
        </c:ser>
        <c:dLbls>
          <c:showLegendKey val="0"/>
          <c:showVal val="0"/>
          <c:showCatName val="0"/>
          <c:showSerName val="0"/>
          <c:showPercent val="0"/>
          <c:showBubbleSize val="0"/>
        </c:dLbls>
        <c:smooth val="0"/>
        <c:axId val="980838864"/>
        <c:axId val="980841216"/>
      </c:lineChart>
      <c:catAx>
        <c:axId val="980838864"/>
        <c:scaling>
          <c:orientation val="minMax"/>
        </c:scaling>
        <c:delete val="0"/>
        <c:axPos val="b"/>
        <c:numFmt formatCode="General" sourceLinked="1"/>
        <c:majorTickMark val="out"/>
        <c:minorTickMark val="none"/>
        <c:tickLblPos val="nextTo"/>
        <c:crossAx val="980841216"/>
        <c:crosses val="autoZero"/>
        <c:auto val="1"/>
        <c:lblAlgn val="ctr"/>
        <c:lblOffset val="100"/>
        <c:noMultiLvlLbl val="0"/>
      </c:catAx>
      <c:valAx>
        <c:axId val="980841216"/>
        <c:scaling>
          <c:orientation val="minMax"/>
        </c:scaling>
        <c:delete val="0"/>
        <c:axPos val="l"/>
        <c:majorGridlines/>
        <c:numFmt formatCode="General" sourceLinked="1"/>
        <c:majorTickMark val="out"/>
        <c:minorTickMark val="none"/>
        <c:tickLblPos val="nextTo"/>
        <c:crossAx val="980838864"/>
        <c:crosses val="autoZero"/>
        <c:crossBetween val="between"/>
      </c:valAx>
    </c:plotArea>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TRALI</a:t>
            </a:r>
          </a:p>
        </c:rich>
      </c:tx>
      <c:overlay val="0"/>
    </c:title>
    <c:autoTitleDeleted val="0"/>
    <c:plotArea>
      <c:layout/>
      <c:pieChart>
        <c:varyColors val="1"/>
        <c:ser>
          <c:idx val="0"/>
          <c:order val="0"/>
          <c:tx>
            <c:strRef>
              <c:f>Hoja1!$B$1</c:f>
              <c:strCache>
                <c:ptCount val="1"/>
                <c:pt idx="0">
                  <c:v>TRALI</c:v>
                </c:pt>
              </c:strCache>
            </c:strRef>
          </c:tx>
          <c:dLbls>
            <c:dLbl>
              <c:idx val="0"/>
              <c:layout>
                <c:manualLayout>
                  <c:x val="1.7664221005770329E-2"/>
                  <c:y val="-4.2496829601601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4A-4BCB-87AF-8B56EED0351F}"/>
                </c:ext>
              </c:extLst>
            </c:dLbl>
            <c:dLbl>
              <c:idx val="1"/>
              <c:layout>
                <c:manualLayout>
                  <c:x val="-6.6031362730646442E-2"/>
                  <c:y val="-1.4685571076443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4A-4BCB-87AF-8B56EED0351F}"/>
                </c:ext>
              </c:extLst>
            </c:dLbl>
            <c:dLbl>
              <c:idx val="2"/>
              <c:layout>
                <c:manualLayout>
                  <c:x val="-1.9258838823416127E-2"/>
                  <c:y val="-2.3004315551062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4A-4BCB-87AF-8B56EED0351F}"/>
                </c:ext>
              </c:extLst>
            </c:dLbl>
            <c:dLbl>
              <c:idx val="3"/>
              <c:layout>
                <c:manualLayout>
                  <c:x val="1.9810964363227044E-3"/>
                  <c:y val="-1.7598369645439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4A-4BCB-87AF-8B56EED0351F}"/>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Hoja1!$A$2:$A$4</c:f>
              <c:strCache>
                <c:ptCount val="3"/>
                <c:pt idx="0">
                  <c:v>Hematíes</c:v>
                </c:pt>
                <c:pt idx="1">
                  <c:v>Multicomponentes</c:v>
                </c:pt>
                <c:pt idx="2">
                  <c:v>Plaquetas</c:v>
                </c:pt>
              </c:strCache>
            </c:strRef>
          </c:cat>
          <c:val>
            <c:numRef>
              <c:f>Hoja1!$B$2:$B$4</c:f>
              <c:numCache>
                <c:formatCode>General</c:formatCode>
                <c:ptCount val="3"/>
                <c:pt idx="0">
                  <c:v>5</c:v>
                </c:pt>
                <c:pt idx="1">
                  <c:v>3</c:v>
                </c:pt>
                <c:pt idx="2">
                  <c:v>2</c:v>
                </c:pt>
              </c:numCache>
            </c:numRef>
          </c:val>
          <c:extLst>
            <c:ext xmlns:c16="http://schemas.microsoft.com/office/drawing/2014/chart" uri="{C3380CC4-5D6E-409C-BE32-E72D297353CC}">
              <c16:uniqueId val="{00000004-8A4A-4BCB-87AF-8B56EED0351F}"/>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3243874236000228"/>
          <c:y val="0.43294552938591929"/>
          <c:w val="0.25357524365398382"/>
          <c:h val="0.27607617329772105"/>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Sangre!$O$1</c:f>
              <c:strCache>
                <c:ptCount val="1"/>
                <c:pt idx="0">
                  <c:v>%</c:v>
                </c:pt>
              </c:strCache>
            </c:strRef>
          </c:tx>
          <c:explosion val="5"/>
          <c:dPt>
            <c:idx val="0"/>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3CF-4D80-A1A8-856107FCBFF7}"/>
              </c:ext>
            </c:extLst>
          </c:dPt>
          <c:dPt>
            <c:idx val="1"/>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3CF-4D80-A1A8-856107FCBFF7}"/>
              </c:ext>
            </c:extLst>
          </c:dPt>
          <c:dLbls>
            <c:dLbl>
              <c:idx val="0"/>
              <c:layout>
                <c:manualLayout>
                  <c:x val="-0.24722222222222223"/>
                  <c:y val="1.3888888888888846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Montserrat" panose="00000500000000000000" pitchFamily="2" charset="0"/>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CF-4D80-A1A8-856107FCBFF7}"/>
                </c:ext>
              </c:extLst>
            </c:dLbl>
            <c:dLbl>
              <c:idx val="1"/>
              <c:layout>
                <c:manualLayout>
                  <c:x val="0.23527857125114879"/>
                  <c:y val="-8.9564108224789662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Montserrat" panose="00000500000000000000" pitchFamily="2" charset="0"/>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2103049421661408"/>
                      <c:h val="0.1860436137071651"/>
                    </c:manualLayout>
                  </c15:layout>
                </c:ext>
                <c:ext xmlns:c16="http://schemas.microsoft.com/office/drawing/2014/chart" uri="{C3380CC4-5D6E-409C-BE32-E72D297353CC}">
                  <c16:uniqueId val="{00000003-C3CF-4D80-A1A8-856107FCBFF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Montserrat" panose="00000500000000000000" pitchFamily="2" charset="0"/>
                    <a:ea typeface="+mn-ea"/>
                    <a:cs typeface="+mn-cs"/>
                  </a:defRPr>
                </a:pPr>
                <a:endParaRPr lang="es-E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Sangre!$B$2:$B$23</c:f>
              <c:strCache>
                <c:ptCount val="2"/>
                <c:pt idx="0">
                  <c:v>Hujeres</c:v>
                </c:pt>
                <c:pt idx="1">
                  <c:v>Hombres</c:v>
                </c:pt>
              </c:strCache>
            </c:strRef>
          </c:cat>
          <c:val>
            <c:numRef>
              <c:f>Sangre!$O$2:$O$23</c:f>
              <c:numCache>
                <c:formatCode>0.00%</c:formatCode>
                <c:ptCount val="2"/>
                <c:pt idx="0">
                  <c:v>0.4640997997843832</c:v>
                </c:pt>
                <c:pt idx="1">
                  <c:v>0.5359002002156168</c:v>
                </c:pt>
              </c:numCache>
            </c:numRef>
          </c:val>
          <c:extLst>
            <c:ext xmlns:c16="http://schemas.microsoft.com/office/drawing/2014/chart" uri="{C3380CC4-5D6E-409C-BE32-E72D297353CC}">
              <c16:uniqueId val="{00000004-C3CF-4D80-A1A8-856107FCBFF7}"/>
            </c:ext>
          </c:extLst>
        </c:ser>
        <c:ser>
          <c:idx val="1"/>
          <c:order val="1"/>
          <c:tx>
            <c:strRef>
              <c:f>Sangre!$P$1</c:f>
              <c:strCache>
                <c:ptCount val="1"/>
              </c:strCache>
            </c:strRef>
          </c:tx>
          <c:dPt>
            <c:idx val="0"/>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6-C3CF-4D80-A1A8-856107FCBFF7}"/>
              </c:ext>
            </c:extLst>
          </c:dPt>
          <c:dPt>
            <c:idx val="1"/>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C3CF-4D80-A1A8-856107FCBFF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7000"/>
                        </a:schemeClr>
                      </a:solidFill>
                      <a:latin typeface="+mn-lt"/>
                      <a:ea typeface="+mn-ea"/>
                      <a:cs typeface="+mn-cs"/>
                    </a:defRPr>
                  </a:pPr>
                  <a:endParaRPr lang="es-ES"/>
                </a:p>
              </c:txPr>
              <c:dLblPos val="outEnd"/>
              <c:showLegendKey val="0"/>
              <c:showVal val="0"/>
              <c:showCatName val="1"/>
              <c:showSerName val="0"/>
              <c:showPercent val="0"/>
              <c:showBubbleSize val="0"/>
              <c:extLst>
                <c:ext xmlns:c16="http://schemas.microsoft.com/office/drawing/2014/chart" uri="{C3380CC4-5D6E-409C-BE32-E72D297353CC}">
                  <c16:uniqueId val="{00000006-C3CF-4D80-A1A8-856107FCBFF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6000"/>
                        </a:schemeClr>
                      </a:solidFill>
                      <a:latin typeface="+mn-lt"/>
                      <a:ea typeface="+mn-ea"/>
                      <a:cs typeface="+mn-cs"/>
                    </a:defRPr>
                  </a:pPr>
                  <a:endParaRPr lang="es-ES"/>
                </a:p>
              </c:txPr>
              <c:dLblPos val="outEnd"/>
              <c:showLegendKey val="0"/>
              <c:showVal val="0"/>
              <c:showCatName val="1"/>
              <c:showSerName val="0"/>
              <c:showPercent val="0"/>
              <c:showBubbleSize val="0"/>
              <c:extLst>
                <c:ext xmlns:c16="http://schemas.microsoft.com/office/drawing/2014/chart" uri="{C3380CC4-5D6E-409C-BE32-E72D297353CC}">
                  <c16:uniqueId val="{00000008-C3CF-4D80-A1A8-856107FCBFF7}"/>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Sangre!$B$2:$B$23</c:f>
              <c:strCache>
                <c:ptCount val="2"/>
                <c:pt idx="0">
                  <c:v>Hujeres</c:v>
                </c:pt>
                <c:pt idx="1">
                  <c:v>Hombres</c:v>
                </c:pt>
              </c:strCache>
            </c:strRef>
          </c:cat>
          <c:val>
            <c:numRef>
              <c:f>Sangre!$P$2:$P$23</c:f>
              <c:numCache>
                <c:formatCode>General</c:formatCode>
                <c:ptCount val="2"/>
              </c:numCache>
            </c:numRef>
          </c:val>
          <c:extLst>
            <c:ext xmlns:c16="http://schemas.microsoft.com/office/drawing/2014/chart" uri="{C3380CC4-5D6E-409C-BE32-E72D297353CC}">
              <c16:uniqueId val="{00000009-C3CF-4D80-A1A8-856107FCBFF7}"/>
            </c:ext>
          </c:extLst>
        </c:ser>
        <c:ser>
          <c:idx val="2"/>
          <c:order val="2"/>
          <c:tx>
            <c:strRef>
              <c:f>Sangre!$O$1</c:f>
              <c:strCache>
                <c:ptCount val="1"/>
                <c:pt idx="0">
                  <c:v>%</c:v>
                </c:pt>
              </c:strCache>
            </c:strRef>
          </c:tx>
          <c:dPt>
            <c:idx val="0"/>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C3CF-4D80-A1A8-856107FCBFF7}"/>
              </c:ext>
            </c:extLst>
          </c:dPt>
          <c:dPt>
            <c:idx val="1"/>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C3CF-4D80-A1A8-856107FCBFF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7000"/>
                        </a:schemeClr>
                      </a:solidFill>
                      <a:latin typeface="+mn-lt"/>
                      <a:ea typeface="+mn-ea"/>
                      <a:cs typeface="+mn-cs"/>
                    </a:defRPr>
                  </a:pPr>
                  <a:endParaRPr lang="es-ES"/>
                </a:p>
              </c:txPr>
              <c:dLblPos val="outEnd"/>
              <c:showLegendKey val="0"/>
              <c:showVal val="0"/>
              <c:showCatName val="1"/>
              <c:showSerName val="0"/>
              <c:showPercent val="0"/>
              <c:showBubbleSize val="0"/>
              <c:extLst>
                <c:ext xmlns:c16="http://schemas.microsoft.com/office/drawing/2014/chart" uri="{C3380CC4-5D6E-409C-BE32-E72D297353CC}">
                  <c16:uniqueId val="{0000000B-C3CF-4D80-A1A8-856107FCBFF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6000"/>
                        </a:schemeClr>
                      </a:solidFill>
                      <a:latin typeface="+mn-lt"/>
                      <a:ea typeface="+mn-ea"/>
                      <a:cs typeface="+mn-cs"/>
                    </a:defRPr>
                  </a:pPr>
                  <a:endParaRPr lang="es-ES"/>
                </a:p>
              </c:txPr>
              <c:dLblPos val="outEnd"/>
              <c:showLegendKey val="0"/>
              <c:showVal val="0"/>
              <c:showCatName val="1"/>
              <c:showSerName val="0"/>
              <c:showPercent val="0"/>
              <c:showBubbleSize val="0"/>
              <c:extLst>
                <c:ext xmlns:c16="http://schemas.microsoft.com/office/drawing/2014/chart" uri="{C3380CC4-5D6E-409C-BE32-E72D297353CC}">
                  <c16:uniqueId val="{0000000D-C3CF-4D80-A1A8-856107FCBFF7}"/>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Sangre!$B$2:$B$23</c:f>
              <c:strCache>
                <c:ptCount val="2"/>
                <c:pt idx="0">
                  <c:v>Hujeres</c:v>
                </c:pt>
                <c:pt idx="1">
                  <c:v>Hombres</c:v>
                </c:pt>
              </c:strCache>
            </c:strRef>
          </c:cat>
          <c:val>
            <c:numRef>
              <c:f>Sangre!$O$2:$O$23</c:f>
              <c:numCache>
                <c:formatCode>0.00%</c:formatCode>
                <c:ptCount val="2"/>
                <c:pt idx="0">
                  <c:v>0.4640997997843832</c:v>
                </c:pt>
                <c:pt idx="1">
                  <c:v>0.5359002002156168</c:v>
                </c:pt>
              </c:numCache>
            </c:numRef>
          </c:val>
          <c:extLst>
            <c:ext xmlns:c16="http://schemas.microsoft.com/office/drawing/2014/chart" uri="{C3380CC4-5D6E-409C-BE32-E72D297353CC}">
              <c16:uniqueId val="{0000000E-C3CF-4D80-A1A8-856107FCBFF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s-E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pieChart>
        <c:varyColors val="1"/>
        <c:ser>
          <c:idx val="0"/>
          <c:order val="0"/>
          <c:tx>
            <c:strRef>
              <c:f>Hoja1!$B$1</c:f>
              <c:strCache>
                <c:ptCount val="1"/>
                <c:pt idx="0">
                  <c:v>Otras reacciones adversas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Hoja1!$A$2:$A$6</c:f>
              <c:strCache>
                <c:ptCount val="5"/>
                <c:pt idx="0">
                  <c:v>Náuseas y vómitos</c:v>
                </c:pt>
                <c:pt idx="1">
                  <c:v>DAT</c:v>
                </c:pt>
                <c:pt idx="2">
                  <c:v>Diarrea</c:v>
                </c:pt>
                <c:pt idx="3">
                  <c:v>Tiritona/escalofríos</c:v>
                </c:pt>
                <c:pt idx="4">
                  <c:v>hipotensión</c:v>
                </c:pt>
              </c:strCache>
            </c:strRef>
          </c:cat>
          <c:val>
            <c:numRef>
              <c:f>Hoja1!$B$2:$B$6</c:f>
              <c:numCache>
                <c:formatCode>General</c:formatCode>
                <c:ptCount val="5"/>
                <c:pt idx="0">
                  <c:v>5</c:v>
                </c:pt>
                <c:pt idx="1">
                  <c:v>8</c:v>
                </c:pt>
                <c:pt idx="2">
                  <c:v>1</c:v>
                </c:pt>
                <c:pt idx="3">
                  <c:v>2</c:v>
                </c:pt>
                <c:pt idx="4">
                  <c:v>1</c:v>
                </c:pt>
              </c:numCache>
            </c:numRef>
          </c:val>
          <c:extLst>
            <c:ext xmlns:c16="http://schemas.microsoft.com/office/drawing/2014/chart" uri="{C3380CC4-5D6E-409C-BE32-E72D297353CC}">
              <c16:uniqueId val="{00000000-FC06-4EA9-80C0-E58CCE5FF06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3720133692657441"/>
          <c:y val="0.34593175853018371"/>
          <c:w val="0.24845831890516554"/>
          <c:h val="0.50500034696285034"/>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5218128013866591"/>
          <c:y val="2.4188671638782407E-2"/>
        </c:manualLayout>
      </c:layout>
      <c:overlay val="0"/>
      <c:txPr>
        <a:bodyPr/>
        <a:lstStyle/>
        <a:p>
          <a:pPr>
            <a:defRPr sz="1100"/>
          </a:pPr>
          <a:endParaRPr lang="es-ES"/>
        </a:p>
      </c:txPr>
    </c:title>
    <c:autoTitleDeleted val="0"/>
    <c:plotArea>
      <c:layout/>
      <c:barChart>
        <c:barDir val="bar"/>
        <c:grouping val="stacked"/>
        <c:varyColors val="0"/>
        <c:ser>
          <c:idx val="0"/>
          <c:order val="0"/>
          <c:tx>
            <c:strRef>
              <c:f>Hoja1!$B$1</c:f>
              <c:strCache>
                <c:ptCount val="1"/>
                <c:pt idx="0">
                  <c:v>Gravedad de las reacciones adversas</c:v>
                </c:pt>
              </c:strCache>
            </c:strRef>
          </c:tx>
          <c:invertIfNegative val="0"/>
          <c:dLbls>
            <c:dLbl>
              <c:idx val="0"/>
              <c:layout>
                <c:manualLayout>
                  <c:x val="2.5870178739416723E-2"/>
                  <c:y val="-4.0314452731305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6E-4441-BCE0-EB6C66E8DC18}"/>
                </c:ext>
              </c:extLst>
            </c:dLbl>
            <c:dLbl>
              <c:idx val="1"/>
              <c:layout>
                <c:manualLayout>
                  <c:x val="0.3692380056444026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6E-4441-BCE0-EB6C66E8DC18}"/>
                </c:ext>
              </c:extLst>
            </c:dLbl>
            <c:dLbl>
              <c:idx val="2"/>
              <c:layout>
                <c:manualLayout>
                  <c:x val="8.3489937111576956E-2"/>
                  <c:y val="-6.047167909695627E-3"/>
                </c:manualLayout>
              </c:layout>
              <c:spPr>
                <a:noFill/>
                <a:ln>
                  <a:noFill/>
                </a:ln>
                <a:effectLst/>
              </c:spPr>
              <c:txPr>
                <a:bodyPr wrap="square" lIns="38100" tIns="19050" rIns="38100" bIns="19050" anchor="ctr">
                  <a:noAutofit/>
                </a:bodyPr>
                <a:lstStyle/>
                <a:p>
                  <a:pPr>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6.3828786453433678E-2"/>
                      <c:h val="4.9203948276874583E-2"/>
                    </c:manualLayout>
                  </c15:layout>
                </c:ext>
                <c:ext xmlns:c16="http://schemas.microsoft.com/office/drawing/2014/chart" uri="{C3380CC4-5D6E-409C-BE32-E72D297353CC}">
                  <c16:uniqueId val="{00000002-0E6E-4441-BCE0-EB6C66E8DC18}"/>
                </c:ext>
              </c:extLst>
            </c:dLbl>
            <c:dLbl>
              <c:idx val="3"/>
              <c:layout>
                <c:manualLayout>
                  <c:x val="8.7017873941674512E-2"/>
                  <c:y val="-4.03144527313041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6E-4441-BCE0-EB6C66E8DC18}"/>
                </c:ext>
              </c:extLst>
            </c:dLbl>
            <c:dLbl>
              <c:idx val="4"/>
              <c:layout>
                <c:manualLayout>
                  <c:x val="1.88146754468485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6E-4441-BCE0-EB6C66E8DC18}"/>
                </c:ext>
              </c:extLst>
            </c:dLbl>
            <c:dLbl>
              <c:idx val="5"/>
              <c:layout>
                <c:manualLayout>
                  <c:x val="2.11665098777046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6E-4441-BCE0-EB6C66E8DC1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Gravedad 0</c:v>
                </c:pt>
                <c:pt idx="1">
                  <c:v>Gravedad 1</c:v>
                </c:pt>
                <c:pt idx="2">
                  <c:v>Gravedad 2</c:v>
                </c:pt>
                <c:pt idx="3">
                  <c:v>Gravedad 3</c:v>
                </c:pt>
                <c:pt idx="4">
                  <c:v>Gravedad 4</c:v>
                </c:pt>
              </c:strCache>
            </c:strRef>
          </c:cat>
          <c:val>
            <c:numRef>
              <c:f>Hoja1!$B$2:$B$6</c:f>
              <c:numCache>
                <c:formatCode>General</c:formatCode>
                <c:ptCount val="5"/>
                <c:pt idx="0">
                  <c:v>1</c:v>
                </c:pt>
                <c:pt idx="1">
                  <c:v>195</c:v>
                </c:pt>
                <c:pt idx="2">
                  <c:v>90</c:v>
                </c:pt>
                <c:pt idx="3">
                  <c:v>33</c:v>
                </c:pt>
                <c:pt idx="4">
                  <c:v>4</c:v>
                </c:pt>
              </c:numCache>
            </c:numRef>
          </c:val>
          <c:extLst>
            <c:ext xmlns:c16="http://schemas.microsoft.com/office/drawing/2014/chart" uri="{C3380CC4-5D6E-409C-BE32-E72D297353CC}">
              <c16:uniqueId val="{00000006-0E6E-4441-BCE0-EB6C66E8DC18}"/>
            </c:ext>
          </c:extLst>
        </c:ser>
        <c:dLbls>
          <c:showLegendKey val="0"/>
          <c:showVal val="0"/>
          <c:showCatName val="0"/>
          <c:showSerName val="0"/>
          <c:showPercent val="0"/>
          <c:showBubbleSize val="0"/>
        </c:dLbls>
        <c:gapWidth val="150"/>
        <c:overlap val="100"/>
        <c:axId val="980842000"/>
        <c:axId val="980847488"/>
      </c:barChart>
      <c:catAx>
        <c:axId val="980842000"/>
        <c:scaling>
          <c:orientation val="minMax"/>
        </c:scaling>
        <c:delete val="0"/>
        <c:axPos val="l"/>
        <c:numFmt formatCode="General" sourceLinked="0"/>
        <c:majorTickMark val="out"/>
        <c:minorTickMark val="none"/>
        <c:tickLblPos val="nextTo"/>
        <c:crossAx val="980847488"/>
        <c:crosses val="autoZero"/>
        <c:auto val="1"/>
        <c:lblAlgn val="ctr"/>
        <c:lblOffset val="100"/>
        <c:noMultiLvlLbl val="0"/>
      </c:catAx>
      <c:valAx>
        <c:axId val="980847488"/>
        <c:scaling>
          <c:orientation val="minMax"/>
        </c:scaling>
        <c:delete val="0"/>
        <c:axPos val="b"/>
        <c:majorGridlines/>
        <c:numFmt formatCode="General" sourceLinked="1"/>
        <c:majorTickMark val="out"/>
        <c:minorTickMark val="none"/>
        <c:tickLblPos val="nextTo"/>
        <c:crossAx val="980842000"/>
        <c:crosses val="autoZero"/>
        <c:crossBetween val="between"/>
      </c:valAx>
    </c:plotArea>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endParaRPr lang="es-ES" sz="1100"/>
          </a:p>
          <a:p>
            <a:pPr>
              <a:defRPr sz="1100"/>
            </a:pPr>
            <a:r>
              <a:rPr lang="es-ES" sz="1100"/>
              <a:t>Distribución</a:t>
            </a:r>
            <a:r>
              <a:rPr lang="es-ES" sz="1100" baseline="0"/>
              <a:t> de los "casi incidentes"</a:t>
            </a:r>
            <a:endParaRPr lang="es-ES" sz="1100"/>
          </a:p>
        </c:rich>
      </c:tx>
      <c:overlay val="0"/>
    </c:title>
    <c:autoTitleDeleted val="0"/>
    <c:plotArea>
      <c:layout/>
      <c:pieChart>
        <c:varyColors val="1"/>
        <c:ser>
          <c:idx val="0"/>
          <c:order val="0"/>
          <c:tx>
            <c:strRef>
              <c:f>Hoja1!$B$1</c:f>
              <c:strCache>
                <c:ptCount val="1"/>
                <c:pt idx="0">
                  <c:v>Ventas</c:v>
                </c:pt>
              </c:strCache>
            </c:strRef>
          </c:tx>
          <c:dLbls>
            <c:dLbl>
              <c:idx val="0"/>
              <c:layout>
                <c:manualLayout>
                  <c:x val="2.6942578203124491E-2"/>
                  <c:y val="-3.1672557761564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10-4878-BC0E-E3B8FB17B568}"/>
                </c:ext>
              </c:extLst>
            </c:dLbl>
            <c:dLbl>
              <c:idx val="1"/>
              <c:layout>
                <c:manualLayout>
                  <c:x val="-1.8222827979052041E-2"/>
                  <c:y val="-3.15024117248396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10-4878-BC0E-E3B8FB17B568}"/>
                </c:ext>
              </c:extLst>
            </c:dLbl>
            <c:dLbl>
              <c:idx val="2"/>
              <c:layout>
                <c:manualLayout>
                  <c:x val="-9.4384486040844148E-3"/>
                  <c:y val="-2.1817419970256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10-4878-BC0E-E3B8FB17B568}"/>
                </c:ext>
              </c:extLst>
            </c:dLbl>
            <c:dLbl>
              <c:idx val="3"/>
              <c:layout>
                <c:manualLayout>
                  <c:x val="-7.0943918933934098E-3"/>
                  <c:y val="-7.99495910622540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10-4878-BC0E-E3B8FB17B568}"/>
                </c:ext>
              </c:extLst>
            </c:dLbl>
            <c:dLbl>
              <c:idx val="4"/>
              <c:layout>
                <c:manualLayout>
                  <c:x val="-6.4296745950030449E-3"/>
                  <c:y val="-1.99045468036511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10-4878-BC0E-E3B8FB17B568}"/>
                </c:ext>
              </c:extLst>
            </c:dLbl>
            <c:dLbl>
              <c:idx val="5"/>
              <c:layout>
                <c:manualLayout>
                  <c:x val="5.8742157465500313E-3"/>
                  <c:y val="-2.72170171431656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10-4878-BC0E-E3B8FB17B568}"/>
                </c:ext>
              </c:extLst>
            </c:dLbl>
            <c:dLbl>
              <c:idx val="6"/>
              <c:layout>
                <c:manualLayout>
                  <c:x val="3.2490870437996852E-2"/>
                  <c:y val="-1.421386023582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610-4878-BC0E-E3B8FB17B568}"/>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Hoja1!$A$2:$A$5</c:f>
              <c:strCache>
                <c:ptCount val="4"/>
                <c:pt idx="0">
                  <c:v>Extracción</c:v>
                </c:pt>
                <c:pt idx="1">
                  <c:v>Prescripción</c:v>
                </c:pt>
                <c:pt idx="2">
                  <c:v>Laboratorio</c:v>
                </c:pt>
                <c:pt idx="3">
                  <c:v>Cabecera</c:v>
                </c:pt>
              </c:strCache>
            </c:strRef>
          </c:cat>
          <c:val>
            <c:numRef>
              <c:f>Hoja1!$B$2:$B$5</c:f>
              <c:numCache>
                <c:formatCode>General</c:formatCode>
                <c:ptCount val="4"/>
                <c:pt idx="0">
                  <c:v>38</c:v>
                </c:pt>
                <c:pt idx="1">
                  <c:v>2</c:v>
                </c:pt>
                <c:pt idx="2">
                  <c:v>6</c:v>
                </c:pt>
                <c:pt idx="3">
                  <c:v>1</c:v>
                </c:pt>
              </c:numCache>
            </c:numRef>
          </c:val>
          <c:extLst>
            <c:ext xmlns:c16="http://schemas.microsoft.com/office/drawing/2014/chart" uri="{C3380CC4-5D6E-409C-BE32-E72D297353CC}">
              <c16:uniqueId val="{00000007-B610-4878-BC0E-E3B8FB17B56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3001859956015369"/>
          <c:y val="0.29110971086284043"/>
          <c:w val="0.23235212743828926"/>
          <c:h val="0.61915095223054784"/>
        </c:manualLayout>
      </c:layout>
      <c:overlay val="0"/>
      <c:txPr>
        <a:bodyPr/>
        <a:lstStyle/>
        <a:p>
          <a:pPr>
            <a:defRPr sz="800">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ES" sz="1100"/>
              <a:t>Errores en administración de componentes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Porcentaje EAC / comunicaciones</c:v>
                </c:pt>
              </c:strCache>
            </c:strRef>
          </c:tx>
          <c:spPr>
            <a:solidFill>
              <a:schemeClr val="accent1"/>
            </a:solidFill>
            <a:ln>
              <a:noFill/>
            </a:ln>
            <a:effectLst/>
          </c:spPr>
          <c:invertIfNegative val="0"/>
          <c:cat>
            <c:numRef>
              <c:f>Hoja1!$A$2:$A$7</c:f>
              <c:numCache>
                <c:formatCode>General</c:formatCode>
                <c:ptCount val="6"/>
                <c:pt idx="0">
                  <c:v>2015</c:v>
                </c:pt>
                <c:pt idx="1">
                  <c:v>2016</c:v>
                </c:pt>
                <c:pt idx="2">
                  <c:v>2017</c:v>
                </c:pt>
                <c:pt idx="3">
                  <c:v>2018</c:v>
                </c:pt>
                <c:pt idx="4">
                  <c:v>2019</c:v>
                </c:pt>
                <c:pt idx="5">
                  <c:v>2020</c:v>
                </c:pt>
              </c:numCache>
            </c:numRef>
          </c:cat>
          <c:val>
            <c:numRef>
              <c:f>Hoja1!$B$2:$B$7</c:f>
              <c:numCache>
                <c:formatCode>General</c:formatCode>
                <c:ptCount val="6"/>
                <c:pt idx="0">
                  <c:v>7.5</c:v>
                </c:pt>
                <c:pt idx="1">
                  <c:v>4.87</c:v>
                </c:pt>
                <c:pt idx="2">
                  <c:v>3.56</c:v>
                </c:pt>
                <c:pt idx="3">
                  <c:v>4.43</c:v>
                </c:pt>
                <c:pt idx="4">
                  <c:v>4.04</c:v>
                </c:pt>
                <c:pt idx="5">
                  <c:v>9.15</c:v>
                </c:pt>
              </c:numCache>
            </c:numRef>
          </c:val>
          <c:extLst>
            <c:ext xmlns:c16="http://schemas.microsoft.com/office/drawing/2014/chart" uri="{C3380CC4-5D6E-409C-BE32-E72D297353CC}">
              <c16:uniqueId val="{00000000-0131-4378-B0B4-1F26A3B88662}"/>
            </c:ext>
          </c:extLst>
        </c:ser>
        <c:ser>
          <c:idx val="1"/>
          <c:order val="1"/>
          <c:tx>
            <c:strRef>
              <c:f>Hoja1!$C$1</c:f>
              <c:strCache>
                <c:ptCount val="1"/>
                <c:pt idx="0">
                  <c:v>EAC / 100.000 CS trasfundidos</c:v>
                </c:pt>
              </c:strCache>
            </c:strRef>
          </c:tx>
          <c:spPr>
            <a:solidFill>
              <a:schemeClr val="accent2"/>
            </a:solidFill>
            <a:ln>
              <a:noFill/>
            </a:ln>
            <a:effectLst/>
          </c:spPr>
          <c:invertIfNegative val="0"/>
          <c:cat>
            <c:numRef>
              <c:f>Hoja1!$A$2:$A$7</c:f>
              <c:numCache>
                <c:formatCode>General</c:formatCode>
                <c:ptCount val="6"/>
                <c:pt idx="0">
                  <c:v>2015</c:v>
                </c:pt>
                <c:pt idx="1">
                  <c:v>2016</c:v>
                </c:pt>
                <c:pt idx="2">
                  <c:v>2017</c:v>
                </c:pt>
                <c:pt idx="3">
                  <c:v>2018</c:v>
                </c:pt>
                <c:pt idx="4">
                  <c:v>2019</c:v>
                </c:pt>
                <c:pt idx="5">
                  <c:v>2020</c:v>
                </c:pt>
              </c:numCache>
            </c:numRef>
          </c:cat>
          <c:val>
            <c:numRef>
              <c:f>Hoja1!$C$2:$C$7</c:f>
              <c:numCache>
                <c:formatCode>General</c:formatCode>
                <c:ptCount val="6"/>
                <c:pt idx="0">
                  <c:v>7</c:v>
                </c:pt>
                <c:pt idx="1">
                  <c:v>4.2</c:v>
                </c:pt>
                <c:pt idx="2">
                  <c:v>5.18</c:v>
                </c:pt>
                <c:pt idx="3">
                  <c:v>7.58</c:v>
                </c:pt>
                <c:pt idx="4">
                  <c:v>8.5500000000000007</c:v>
                </c:pt>
                <c:pt idx="5">
                  <c:v>9.7100000000000009</c:v>
                </c:pt>
              </c:numCache>
            </c:numRef>
          </c:val>
          <c:extLst>
            <c:ext xmlns:c16="http://schemas.microsoft.com/office/drawing/2014/chart" uri="{C3380CC4-5D6E-409C-BE32-E72D297353CC}">
              <c16:uniqueId val="{00000001-0131-4378-B0B4-1F26A3B88662}"/>
            </c:ext>
          </c:extLst>
        </c:ser>
        <c:dLbls>
          <c:showLegendKey val="0"/>
          <c:showVal val="0"/>
          <c:showCatName val="0"/>
          <c:showSerName val="0"/>
          <c:showPercent val="0"/>
          <c:showBubbleSize val="0"/>
        </c:dLbls>
        <c:gapWidth val="150"/>
        <c:axId val="980848664"/>
        <c:axId val="980838080"/>
      </c:barChart>
      <c:catAx>
        <c:axId val="980848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80838080"/>
        <c:crosses val="autoZero"/>
        <c:auto val="1"/>
        <c:lblAlgn val="ctr"/>
        <c:lblOffset val="100"/>
        <c:noMultiLvlLbl val="0"/>
      </c:catAx>
      <c:valAx>
        <c:axId val="98083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80848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pPr>
          <a:endParaRPr lang="es-ES"/>
        </a:p>
      </c:txPr>
    </c:title>
    <c:autoTitleDeleted val="0"/>
    <c:plotArea>
      <c:layout/>
      <c:pieChart>
        <c:varyColors val="1"/>
        <c:ser>
          <c:idx val="0"/>
          <c:order val="0"/>
          <c:tx>
            <c:strRef>
              <c:f>Hoja1!$B$1</c:f>
              <c:strCache>
                <c:ptCount val="1"/>
                <c:pt idx="0">
                  <c:v>Causas de los EAC</c:v>
                </c:pt>
              </c:strCache>
            </c:strRef>
          </c:tx>
          <c:dLbls>
            <c:dLbl>
              <c:idx val="0"/>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C1-4C4C-8D86-982A3BF524D7}"/>
                </c:ext>
              </c:extLst>
            </c:dLbl>
            <c:dLbl>
              <c:idx val="1"/>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C1-4C4C-8D86-982A3BF524D7}"/>
                </c:ext>
              </c:extLst>
            </c:dLbl>
            <c:dLbl>
              <c:idx val="3"/>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C1-4C4C-8D86-982A3BF524D7}"/>
                </c:ext>
              </c:extLst>
            </c:dLbl>
            <c:dLbl>
              <c:idx val="6"/>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C1-4C4C-8D86-982A3BF524D7}"/>
                </c:ext>
              </c:extLst>
            </c:dLbl>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extLst>
          </c:dLbls>
          <c:cat>
            <c:strRef>
              <c:f>Hoja1!$A$2:$A$6</c:f>
              <c:strCache>
                <c:ptCount val="5"/>
                <c:pt idx="0">
                  <c:v>Cabecera</c:v>
                </c:pt>
                <c:pt idx="1">
                  <c:v>Selección </c:v>
                </c:pt>
                <c:pt idx="2">
                  <c:v>Prescripción</c:v>
                </c:pt>
                <c:pt idx="3">
                  <c:v>Laboratorio </c:v>
                </c:pt>
                <c:pt idx="4">
                  <c:v>Extracción</c:v>
                </c:pt>
              </c:strCache>
            </c:strRef>
          </c:cat>
          <c:val>
            <c:numRef>
              <c:f>Hoja1!$B$2:$B$6</c:f>
              <c:numCache>
                <c:formatCode>General</c:formatCode>
                <c:ptCount val="5"/>
                <c:pt idx="0">
                  <c:v>13</c:v>
                </c:pt>
                <c:pt idx="1">
                  <c:v>10</c:v>
                </c:pt>
                <c:pt idx="2">
                  <c:v>3</c:v>
                </c:pt>
                <c:pt idx="3">
                  <c:v>1</c:v>
                </c:pt>
                <c:pt idx="4">
                  <c:v>1</c:v>
                </c:pt>
              </c:numCache>
            </c:numRef>
          </c:val>
          <c:extLst>
            <c:ext xmlns:c16="http://schemas.microsoft.com/office/drawing/2014/chart" uri="{C3380CC4-5D6E-409C-BE32-E72D297353CC}">
              <c16:uniqueId val="{00000004-22C1-4C4C-8D86-982A3BF524D7}"/>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Calibri" panose="020F0502020204030204" pitchFamily="34" charset="0"/>
              <a:cs typeface="Calibri" panose="020F0502020204030204" pitchFamily="34" charset="0"/>
            </a:defRPr>
          </a:pPr>
          <a:endParaRPr lang="es-ES"/>
        </a:p>
      </c:txPr>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[ENERO-DICIEMBRE 2020.xlsx]Nº DE COLECTAS POR MESES!Tabla dinámica9</c:name>
    <c:fmtId val="-1"/>
  </c:pivotSource>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ES"/>
              <a:t>PETICIONES</a:t>
            </a:r>
            <a:r>
              <a:rPr lang="es-ES" baseline="0"/>
              <a:t> POR MESES</a:t>
            </a:r>
            <a:endParaRPr lang="es-E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E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'Nº DE COLECTAS POR MESES'!$C$4:$C$5</c:f>
              <c:strCache>
                <c:ptCount val="1"/>
                <c:pt idx="0">
                  <c:v>DO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MESES'!$C$6:$C$18</c:f>
              <c:numCache>
                <c:formatCode>General</c:formatCode>
                <c:ptCount val="12"/>
                <c:pt idx="0">
                  <c:v>2</c:v>
                </c:pt>
                <c:pt idx="1">
                  <c:v>1</c:v>
                </c:pt>
                <c:pt idx="2">
                  <c:v>1</c:v>
                </c:pt>
                <c:pt idx="4">
                  <c:v>1</c:v>
                </c:pt>
                <c:pt idx="5">
                  <c:v>1</c:v>
                </c:pt>
                <c:pt idx="6">
                  <c:v>1</c:v>
                </c:pt>
                <c:pt idx="7">
                  <c:v>1</c:v>
                </c:pt>
                <c:pt idx="8">
                  <c:v>1</c:v>
                </c:pt>
                <c:pt idx="9">
                  <c:v>1</c:v>
                </c:pt>
                <c:pt idx="10">
                  <c:v>2</c:v>
                </c:pt>
              </c:numCache>
            </c:numRef>
          </c:val>
          <c:extLst>
            <c:ext xmlns:c16="http://schemas.microsoft.com/office/drawing/2014/chart" uri="{C3380CC4-5D6E-409C-BE32-E72D297353CC}">
              <c16:uniqueId val="{00000000-A03A-430D-A999-7930792175D7}"/>
            </c:ext>
          </c:extLst>
        </c:ser>
        <c:ser>
          <c:idx val="1"/>
          <c:order val="1"/>
          <c:tx>
            <c:strRef>
              <c:f>'Nº DE COLECTAS POR MESES'!$D$4:$D$5</c:f>
              <c:strCache>
                <c:ptCount val="1"/>
                <c:pt idx="0">
                  <c:v>FJD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MESES'!$D$6:$D$18</c:f>
              <c:numCache>
                <c:formatCode>General</c:formatCode>
                <c:ptCount val="12"/>
                <c:pt idx="0">
                  <c:v>1</c:v>
                </c:pt>
                <c:pt idx="1">
                  <c:v>1</c:v>
                </c:pt>
                <c:pt idx="4">
                  <c:v>2</c:v>
                </c:pt>
                <c:pt idx="8">
                  <c:v>1</c:v>
                </c:pt>
                <c:pt idx="10">
                  <c:v>1</c:v>
                </c:pt>
              </c:numCache>
            </c:numRef>
          </c:val>
          <c:extLst>
            <c:ext xmlns:c16="http://schemas.microsoft.com/office/drawing/2014/chart" uri="{C3380CC4-5D6E-409C-BE32-E72D297353CC}">
              <c16:uniqueId val="{00000001-A03A-430D-A999-7930792175D7}"/>
            </c:ext>
          </c:extLst>
        </c:ser>
        <c:ser>
          <c:idx val="2"/>
          <c:order val="2"/>
          <c:tx>
            <c:strRef>
              <c:f>'Nº DE COLECTAS POR MESES'!$E$4:$E$5</c:f>
              <c:strCache>
                <c:ptCount val="1"/>
                <c:pt idx="0">
                  <c:v>GM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MESES'!$E$6:$E$18</c:f>
              <c:numCache>
                <c:formatCode>General</c:formatCode>
                <c:ptCount val="12"/>
                <c:pt idx="0">
                  <c:v>1</c:v>
                </c:pt>
                <c:pt idx="1">
                  <c:v>1</c:v>
                </c:pt>
                <c:pt idx="2">
                  <c:v>1</c:v>
                </c:pt>
                <c:pt idx="5">
                  <c:v>1</c:v>
                </c:pt>
                <c:pt idx="6">
                  <c:v>1</c:v>
                </c:pt>
                <c:pt idx="8">
                  <c:v>1</c:v>
                </c:pt>
                <c:pt idx="10">
                  <c:v>1</c:v>
                </c:pt>
              </c:numCache>
            </c:numRef>
          </c:val>
          <c:extLst>
            <c:ext xmlns:c16="http://schemas.microsoft.com/office/drawing/2014/chart" uri="{C3380CC4-5D6E-409C-BE32-E72D297353CC}">
              <c16:uniqueId val="{00000002-A03A-430D-A999-7930792175D7}"/>
            </c:ext>
          </c:extLst>
        </c:ser>
        <c:ser>
          <c:idx val="3"/>
          <c:order val="3"/>
          <c:tx>
            <c:strRef>
              <c:f>'Nº DE COLECTAS POR MESES'!$F$4:$F$5</c:f>
              <c:strCache>
                <c:ptCount val="1"/>
                <c:pt idx="0">
                  <c:v>LA PAZ</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MESES'!$F$6:$F$18</c:f>
              <c:numCache>
                <c:formatCode>General</c:formatCode>
                <c:ptCount val="12"/>
                <c:pt idx="0">
                  <c:v>2</c:v>
                </c:pt>
                <c:pt idx="1">
                  <c:v>3</c:v>
                </c:pt>
                <c:pt idx="2">
                  <c:v>1</c:v>
                </c:pt>
                <c:pt idx="4">
                  <c:v>1</c:v>
                </c:pt>
                <c:pt idx="5">
                  <c:v>2</c:v>
                </c:pt>
                <c:pt idx="6">
                  <c:v>1</c:v>
                </c:pt>
                <c:pt idx="8">
                  <c:v>1</c:v>
                </c:pt>
                <c:pt idx="11">
                  <c:v>1</c:v>
                </c:pt>
              </c:numCache>
            </c:numRef>
          </c:val>
          <c:extLst>
            <c:ext xmlns:c16="http://schemas.microsoft.com/office/drawing/2014/chart" uri="{C3380CC4-5D6E-409C-BE32-E72D297353CC}">
              <c16:uniqueId val="{00000003-A03A-430D-A999-7930792175D7}"/>
            </c:ext>
          </c:extLst>
        </c:ser>
        <c:ser>
          <c:idx val="4"/>
          <c:order val="4"/>
          <c:tx>
            <c:strRef>
              <c:f>'Nº DE COLECTAS POR MESES'!$G$4:$G$5</c:f>
              <c:strCache>
                <c:ptCount val="1"/>
                <c:pt idx="0">
                  <c:v>PH</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MESES'!$G$6:$G$18</c:f>
              <c:numCache>
                <c:formatCode>General</c:formatCode>
                <c:ptCount val="12"/>
                <c:pt idx="0">
                  <c:v>1</c:v>
                </c:pt>
                <c:pt idx="1">
                  <c:v>1</c:v>
                </c:pt>
                <c:pt idx="4">
                  <c:v>1</c:v>
                </c:pt>
                <c:pt idx="5">
                  <c:v>1</c:v>
                </c:pt>
                <c:pt idx="7">
                  <c:v>1</c:v>
                </c:pt>
                <c:pt idx="8">
                  <c:v>1</c:v>
                </c:pt>
                <c:pt idx="9">
                  <c:v>1</c:v>
                </c:pt>
                <c:pt idx="10">
                  <c:v>1</c:v>
                </c:pt>
              </c:numCache>
            </c:numRef>
          </c:val>
          <c:extLst>
            <c:ext xmlns:c16="http://schemas.microsoft.com/office/drawing/2014/chart" uri="{C3380CC4-5D6E-409C-BE32-E72D297353CC}">
              <c16:uniqueId val="{00000004-A03A-430D-A999-7930792175D7}"/>
            </c:ext>
          </c:extLst>
        </c:ser>
        <c:ser>
          <c:idx val="5"/>
          <c:order val="5"/>
          <c:tx>
            <c:strRef>
              <c:f>'Nº DE COLECTAS POR MESES'!$H$4:$H$5</c:f>
              <c:strCache>
                <c:ptCount val="1"/>
                <c:pt idx="0">
                  <c:v>PRINCESA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MESES'!$H$6:$H$18</c:f>
              <c:numCache>
                <c:formatCode>General</c:formatCode>
                <c:ptCount val="12"/>
                <c:pt idx="1">
                  <c:v>2</c:v>
                </c:pt>
                <c:pt idx="2">
                  <c:v>1</c:v>
                </c:pt>
                <c:pt idx="4">
                  <c:v>1</c:v>
                </c:pt>
                <c:pt idx="5">
                  <c:v>1</c:v>
                </c:pt>
                <c:pt idx="8">
                  <c:v>1</c:v>
                </c:pt>
                <c:pt idx="9">
                  <c:v>1</c:v>
                </c:pt>
                <c:pt idx="10">
                  <c:v>1</c:v>
                </c:pt>
              </c:numCache>
            </c:numRef>
          </c:val>
          <c:extLst>
            <c:ext xmlns:c16="http://schemas.microsoft.com/office/drawing/2014/chart" uri="{C3380CC4-5D6E-409C-BE32-E72D297353CC}">
              <c16:uniqueId val="{00000005-A03A-430D-A999-7930792175D7}"/>
            </c:ext>
          </c:extLst>
        </c:ser>
        <c:ser>
          <c:idx val="6"/>
          <c:order val="6"/>
          <c:tx>
            <c:strRef>
              <c:f>'Nº DE COLECTAS POR MESES'!$I$4:$I$5</c:f>
              <c:strCache>
                <c:ptCount val="1"/>
                <c:pt idx="0">
                  <c:v>RYC</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'Nº DE COLECTAS POR MESES'!$B$6:$B$18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'Nº DE COLECTAS POR MESES'!$I$6:$I$18</c:f>
              <c:numCache>
                <c:formatCode>General</c:formatCode>
                <c:ptCount val="12"/>
                <c:pt idx="0">
                  <c:v>1</c:v>
                </c:pt>
                <c:pt idx="1">
                  <c:v>1</c:v>
                </c:pt>
                <c:pt idx="2">
                  <c:v>1</c:v>
                </c:pt>
                <c:pt idx="3">
                  <c:v>1</c:v>
                </c:pt>
                <c:pt idx="4">
                  <c:v>2</c:v>
                </c:pt>
                <c:pt idx="5">
                  <c:v>1</c:v>
                </c:pt>
                <c:pt idx="8">
                  <c:v>2</c:v>
                </c:pt>
                <c:pt idx="10">
                  <c:v>1</c:v>
                </c:pt>
              </c:numCache>
            </c:numRef>
          </c:val>
          <c:extLst>
            <c:ext xmlns:c16="http://schemas.microsoft.com/office/drawing/2014/chart" uri="{C3380CC4-5D6E-409C-BE32-E72D297353CC}">
              <c16:uniqueId val="{00000006-A03A-430D-A999-7930792175D7}"/>
            </c:ext>
          </c:extLst>
        </c:ser>
        <c:dLbls>
          <c:dLblPos val="ctr"/>
          <c:showLegendKey val="0"/>
          <c:showVal val="1"/>
          <c:showCatName val="0"/>
          <c:showSerName val="0"/>
          <c:showPercent val="0"/>
          <c:showBubbleSize val="0"/>
        </c:dLbls>
        <c:gapWidth val="79"/>
        <c:overlap val="100"/>
        <c:axId val="341009040"/>
        <c:axId val="341006296"/>
      </c:barChart>
      <c:catAx>
        <c:axId val="341009040"/>
        <c:scaling>
          <c:orientation val="minMax"/>
        </c:scaling>
        <c:delete val="0"/>
        <c:axPos val="b"/>
        <c:majorGridlines>
          <c:spPr>
            <a:ln w="9525" cap="flat" cmpd="sng" algn="ctr">
              <a:solidFill>
                <a:schemeClr val="accent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ES"/>
          </a:p>
        </c:txPr>
        <c:crossAx val="341006296"/>
        <c:crosses val="autoZero"/>
        <c:auto val="1"/>
        <c:lblAlgn val="ctr"/>
        <c:lblOffset val="100"/>
        <c:noMultiLvlLbl val="0"/>
      </c:catAx>
      <c:valAx>
        <c:axId val="341006296"/>
        <c:scaling>
          <c:orientation val="minMax"/>
        </c:scaling>
        <c:delete val="1"/>
        <c:axPos val="l"/>
        <c:numFmt formatCode="General" sourceLinked="1"/>
        <c:majorTickMark val="none"/>
        <c:minorTickMark val="none"/>
        <c:tickLblPos val="nextTo"/>
        <c:crossAx val="341009040"/>
        <c:crosses val="autoZero"/>
        <c:crossBetween val="between"/>
      </c:valAx>
      <c:spPr>
        <a:noFill/>
        <a:ln>
          <a:noFill/>
        </a:ln>
        <a:effectLst/>
      </c:spPr>
    </c:plotArea>
    <c:legend>
      <c:legendPos val="r"/>
      <c:layout>
        <c:manualLayout>
          <c:xMode val="edge"/>
          <c:yMode val="edge"/>
          <c:x val="0.78433204920501753"/>
          <c:y val="0.29345352199755964"/>
          <c:w val="0.16503342545191566"/>
          <c:h val="0.56840514949116927"/>
        </c:manualLayout>
      </c:layout>
      <c:overlay val="0"/>
      <c:spPr>
        <a:noFill/>
        <a:ln>
          <a:solidFill>
            <a:schemeClr val="tx2">
              <a:lumMod val="40000"/>
              <a:lumOff val="60000"/>
            </a:schemeClr>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30"/>
      <c:rotY val="26"/>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5"/>
          <c:dPt>
            <c:idx val="0"/>
            <c:bubble3D val="0"/>
            <c:spPr>
              <a:solidFill>
                <a:schemeClr val="accent6">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DC3-48D0-8DE2-821E8B4E4871}"/>
              </c:ext>
            </c:extLst>
          </c:dPt>
          <c:dPt>
            <c:idx val="1"/>
            <c:bubble3D val="0"/>
            <c:spPr>
              <a:solidFill>
                <a:schemeClr val="accent6">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DC3-48D0-8DE2-821E8B4E4871}"/>
              </c:ext>
            </c:extLst>
          </c:dPt>
          <c:dLbls>
            <c:dLbl>
              <c:idx val="0"/>
              <c:layout>
                <c:manualLayout>
                  <c:x val="-0.21111111111111111"/>
                  <c:y val="5.092592592592590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Montserrat" panose="00000500000000000000" pitchFamily="2" charset="0"/>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DC3-48D0-8DE2-821E8B4E4871}"/>
                </c:ext>
              </c:extLst>
            </c:dLbl>
            <c:dLbl>
              <c:idx val="1"/>
              <c:layout>
                <c:manualLayout>
                  <c:x val="0.18718346376915651"/>
                  <c:y val="-0.197183098591549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Montserrat" panose="00000500000000000000" pitchFamily="2" charset="0"/>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32478216818642347"/>
                      <c:h val="0.27098591549295775"/>
                    </c:manualLayout>
                  </c15:layout>
                </c:ext>
                <c:ext xmlns:c16="http://schemas.microsoft.com/office/drawing/2014/chart" uri="{C3380CC4-5D6E-409C-BE32-E72D297353CC}">
                  <c16:uniqueId val="{00000003-5DC3-48D0-8DE2-821E8B4E4871}"/>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Montserrat" panose="00000500000000000000" pitchFamily="2" charset="0"/>
                    <a:ea typeface="+mn-ea"/>
                    <a:cs typeface="+mn-cs"/>
                  </a:defRPr>
                </a:pPr>
                <a:endParaRPr lang="es-E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Sangre!$A$132:$A$133</c:f>
              <c:strCache>
                <c:ptCount val="2"/>
                <c:pt idx="0">
                  <c:v>nuevos</c:v>
                </c:pt>
                <c:pt idx="1">
                  <c:v>repetidores</c:v>
                </c:pt>
              </c:strCache>
            </c:strRef>
          </c:cat>
          <c:val>
            <c:numRef>
              <c:f>Sangre!$B$132:$B$133</c:f>
              <c:numCache>
                <c:formatCode>General</c:formatCode>
                <c:ptCount val="2"/>
                <c:pt idx="0">
                  <c:v>34190</c:v>
                </c:pt>
                <c:pt idx="1">
                  <c:v>128133</c:v>
                </c:pt>
              </c:numCache>
            </c:numRef>
          </c:val>
          <c:extLst>
            <c:ext xmlns:c16="http://schemas.microsoft.com/office/drawing/2014/chart" uri="{C3380CC4-5D6E-409C-BE32-E72D297353CC}">
              <c16:uniqueId val="{00000004-5DC3-48D0-8DE2-821E8B4E487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s-E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r>
              <a:rPr lang="es-ES"/>
              <a:t>Donantes x edad y sexo 2020</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ontserrat" panose="00000500000000000000" pitchFamily="2" charset="0"/>
              <a:ea typeface="+mn-ea"/>
              <a:cs typeface="+mn-cs"/>
            </a:defRPr>
          </a:pPr>
          <a:endParaRPr lang="es-ES"/>
        </a:p>
      </c:txPr>
    </c:title>
    <c:autoTitleDeleted val="0"/>
    <c:plotArea>
      <c:layout/>
      <c:barChart>
        <c:barDir val="col"/>
        <c:grouping val="clustered"/>
        <c:varyColors val="0"/>
        <c:ser>
          <c:idx val="0"/>
          <c:order val="0"/>
          <c:tx>
            <c:strRef>
              <c:f>Sangre!$B$2</c:f>
              <c:strCache>
                <c:ptCount val="1"/>
                <c:pt idx="0">
                  <c:v>Femenino</c:v>
                </c:pt>
              </c:strCache>
            </c:strRef>
          </c:tx>
          <c:spPr>
            <a:solidFill>
              <a:schemeClr val="accent1"/>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Sangre!$C$2:$M$2</c:f>
            </c:numRef>
          </c:val>
          <c:extLst>
            <c:ext xmlns:c16="http://schemas.microsoft.com/office/drawing/2014/chart" uri="{C3380CC4-5D6E-409C-BE32-E72D297353CC}">
              <c16:uniqueId val="{00000000-15AB-44A2-AD84-1EA3B02E4B21}"/>
            </c:ext>
          </c:extLst>
        </c:ser>
        <c:ser>
          <c:idx val="1"/>
          <c:order val="1"/>
          <c:tx>
            <c:strRef>
              <c:f>Sangre!$B$3</c:f>
              <c:strCache>
                <c:ptCount val="1"/>
                <c:pt idx="0">
                  <c:v>Masculino</c:v>
                </c:pt>
              </c:strCache>
            </c:strRef>
          </c:tx>
          <c:spPr>
            <a:solidFill>
              <a:schemeClr val="accent2"/>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Sangre!$C$3:$M$3</c:f>
            </c:numRef>
          </c:val>
          <c:extLst>
            <c:ext xmlns:c16="http://schemas.microsoft.com/office/drawing/2014/chart" uri="{C3380CC4-5D6E-409C-BE32-E72D297353CC}">
              <c16:uniqueId val="{00000001-15AB-44A2-AD84-1EA3B02E4B21}"/>
            </c:ext>
          </c:extLst>
        </c:ser>
        <c:ser>
          <c:idx val="2"/>
          <c:order val="2"/>
          <c:tx>
            <c:strRef>
              <c:f>Sangre!$B$4</c:f>
              <c:strCache>
                <c:ptCount val="1"/>
                <c:pt idx="0">
                  <c:v>Femenino</c:v>
                </c:pt>
              </c:strCache>
            </c:strRef>
          </c:tx>
          <c:spPr>
            <a:solidFill>
              <a:schemeClr val="accent3"/>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Sangre!$C$4:$M$4</c:f>
            </c:numRef>
          </c:val>
          <c:extLst>
            <c:ext xmlns:c16="http://schemas.microsoft.com/office/drawing/2014/chart" uri="{C3380CC4-5D6E-409C-BE32-E72D297353CC}">
              <c16:uniqueId val="{00000002-15AB-44A2-AD84-1EA3B02E4B21}"/>
            </c:ext>
          </c:extLst>
        </c:ser>
        <c:ser>
          <c:idx val="3"/>
          <c:order val="3"/>
          <c:tx>
            <c:strRef>
              <c:f>Sangre!$B$5</c:f>
              <c:strCache>
                <c:ptCount val="1"/>
                <c:pt idx="0">
                  <c:v>Masculino</c:v>
                </c:pt>
              </c:strCache>
            </c:strRef>
          </c:tx>
          <c:spPr>
            <a:solidFill>
              <a:schemeClr val="accent4"/>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Sangre!$C$5:$M$5</c:f>
            </c:numRef>
          </c:val>
          <c:extLst>
            <c:ext xmlns:c16="http://schemas.microsoft.com/office/drawing/2014/chart" uri="{C3380CC4-5D6E-409C-BE32-E72D297353CC}">
              <c16:uniqueId val="{00000003-15AB-44A2-AD84-1EA3B02E4B21}"/>
            </c:ext>
          </c:extLst>
        </c:ser>
        <c:ser>
          <c:idx val="4"/>
          <c:order val="4"/>
          <c:tx>
            <c:strRef>
              <c:f>Sangre!$B$6</c:f>
              <c:strCache>
                <c:ptCount val="1"/>
                <c:pt idx="0">
                  <c:v>Femenino</c:v>
                </c:pt>
              </c:strCache>
            </c:strRef>
          </c:tx>
          <c:spPr>
            <a:solidFill>
              <a:schemeClr val="accent5"/>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Sangre!$C$6:$M$6</c:f>
            </c:numRef>
          </c:val>
          <c:extLst>
            <c:ext xmlns:c16="http://schemas.microsoft.com/office/drawing/2014/chart" uri="{C3380CC4-5D6E-409C-BE32-E72D297353CC}">
              <c16:uniqueId val="{00000004-15AB-44A2-AD84-1EA3B02E4B21}"/>
            </c:ext>
          </c:extLst>
        </c:ser>
        <c:ser>
          <c:idx val="5"/>
          <c:order val="5"/>
          <c:tx>
            <c:strRef>
              <c:f>Sangre!$B$7</c:f>
              <c:strCache>
                <c:ptCount val="1"/>
                <c:pt idx="0">
                  <c:v>Masculino</c:v>
                </c:pt>
              </c:strCache>
            </c:strRef>
          </c:tx>
          <c:spPr>
            <a:solidFill>
              <a:schemeClr val="accent6"/>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Sangre!$C$7:$M$7</c:f>
            </c:numRef>
          </c:val>
          <c:extLst>
            <c:ext xmlns:c16="http://schemas.microsoft.com/office/drawing/2014/chart" uri="{C3380CC4-5D6E-409C-BE32-E72D297353CC}">
              <c16:uniqueId val="{00000005-15AB-44A2-AD84-1EA3B02E4B21}"/>
            </c:ext>
          </c:extLst>
        </c:ser>
        <c:ser>
          <c:idx val="6"/>
          <c:order val="6"/>
          <c:tx>
            <c:strRef>
              <c:f>Sangre!$B$8</c:f>
              <c:strCache>
                <c:ptCount val="1"/>
                <c:pt idx="0">
                  <c:v>Femenino</c:v>
                </c:pt>
              </c:strCache>
            </c:strRef>
          </c:tx>
          <c:spPr>
            <a:solidFill>
              <a:schemeClr val="accent1">
                <a:lumMod val="6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Sangre!$C$8:$M$8</c:f>
            </c:numRef>
          </c:val>
          <c:extLst>
            <c:ext xmlns:c16="http://schemas.microsoft.com/office/drawing/2014/chart" uri="{C3380CC4-5D6E-409C-BE32-E72D297353CC}">
              <c16:uniqueId val="{00000006-15AB-44A2-AD84-1EA3B02E4B21}"/>
            </c:ext>
          </c:extLst>
        </c:ser>
        <c:ser>
          <c:idx val="7"/>
          <c:order val="7"/>
          <c:tx>
            <c:strRef>
              <c:f>Sangre!$B$9</c:f>
              <c:strCache>
                <c:ptCount val="1"/>
                <c:pt idx="0">
                  <c:v>Masculino</c:v>
                </c:pt>
              </c:strCache>
            </c:strRef>
          </c:tx>
          <c:spPr>
            <a:solidFill>
              <a:schemeClr val="accent2">
                <a:lumMod val="6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Sangre!$C$9:$M$9</c:f>
            </c:numRef>
          </c:val>
          <c:extLst>
            <c:ext xmlns:c16="http://schemas.microsoft.com/office/drawing/2014/chart" uri="{C3380CC4-5D6E-409C-BE32-E72D297353CC}">
              <c16:uniqueId val="{00000007-15AB-44A2-AD84-1EA3B02E4B21}"/>
            </c:ext>
          </c:extLst>
        </c:ser>
        <c:ser>
          <c:idx val="8"/>
          <c:order val="8"/>
          <c:tx>
            <c:strRef>
              <c:f>Sangre!$B$10</c:f>
              <c:strCache>
                <c:ptCount val="1"/>
                <c:pt idx="0">
                  <c:v>Femenino</c:v>
                </c:pt>
              </c:strCache>
            </c:strRef>
          </c:tx>
          <c:spPr>
            <a:solidFill>
              <a:schemeClr val="accent3">
                <a:lumMod val="6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Sangre!$C$10:$M$10</c:f>
            </c:numRef>
          </c:val>
          <c:extLst>
            <c:ext xmlns:c16="http://schemas.microsoft.com/office/drawing/2014/chart" uri="{C3380CC4-5D6E-409C-BE32-E72D297353CC}">
              <c16:uniqueId val="{00000008-15AB-44A2-AD84-1EA3B02E4B21}"/>
            </c:ext>
          </c:extLst>
        </c:ser>
        <c:ser>
          <c:idx val="9"/>
          <c:order val="9"/>
          <c:tx>
            <c:strRef>
              <c:f>Sangre!$B$11</c:f>
              <c:strCache>
                <c:ptCount val="1"/>
                <c:pt idx="0">
                  <c:v>Masculino</c:v>
                </c:pt>
              </c:strCache>
            </c:strRef>
          </c:tx>
          <c:spPr>
            <a:solidFill>
              <a:schemeClr val="accent4">
                <a:lumMod val="6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Sangre!$C$11:$M$11</c:f>
            </c:numRef>
          </c:val>
          <c:extLst>
            <c:ext xmlns:c16="http://schemas.microsoft.com/office/drawing/2014/chart" uri="{C3380CC4-5D6E-409C-BE32-E72D297353CC}">
              <c16:uniqueId val="{00000009-15AB-44A2-AD84-1EA3B02E4B21}"/>
            </c:ext>
          </c:extLst>
        </c:ser>
        <c:ser>
          <c:idx val="10"/>
          <c:order val="10"/>
          <c:tx>
            <c:strRef>
              <c:f>Sangre!$B$12</c:f>
              <c:strCache>
                <c:ptCount val="1"/>
                <c:pt idx="0">
                  <c:v>Femenino</c:v>
                </c:pt>
              </c:strCache>
            </c:strRef>
          </c:tx>
          <c:spPr>
            <a:solidFill>
              <a:schemeClr val="accent5">
                <a:lumMod val="6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Sangre!$C$12:$M$12</c:f>
            </c:numRef>
          </c:val>
          <c:extLst>
            <c:ext xmlns:c16="http://schemas.microsoft.com/office/drawing/2014/chart" uri="{C3380CC4-5D6E-409C-BE32-E72D297353CC}">
              <c16:uniqueId val="{0000000A-15AB-44A2-AD84-1EA3B02E4B21}"/>
            </c:ext>
          </c:extLst>
        </c:ser>
        <c:ser>
          <c:idx val="11"/>
          <c:order val="11"/>
          <c:tx>
            <c:strRef>
              <c:f>Sangre!$B$13</c:f>
              <c:strCache>
                <c:ptCount val="1"/>
                <c:pt idx="0">
                  <c:v>Masculino</c:v>
                </c:pt>
              </c:strCache>
            </c:strRef>
          </c:tx>
          <c:spPr>
            <a:solidFill>
              <a:schemeClr val="accent6">
                <a:lumMod val="6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Sangre!$C$13:$M$13</c:f>
            </c:numRef>
          </c:val>
          <c:extLst>
            <c:ext xmlns:c16="http://schemas.microsoft.com/office/drawing/2014/chart" uri="{C3380CC4-5D6E-409C-BE32-E72D297353CC}">
              <c16:uniqueId val="{0000000B-15AB-44A2-AD84-1EA3B02E4B21}"/>
            </c:ext>
          </c:extLst>
        </c:ser>
        <c:ser>
          <c:idx val="12"/>
          <c:order val="12"/>
          <c:tx>
            <c:strRef>
              <c:f>Sangre!$B$14</c:f>
              <c:strCache>
                <c:ptCount val="1"/>
                <c:pt idx="0">
                  <c:v>Femenino</c:v>
                </c:pt>
              </c:strCache>
            </c:strRef>
          </c:tx>
          <c:spPr>
            <a:solidFill>
              <a:schemeClr val="accent1">
                <a:lumMod val="80000"/>
                <a:lumOff val="2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Sangre!$C$14:$M$14</c:f>
            </c:numRef>
          </c:val>
          <c:extLst>
            <c:ext xmlns:c16="http://schemas.microsoft.com/office/drawing/2014/chart" uri="{C3380CC4-5D6E-409C-BE32-E72D297353CC}">
              <c16:uniqueId val="{0000000C-15AB-44A2-AD84-1EA3B02E4B21}"/>
            </c:ext>
          </c:extLst>
        </c:ser>
        <c:ser>
          <c:idx val="13"/>
          <c:order val="13"/>
          <c:tx>
            <c:strRef>
              <c:f>Sangre!$B$15</c:f>
              <c:strCache>
                <c:ptCount val="1"/>
                <c:pt idx="0">
                  <c:v>Masculino</c:v>
                </c:pt>
              </c:strCache>
            </c:strRef>
          </c:tx>
          <c:spPr>
            <a:solidFill>
              <a:schemeClr val="accent2">
                <a:lumMod val="80000"/>
                <a:lumOff val="2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Sangre!$C$15:$M$15</c:f>
            </c:numRef>
          </c:val>
          <c:extLst>
            <c:ext xmlns:c16="http://schemas.microsoft.com/office/drawing/2014/chart" uri="{C3380CC4-5D6E-409C-BE32-E72D297353CC}">
              <c16:uniqueId val="{0000000D-15AB-44A2-AD84-1EA3B02E4B21}"/>
            </c:ext>
          </c:extLst>
        </c:ser>
        <c:ser>
          <c:idx val="14"/>
          <c:order val="14"/>
          <c:tx>
            <c:strRef>
              <c:f>Sangre!$B$16</c:f>
              <c:strCache>
                <c:ptCount val="1"/>
                <c:pt idx="0">
                  <c:v>Femenino</c:v>
                </c:pt>
              </c:strCache>
            </c:strRef>
          </c:tx>
          <c:spPr>
            <a:solidFill>
              <a:schemeClr val="accent3">
                <a:lumMod val="80000"/>
                <a:lumOff val="2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Sangre!$C$16:$M$16</c:f>
            </c:numRef>
          </c:val>
          <c:extLst>
            <c:ext xmlns:c16="http://schemas.microsoft.com/office/drawing/2014/chart" uri="{C3380CC4-5D6E-409C-BE32-E72D297353CC}">
              <c16:uniqueId val="{0000000E-15AB-44A2-AD84-1EA3B02E4B21}"/>
            </c:ext>
          </c:extLst>
        </c:ser>
        <c:ser>
          <c:idx val="15"/>
          <c:order val="15"/>
          <c:tx>
            <c:strRef>
              <c:f>Sangre!$B$17</c:f>
              <c:strCache>
                <c:ptCount val="1"/>
                <c:pt idx="0">
                  <c:v>Masculino</c:v>
                </c:pt>
              </c:strCache>
            </c:strRef>
          </c:tx>
          <c:spPr>
            <a:solidFill>
              <a:schemeClr val="accent4">
                <a:lumMod val="80000"/>
                <a:lumOff val="2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Sangre!$C$17:$M$17</c:f>
            </c:numRef>
          </c:val>
          <c:extLst>
            <c:ext xmlns:c16="http://schemas.microsoft.com/office/drawing/2014/chart" uri="{C3380CC4-5D6E-409C-BE32-E72D297353CC}">
              <c16:uniqueId val="{0000000F-15AB-44A2-AD84-1EA3B02E4B21}"/>
            </c:ext>
          </c:extLst>
        </c:ser>
        <c:ser>
          <c:idx val="16"/>
          <c:order val="16"/>
          <c:tx>
            <c:strRef>
              <c:f>Sangre!$B$18</c:f>
              <c:strCache>
                <c:ptCount val="1"/>
                <c:pt idx="0">
                  <c:v>Femenino</c:v>
                </c:pt>
              </c:strCache>
            </c:strRef>
          </c:tx>
          <c:spPr>
            <a:solidFill>
              <a:schemeClr val="accent5">
                <a:lumMod val="80000"/>
                <a:lumOff val="2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Sangre!$C$18:$M$18</c:f>
            </c:numRef>
          </c:val>
          <c:extLst>
            <c:ext xmlns:c16="http://schemas.microsoft.com/office/drawing/2014/chart" uri="{C3380CC4-5D6E-409C-BE32-E72D297353CC}">
              <c16:uniqueId val="{00000010-15AB-44A2-AD84-1EA3B02E4B21}"/>
            </c:ext>
          </c:extLst>
        </c:ser>
        <c:ser>
          <c:idx val="17"/>
          <c:order val="17"/>
          <c:tx>
            <c:strRef>
              <c:f>Sangre!$B$19</c:f>
              <c:strCache>
                <c:ptCount val="1"/>
                <c:pt idx="0">
                  <c:v>Masculino</c:v>
                </c:pt>
              </c:strCache>
            </c:strRef>
          </c:tx>
          <c:spPr>
            <a:solidFill>
              <a:schemeClr val="accent6">
                <a:lumMod val="80000"/>
                <a:lumOff val="2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Sangre!$C$19:$M$19</c:f>
            </c:numRef>
          </c:val>
          <c:extLst>
            <c:ext xmlns:c16="http://schemas.microsoft.com/office/drawing/2014/chart" uri="{C3380CC4-5D6E-409C-BE32-E72D297353CC}">
              <c16:uniqueId val="{00000011-15AB-44A2-AD84-1EA3B02E4B21}"/>
            </c:ext>
          </c:extLst>
        </c:ser>
        <c:ser>
          <c:idx val="18"/>
          <c:order val="18"/>
          <c:tx>
            <c:strRef>
              <c:f>Sangre!$B$20</c:f>
              <c:strCache>
                <c:ptCount val="1"/>
                <c:pt idx="0">
                  <c:v>Femenino</c:v>
                </c:pt>
              </c:strCache>
            </c:strRef>
          </c:tx>
          <c:spPr>
            <a:solidFill>
              <a:schemeClr val="accent1">
                <a:lumMod val="8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Sangre!$C$20:$M$20</c:f>
            </c:numRef>
          </c:val>
          <c:extLst>
            <c:ext xmlns:c16="http://schemas.microsoft.com/office/drawing/2014/chart" uri="{C3380CC4-5D6E-409C-BE32-E72D297353CC}">
              <c16:uniqueId val="{00000012-15AB-44A2-AD84-1EA3B02E4B21}"/>
            </c:ext>
          </c:extLst>
        </c:ser>
        <c:ser>
          <c:idx val="19"/>
          <c:order val="19"/>
          <c:tx>
            <c:strRef>
              <c:f>Sangre!$B$21</c:f>
              <c:strCache>
                <c:ptCount val="1"/>
                <c:pt idx="0">
                  <c:v>Masculino</c:v>
                </c:pt>
              </c:strCache>
            </c:strRef>
          </c:tx>
          <c:spPr>
            <a:solidFill>
              <a:schemeClr val="accent2">
                <a:lumMod val="8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Sangre!$C$21:$M$21</c:f>
            </c:numRef>
          </c:val>
          <c:extLst>
            <c:ext xmlns:c16="http://schemas.microsoft.com/office/drawing/2014/chart" uri="{C3380CC4-5D6E-409C-BE32-E72D297353CC}">
              <c16:uniqueId val="{00000013-15AB-44A2-AD84-1EA3B02E4B21}"/>
            </c:ext>
          </c:extLst>
        </c:ser>
        <c:ser>
          <c:idx val="20"/>
          <c:order val="20"/>
          <c:tx>
            <c:strRef>
              <c:f>Sangre!$B$22</c:f>
              <c:strCache>
                <c:ptCount val="1"/>
                <c:pt idx="0">
                  <c:v>Mujeres</c:v>
                </c:pt>
              </c:strCache>
            </c:strRef>
          </c:tx>
          <c:spPr>
            <a:solidFill>
              <a:schemeClr val="accent1">
                <a:lumMod val="60000"/>
                <a:lumOff val="40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Sangre!$C$22:$M$22</c:f>
              <c:numCache>
                <c:formatCode>General</c:formatCode>
                <c:ptCount val="11"/>
                <c:pt idx="0">
                  <c:v>5929</c:v>
                </c:pt>
                <c:pt idx="1">
                  <c:v>9691</c:v>
                </c:pt>
                <c:pt idx="2">
                  <c:v>8188</c:v>
                </c:pt>
                <c:pt idx="3">
                  <c:v>6902</c:v>
                </c:pt>
                <c:pt idx="4">
                  <c:v>6854</c:v>
                </c:pt>
                <c:pt idx="5">
                  <c:v>8762</c:v>
                </c:pt>
                <c:pt idx="6">
                  <c:v>9887</c:v>
                </c:pt>
                <c:pt idx="7">
                  <c:v>8951</c:v>
                </c:pt>
                <c:pt idx="8">
                  <c:v>6717</c:v>
                </c:pt>
                <c:pt idx="9">
                  <c:v>3193</c:v>
                </c:pt>
                <c:pt idx="10">
                  <c:v>261</c:v>
                </c:pt>
              </c:numCache>
            </c:numRef>
          </c:val>
          <c:extLst>
            <c:ext xmlns:c16="http://schemas.microsoft.com/office/drawing/2014/chart" uri="{C3380CC4-5D6E-409C-BE32-E72D297353CC}">
              <c16:uniqueId val="{00000014-15AB-44A2-AD84-1EA3B02E4B21}"/>
            </c:ext>
          </c:extLst>
        </c:ser>
        <c:ser>
          <c:idx val="21"/>
          <c:order val="21"/>
          <c:tx>
            <c:strRef>
              <c:f>Sangre!$B$23</c:f>
              <c:strCache>
                <c:ptCount val="1"/>
                <c:pt idx="0">
                  <c:v>Hombres</c:v>
                </c:pt>
              </c:strCache>
            </c:strRef>
          </c:tx>
          <c:spPr>
            <a:solidFill>
              <a:schemeClr val="accent1">
                <a:lumMod val="75000"/>
              </a:schemeClr>
            </a:solidFill>
            <a:ln>
              <a:noFill/>
            </a:ln>
            <a:effectLst/>
          </c:spPr>
          <c:invertIfNegative val="0"/>
          <c:cat>
            <c:strRef>
              <c:f>Sangre!$C$1:$M$1</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Sangre!$C$23:$M$23</c:f>
              <c:numCache>
                <c:formatCode>General</c:formatCode>
                <c:ptCount val="11"/>
                <c:pt idx="0">
                  <c:v>4412</c:v>
                </c:pt>
                <c:pt idx="1">
                  <c:v>7623</c:v>
                </c:pt>
                <c:pt idx="2">
                  <c:v>6983</c:v>
                </c:pt>
                <c:pt idx="3">
                  <c:v>7439</c:v>
                </c:pt>
                <c:pt idx="4">
                  <c:v>8834</c:v>
                </c:pt>
                <c:pt idx="5">
                  <c:v>11850</c:v>
                </c:pt>
                <c:pt idx="6">
                  <c:v>13455</c:v>
                </c:pt>
                <c:pt idx="7">
                  <c:v>12339</c:v>
                </c:pt>
                <c:pt idx="8">
                  <c:v>9027</c:v>
                </c:pt>
                <c:pt idx="9">
                  <c:v>4526</c:v>
                </c:pt>
                <c:pt idx="10">
                  <c:v>502</c:v>
                </c:pt>
              </c:numCache>
            </c:numRef>
          </c:val>
          <c:extLst>
            <c:ext xmlns:c16="http://schemas.microsoft.com/office/drawing/2014/chart" uri="{C3380CC4-5D6E-409C-BE32-E72D297353CC}">
              <c16:uniqueId val="{00000015-15AB-44A2-AD84-1EA3B02E4B21}"/>
            </c:ext>
          </c:extLst>
        </c:ser>
        <c:dLbls>
          <c:showLegendKey val="0"/>
          <c:showVal val="0"/>
          <c:showCatName val="0"/>
          <c:showSerName val="0"/>
          <c:showPercent val="0"/>
          <c:showBubbleSize val="0"/>
        </c:dLbls>
        <c:gapWidth val="89"/>
        <c:overlap val="45"/>
        <c:axId val="908942168"/>
        <c:axId val="908938248"/>
      </c:barChart>
      <c:catAx>
        <c:axId val="90894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908938248"/>
        <c:crosses val="autoZero"/>
        <c:auto val="1"/>
        <c:lblAlgn val="ctr"/>
        <c:lblOffset val="100"/>
        <c:noMultiLvlLbl val="0"/>
      </c:catAx>
      <c:valAx>
        <c:axId val="908938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90894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panose="00000500000000000000" pitchFamily="2" charset="0"/>
        </a:defRPr>
      </a:pPr>
      <a:endParaRPr lang="es-E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cap="none" spc="0" normalizeH="0" baseline="0">
                <a:solidFill>
                  <a:schemeClr val="tx1">
                    <a:lumMod val="65000"/>
                    <a:lumOff val="35000"/>
                  </a:schemeClr>
                </a:solidFill>
                <a:latin typeface="Montserrat" panose="00000500000000000000" pitchFamily="2" charset="0"/>
                <a:ea typeface="+mj-ea"/>
                <a:cs typeface="+mj-cs"/>
              </a:defRPr>
            </a:pPr>
            <a:r>
              <a:rPr lang="es-ES"/>
              <a:t>Comparativa Dtes x grupo edad (porcentajes)</a:t>
            </a:r>
          </a:p>
          <a:p>
            <a:pPr>
              <a:defRPr/>
            </a:pPr>
            <a:r>
              <a:rPr lang="es-ES"/>
              <a:t>2019-2020</a:t>
            </a:r>
          </a:p>
        </c:rich>
      </c:tx>
      <c:overlay val="0"/>
      <c:spPr>
        <a:noFill/>
        <a:ln>
          <a:noFill/>
        </a:ln>
        <a:effectLst/>
      </c:spPr>
      <c:txPr>
        <a:bodyPr rot="0" spcFirstLastPara="1" vertOverflow="ellipsis" vert="horz" wrap="square" anchor="ctr" anchorCtr="1"/>
        <a:lstStyle/>
        <a:p>
          <a:pPr>
            <a:defRPr sz="1080" b="0" i="0" u="none" strike="noStrike" kern="1200" cap="none" spc="0" normalizeH="0" baseline="0">
              <a:solidFill>
                <a:schemeClr val="tx1">
                  <a:lumMod val="65000"/>
                  <a:lumOff val="35000"/>
                </a:schemeClr>
              </a:solidFill>
              <a:latin typeface="Montserrat" panose="00000500000000000000" pitchFamily="2" charset="0"/>
              <a:ea typeface="+mj-ea"/>
              <a:cs typeface="+mj-cs"/>
            </a:defRPr>
          </a:pPr>
          <a:endParaRPr lang="es-ES"/>
        </a:p>
      </c:txPr>
    </c:title>
    <c:autoTitleDeleted val="0"/>
    <c:plotArea>
      <c:layout>
        <c:manualLayout>
          <c:layoutTarget val="inner"/>
          <c:xMode val="edge"/>
          <c:yMode val="edge"/>
          <c:x val="8.9537433222776408E-2"/>
          <c:y val="0.18539587496723578"/>
          <c:w val="0.8868827168308141"/>
          <c:h val="0.72532851327007242"/>
        </c:manualLayout>
      </c:layout>
      <c:barChart>
        <c:barDir val="col"/>
        <c:grouping val="clustered"/>
        <c:varyColors val="0"/>
        <c:ser>
          <c:idx val="0"/>
          <c:order val="0"/>
          <c:tx>
            <c:strRef>
              <c:f>Sangre!$B$66</c:f>
              <c:strCache>
                <c:ptCount val="1"/>
                <c:pt idx="0">
                  <c:v>2019</c:v>
                </c:pt>
              </c:strCache>
            </c:strRef>
          </c:tx>
          <c:spPr>
            <a:solidFill>
              <a:schemeClr val="accent6">
                <a:lumMod val="60000"/>
                <a:lumOff val="40000"/>
              </a:schemeClr>
            </a:solidFill>
            <a:ln>
              <a:noFill/>
            </a:ln>
            <a:effectLst/>
          </c:spPr>
          <c:invertIfNegative val="0"/>
          <c:cat>
            <c:strRef>
              <c:f>Sangre!$C$65:$M$65</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Sangre!$C$66:$M$66</c:f>
              <c:numCache>
                <c:formatCode>0.00%</c:formatCode>
                <c:ptCount val="11"/>
                <c:pt idx="0">
                  <c:v>7.2002546819768587E-2</c:v>
                </c:pt>
                <c:pt idx="1">
                  <c:v>0.10649987924561442</c:v>
                </c:pt>
                <c:pt idx="2">
                  <c:v>9.1992886468922216E-2</c:v>
                </c:pt>
                <c:pt idx="3">
                  <c:v>8.966013129295014E-2</c:v>
                </c:pt>
                <c:pt idx="4">
                  <c:v>0.10913452038553582</c:v>
                </c:pt>
                <c:pt idx="5">
                  <c:v>0.14092585680725406</c:v>
                </c:pt>
                <c:pt idx="6">
                  <c:v>0.14038246207214525</c:v>
                </c:pt>
                <c:pt idx="7">
                  <c:v>0.11948097569543549</c:v>
                </c:pt>
                <c:pt idx="8">
                  <c:v>8.4220695106154084E-2</c:v>
                </c:pt>
                <c:pt idx="9">
                  <c:v>4.117724548268821E-2</c:v>
                </c:pt>
                <c:pt idx="10">
                  <c:v>4.5228006235317362E-3</c:v>
                </c:pt>
              </c:numCache>
            </c:numRef>
          </c:val>
          <c:extLst>
            <c:ext xmlns:c16="http://schemas.microsoft.com/office/drawing/2014/chart" uri="{C3380CC4-5D6E-409C-BE32-E72D297353CC}">
              <c16:uniqueId val="{00000000-470C-475B-AA8B-0C9CA23C4050}"/>
            </c:ext>
          </c:extLst>
        </c:ser>
        <c:ser>
          <c:idx val="1"/>
          <c:order val="1"/>
          <c:tx>
            <c:strRef>
              <c:f>Sangre!$B$67</c:f>
              <c:strCache>
                <c:ptCount val="1"/>
                <c:pt idx="0">
                  <c:v>2020</c:v>
                </c:pt>
              </c:strCache>
            </c:strRef>
          </c:tx>
          <c:spPr>
            <a:solidFill>
              <a:schemeClr val="accent6">
                <a:lumMod val="75000"/>
              </a:schemeClr>
            </a:solidFill>
            <a:ln>
              <a:noFill/>
            </a:ln>
            <a:effectLst/>
          </c:spPr>
          <c:invertIfNegative val="0"/>
          <c:cat>
            <c:strRef>
              <c:f>Sangre!$C$65:$M$65</c:f>
              <c:strCache>
                <c:ptCount val="11"/>
                <c:pt idx="0">
                  <c:v>18 - 20</c:v>
                </c:pt>
                <c:pt idx="1">
                  <c:v>21 - 25</c:v>
                </c:pt>
                <c:pt idx="2">
                  <c:v>26 - 30</c:v>
                </c:pt>
                <c:pt idx="3">
                  <c:v>31 - 35</c:v>
                </c:pt>
                <c:pt idx="4">
                  <c:v>36 - 40</c:v>
                </c:pt>
                <c:pt idx="5">
                  <c:v>41 - 45</c:v>
                </c:pt>
                <c:pt idx="6">
                  <c:v>46 - 50</c:v>
                </c:pt>
                <c:pt idx="7">
                  <c:v>51 - 55</c:v>
                </c:pt>
                <c:pt idx="8">
                  <c:v>56 - 60</c:v>
                </c:pt>
                <c:pt idx="9">
                  <c:v>61 - 65</c:v>
                </c:pt>
                <c:pt idx="10">
                  <c:v>&gt; 65</c:v>
                </c:pt>
              </c:strCache>
            </c:strRef>
          </c:cat>
          <c:val>
            <c:numRef>
              <c:f>Sangre!$C$67:$M$67</c:f>
              <c:numCache>
                <c:formatCode>0.00%</c:formatCode>
                <c:ptCount val="11"/>
                <c:pt idx="0">
                  <c:v>6.3705529031264432E-2</c:v>
                </c:pt>
                <c:pt idx="1">
                  <c:v>0.10666255967965502</c:v>
                </c:pt>
                <c:pt idx="2">
                  <c:v>9.3460649930694598E-2</c:v>
                </c:pt>
                <c:pt idx="3">
                  <c:v>8.8347451101185887E-2</c:v>
                </c:pt>
                <c:pt idx="4">
                  <c:v>9.6645618358231947E-2</c:v>
                </c:pt>
                <c:pt idx="5">
                  <c:v>0.12697982442630526</c:v>
                </c:pt>
                <c:pt idx="6">
                  <c:v>0.14379793623902665</c:v>
                </c:pt>
                <c:pt idx="7">
                  <c:v>0.13115663021715693</c:v>
                </c:pt>
                <c:pt idx="8">
                  <c:v>9.6990605267210844E-2</c:v>
                </c:pt>
                <c:pt idx="9">
                  <c:v>4.7552749114430928E-2</c:v>
                </c:pt>
                <c:pt idx="10">
                  <c:v>4.7004466348375172E-3</c:v>
                </c:pt>
              </c:numCache>
            </c:numRef>
          </c:val>
          <c:extLst>
            <c:ext xmlns:c16="http://schemas.microsoft.com/office/drawing/2014/chart" uri="{C3380CC4-5D6E-409C-BE32-E72D297353CC}">
              <c16:uniqueId val="{00000001-470C-475B-AA8B-0C9CA23C4050}"/>
            </c:ext>
          </c:extLst>
        </c:ser>
        <c:dLbls>
          <c:showLegendKey val="0"/>
          <c:showVal val="0"/>
          <c:showCatName val="0"/>
          <c:showSerName val="0"/>
          <c:showPercent val="0"/>
          <c:showBubbleSize val="0"/>
        </c:dLbls>
        <c:gapWidth val="199"/>
        <c:axId val="908938640"/>
        <c:axId val="908936288"/>
      </c:barChart>
      <c:catAx>
        <c:axId val="90893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ontserrat" panose="00000500000000000000" pitchFamily="2" charset="0"/>
                <a:ea typeface="+mn-ea"/>
                <a:cs typeface="+mn-cs"/>
              </a:defRPr>
            </a:pPr>
            <a:endParaRPr lang="es-ES"/>
          </a:p>
        </c:txPr>
        <c:crossAx val="908936288"/>
        <c:crosses val="autoZero"/>
        <c:auto val="1"/>
        <c:lblAlgn val="ctr"/>
        <c:lblOffset val="100"/>
        <c:noMultiLvlLbl val="0"/>
      </c:catAx>
      <c:valAx>
        <c:axId val="9089362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crossAx val="908938640"/>
        <c:crosses val="autoZero"/>
        <c:crossBetween val="between"/>
      </c:valAx>
      <c:spPr>
        <a:noFill/>
        <a:ln>
          <a:noFill/>
        </a:ln>
        <a:effectLst/>
      </c:spPr>
    </c:plotArea>
    <c:legend>
      <c:legendPos val="t"/>
      <c:layout>
        <c:manualLayout>
          <c:xMode val="edge"/>
          <c:yMode val="edge"/>
          <c:x val="0.78992109105332897"/>
          <c:y val="0.3513565518568405"/>
          <c:w val="0.14470229806483192"/>
          <c:h val="6.494176682792465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ontserrat" panose="00000500000000000000" pitchFamily="2" charset="0"/>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5">
  <a:schemeClr val="accent2"/>
</cs:colorStyle>
</file>

<file path=word/charts/colors18.xml><?xml version="1.0" encoding="utf-8"?>
<cs:colorStyle xmlns:cs="http://schemas.microsoft.com/office/drawing/2012/chartStyle" xmlns:a="http://schemas.openxmlformats.org/drawingml/2006/main" meth="withinLinear" id="14">
  <a:schemeClr val="accent1"/>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1">
  <a:schemeClr val="accent1"/>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0.17438</cdr:x>
      <cdr:y>0.43498</cdr:y>
    </cdr:from>
    <cdr:to>
      <cdr:x>0.1895</cdr:x>
      <cdr:y>0.49409</cdr:y>
    </cdr:to>
    <cdr:sp macro="" textlink="">
      <cdr:nvSpPr>
        <cdr:cNvPr id="2" name="Flecha abajo 1"/>
        <cdr:cNvSpPr/>
      </cdr:nvSpPr>
      <cdr:spPr>
        <a:xfrm xmlns:a="http://schemas.openxmlformats.org/drawingml/2006/main">
          <a:off x="1098550" y="1471930"/>
          <a:ext cx="95250" cy="200025"/>
        </a:xfrm>
        <a:prstGeom xmlns:a="http://schemas.openxmlformats.org/drawingml/2006/main" prst="downArrow">
          <a:avLst/>
        </a:prstGeom>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sp>
  </cdr:relSizeAnchor>
  <cdr:relSizeAnchor xmlns:cdr="http://schemas.openxmlformats.org/drawingml/2006/chartDrawing">
    <cdr:from>
      <cdr:x>0.59218</cdr:x>
      <cdr:y>0.50066</cdr:y>
    </cdr:from>
    <cdr:to>
      <cdr:x>0.6073</cdr:x>
      <cdr:y>0.55977</cdr:y>
    </cdr:to>
    <cdr:sp macro="" textlink="">
      <cdr:nvSpPr>
        <cdr:cNvPr id="4" name="Flecha abajo 3"/>
        <cdr:cNvSpPr/>
      </cdr:nvSpPr>
      <cdr:spPr>
        <a:xfrm xmlns:a="http://schemas.openxmlformats.org/drawingml/2006/main">
          <a:off x="3730625" y="1694180"/>
          <a:ext cx="95250" cy="200025"/>
        </a:xfrm>
        <a:prstGeom xmlns:a="http://schemas.openxmlformats.org/drawingml/2006/main" prst="downArrow">
          <a:avLst/>
        </a:prstGeom>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sp>
  </cdr:relSizeAnchor>
  <cdr:relSizeAnchor xmlns:cdr="http://schemas.openxmlformats.org/drawingml/2006/chartDrawing">
    <cdr:from>
      <cdr:x>0.4304</cdr:x>
      <cdr:y>0.51192</cdr:y>
    </cdr:from>
    <cdr:to>
      <cdr:x>0.44552</cdr:x>
      <cdr:y>0.57103</cdr:y>
    </cdr:to>
    <cdr:sp macro="" textlink="">
      <cdr:nvSpPr>
        <cdr:cNvPr id="5" name="Flecha abajo 4"/>
        <cdr:cNvSpPr/>
      </cdr:nvSpPr>
      <cdr:spPr>
        <a:xfrm xmlns:a="http://schemas.openxmlformats.org/drawingml/2006/main">
          <a:off x="2711450" y="1732280"/>
          <a:ext cx="95250" cy="200025"/>
        </a:xfrm>
        <a:prstGeom xmlns:a="http://schemas.openxmlformats.org/drawingml/2006/main" prst="downArrow">
          <a:avLst/>
        </a:prstGeom>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sp>
  </cdr:relSizeAnchor>
  <cdr:relSizeAnchor xmlns:cdr="http://schemas.openxmlformats.org/drawingml/2006/chartDrawing">
    <cdr:from>
      <cdr:x>0.74589</cdr:x>
      <cdr:y>0.54006</cdr:y>
    </cdr:from>
    <cdr:to>
      <cdr:x>0.78823</cdr:x>
      <cdr:y>0.57384</cdr:y>
    </cdr:to>
    <cdr:sp macro="" textlink="">
      <cdr:nvSpPr>
        <cdr:cNvPr id="6" name="Flecha izquierda y derecha 5"/>
        <cdr:cNvSpPr/>
      </cdr:nvSpPr>
      <cdr:spPr>
        <a:xfrm xmlns:a="http://schemas.openxmlformats.org/drawingml/2006/main">
          <a:off x="4699000" y="1827530"/>
          <a:ext cx="266700" cy="114300"/>
        </a:xfrm>
        <a:prstGeom xmlns:a="http://schemas.openxmlformats.org/drawingml/2006/main" prst="leftRight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0.25451</cdr:x>
      <cdr:y>0.13473</cdr:y>
    </cdr:from>
    <cdr:to>
      <cdr:x>0.27265</cdr:x>
      <cdr:y>0.18822</cdr:y>
    </cdr:to>
    <cdr:sp macro="" textlink="">
      <cdr:nvSpPr>
        <cdr:cNvPr id="7" name="Flecha arriba 6"/>
        <cdr:cNvSpPr/>
      </cdr:nvSpPr>
      <cdr:spPr>
        <a:xfrm xmlns:a="http://schemas.openxmlformats.org/drawingml/2006/main">
          <a:off x="1603375" y="455930"/>
          <a:ext cx="114300" cy="180975"/>
        </a:xfrm>
        <a:prstGeom xmlns:a="http://schemas.openxmlformats.org/drawingml/2006/main" prst="upArrow">
          <a:avLst/>
        </a:prstGeom>
        <a:solidFill xmlns:a="http://schemas.openxmlformats.org/drawingml/2006/main">
          <a:srgbClr val="00B050"/>
        </a:solidFill>
      </cdr:spPr>
      <cdr:style>
        <a:lnRef xmlns:a="http://schemas.openxmlformats.org/drawingml/2006/main" idx="1">
          <a:schemeClr val="accent3"/>
        </a:lnRef>
        <a:fillRef xmlns:a="http://schemas.openxmlformats.org/drawingml/2006/main" idx="3">
          <a:schemeClr val="accent3"/>
        </a:fillRef>
        <a:effectRef xmlns:a="http://schemas.openxmlformats.org/drawingml/2006/main" idx="2">
          <a:schemeClr val="accent3"/>
        </a:effectRef>
        <a:fontRef xmlns:a="http://schemas.openxmlformats.org/drawingml/2006/main" idx="minor">
          <a:schemeClr val="lt1"/>
        </a:fontRef>
      </cdr:style>
    </cdr:sp>
  </cdr:relSizeAnchor>
  <cdr:relSizeAnchor xmlns:cdr="http://schemas.openxmlformats.org/drawingml/2006/chartDrawing">
    <cdr:from>
      <cdr:x>0.50297</cdr:x>
      <cdr:y>0.38056</cdr:y>
    </cdr:from>
    <cdr:to>
      <cdr:x>0.52112</cdr:x>
      <cdr:y>0.43404</cdr:y>
    </cdr:to>
    <cdr:sp macro="" textlink="">
      <cdr:nvSpPr>
        <cdr:cNvPr id="8" name="Flecha arriba 7"/>
        <cdr:cNvSpPr/>
      </cdr:nvSpPr>
      <cdr:spPr>
        <a:xfrm xmlns:a="http://schemas.openxmlformats.org/drawingml/2006/main">
          <a:off x="3168650" y="1287780"/>
          <a:ext cx="114300" cy="180975"/>
        </a:xfrm>
        <a:prstGeom xmlns:a="http://schemas.openxmlformats.org/drawingml/2006/main" prst="upArrow">
          <a:avLst/>
        </a:prstGeom>
        <a:solidFill xmlns:a="http://schemas.openxmlformats.org/drawingml/2006/main">
          <a:srgbClr val="00B050"/>
        </a:solidFill>
      </cdr:spPr>
      <cdr:style>
        <a:lnRef xmlns:a="http://schemas.openxmlformats.org/drawingml/2006/main" idx="1">
          <a:schemeClr val="accent3"/>
        </a:lnRef>
        <a:fillRef xmlns:a="http://schemas.openxmlformats.org/drawingml/2006/main" idx="3">
          <a:schemeClr val="accent3"/>
        </a:fillRef>
        <a:effectRef xmlns:a="http://schemas.openxmlformats.org/drawingml/2006/main" idx="2">
          <a:schemeClr val="accent3"/>
        </a:effectRef>
        <a:fontRef xmlns:a="http://schemas.openxmlformats.org/drawingml/2006/main" idx="minor">
          <a:schemeClr val="lt1"/>
        </a:fontRef>
      </cdr:style>
    </cdr:sp>
  </cdr:relSizeAnchor>
  <cdr:relSizeAnchor xmlns:cdr="http://schemas.openxmlformats.org/drawingml/2006/chartDrawing">
    <cdr:from>
      <cdr:x>0.3412</cdr:x>
      <cdr:y>0.26797</cdr:y>
    </cdr:from>
    <cdr:to>
      <cdr:x>0.35934</cdr:x>
      <cdr:y>0.32145</cdr:y>
    </cdr:to>
    <cdr:sp macro="" textlink="">
      <cdr:nvSpPr>
        <cdr:cNvPr id="9" name="Flecha arriba 8"/>
        <cdr:cNvSpPr/>
      </cdr:nvSpPr>
      <cdr:spPr>
        <a:xfrm xmlns:a="http://schemas.openxmlformats.org/drawingml/2006/main">
          <a:off x="2149475" y="906780"/>
          <a:ext cx="114300" cy="180975"/>
        </a:xfrm>
        <a:prstGeom xmlns:a="http://schemas.openxmlformats.org/drawingml/2006/main" prst="upArrow">
          <a:avLst/>
        </a:prstGeom>
        <a:solidFill xmlns:a="http://schemas.openxmlformats.org/drawingml/2006/main">
          <a:srgbClr val="00B050"/>
        </a:solidFill>
      </cdr:spPr>
      <cdr:style>
        <a:lnRef xmlns:a="http://schemas.openxmlformats.org/drawingml/2006/main" idx="1">
          <a:schemeClr val="accent3"/>
        </a:lnRef>
        <a:fillRef xmlns:a="http://schemas.openxmlformats.org/drawingml/2006/main" idx="3">
          <a:schemeClr val="accent3"/>
        </a:fillRef>
        <a:effectRef xmlns:a="http://schemas.openxmlformats.org/drawingml/2006/main" idx="2">
          <a:schemeClr val="accent3"/>
        </a:effectRef>
        <a:fontRef xmlns:a="http://schemas.openxmlformats.org/drawingml/2006/main" idx="minor">
          <a:schemeClr val="lt1"/>
        </a:fontRef>
      </cdr:style>
    </cdr:sp>
  </cdr:relSizeAnchor>
  <cdr:relSizeAnchor xmlns:cdr="http://schemas.openxmlformats.org/drawingml/2006/chartDrawing">
    <cdr:from>
      <cdr:x>0.67685</cdr:x>
      <cdr:y>0.51285</cdr:y>
    </cdr:from>
    <cdr:to>
      <cdr:x>0.69499</cdr:x>
      <cdr:y>0.56634</cdr:y>
    </cdr:to>
    <cdr:sp macro="" textlink="">
      <cdr:nvSpPr>
        <cdr:cNvPr id="10" name="Flecha arriba 9"/>
        <cdr:cNvSpPr/>
      </cdr:nvSpPr>
      <cdr:spPr>
        <a:xfrm xmlns:a="http://schemas.openxmlformats.org/drawingml/2006/main">
          <a:off x="4264025" y="1735455"/>
          <a:ext cx="114300" cy="180975"/>
        </a:xfrm>
        <a:prstGeom xmlns:a="http://schemas.openxmlformats.org/drawingml/2006/main" prst="upArrow">
          <a:avLst/>
        </a:prstGeom>
        <a:solidFill xmlns:a="http://schemas.openxmlformats.org/drawingml/2006/main">
          <a:srgbClr val="00B050"/>
        </a:solidFill>
      </cdr:spPr>
      <cdr:style>
        <a:lnRef xmlns:a="http://schemas.openxmlformats.org/drawingml/2006/main" idx="1">
          <a:schemeClr val="accent3"/>
        </a:lnRef>
        <a:fillRef xmlns:a="http://schemas.openxmlformats.org/drawingml/2006/main" idx="3">
          <a:schemeClr val="accent3"/>
        </a:fillRef>
        <a:effectRef xmlns:a="http://schemas.openxmlformats.org/drawingml/2006/main" idx="2">
          <a:schemeClr val="accent3"/>
        </a:effectRef>
        <a:fontRef xmlns:a="http://schemas.openxmlformats.org/drawingml/2006/main" idx="minor">
          <a:schemeClr val="lt1"/>
        </a:fontRef>
      </cdr:style>
    </cdr:sp>
  </cdr:relSizeAnchor>
  <cdr:relSizeAnchor xmlns:cdr="http://schemas.openxmlformats.org/drawingml/2006/chartDrawing">
    <cdr:from>
      <cdr:x>0.83711</cdr:x>
      <cdr:y>0.53256</cdr:y>
    </cdr:from>
    <cdr:to>
      <cdr:x>0.85526</cdr:x>
      <cdr:y>0.58604</cdr:y>
    </cdr:to>
    <cdr:sp macro="" textlink="">
      <cdr:nvSpPr>
        <cdr:cNvPr id="11" name="Flecha arriba 10"/>
        <cdr:cNvSpPr/>
      </cdr:nvSpPr>
      <cdr:spPr>
        <a:xfrm xmlns:a="http://schemas.openxmlformats.org/drawingml/2006/main">
          <a:off x="5273675" y="1802130"/>
          <a:ext cx="114300" cy="180975"/>
        </a:xfrm>
        <a:prstGeom xmlns:a="http://schemas.openxmlformats.org/drawingml/2006/main" prst="upArrow">
          <a:avLst/>
        </a:prstGeom>
        <a:solidFill xmlns:a="http://schemas.openxmlformats.org/drawingml/2006/main">
          <a:srgbClr val="00B050"/>
        </a:solidFill>
      </cdr:spPr>
      <cdr:style>
        <a:lnRef xmlns:a="http://schemas.openxmlformats.org/drawingml/2006/main" idx="1">
          <a:schemeClr val="accent3"/>
        </a:lnRef>
        <a:fillRef xmlns:a="http://schemas.openxmlformats.org/drawingml/2006/main" idx="3">
          <a:schemeClr val="accent3"/>
        </a:fillRef>
        <a:effectRef xmlns:a="http://schemas.openxmlformats.org/drawingml/2006/main" idx="2">
          <a:schemeClr val="accent3"/>
        </a:effectRef>
        <a:fontRef xmlns:a="http://schemas.openxmlformats.org/drawingml/2006/main" idx="minor">
          <a:schemeClr val="lt1"/>
        </a:fontRef>
      </cdr:style>
    </cdr:sp>
  </cdr:relSizeAnchor>
  <cdr:relSizeAnchor xmlns:cdr="http://schemas.openxmlformats.org/drawingml/2006/chartDrawing">
    <cdr:from>
      <cdr:x>0.9238</cdr:x>
      <cdr:y>0.56915</cdr:y>
    </cdr:from>
    <cdr:to>
      <cdr:x>0.93892</cdr:x>
      <cdr:y>0.62826</cdr:y>
    </cdr:to>
    <cdr:sp macro="" textlink="">
      <cdr:nvSpPr>
        <cdr:cNvPr id="12" name="Flecha abajo 11"/>
        <cdr:cNvSpPr/>
      </cdr:nvSpPr>
      <cdr:spPr>
        <a:xfrm xmlns:a="http://schemas.openxmlformats.org/drawingml/2006/main">
          <a:off x="5819775" y="1925955"/>
          <a:ext cx="95250" cy="200025"/>
        </a:xfrm>
        <a:prstGeom xmlns:a="http://schemas.openxmlformats.org/drawingml/2006/main" prst="downArrow">
          <a:avLst/>
        </a:prstGeom>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sp>
  </cdr:relSizeAnchor>
</c:userShapes>
</file>

<file path=word/drawings/drawing2.xml><?xml version="1.0" encoding="utf-8"?>
<c:userShapes xmlns:c="http://schemas.openxmlformats.org/drawingml/2006/chart">
  <cdr:relSizeAnchor xmlns:cdr="http://schemas.openxmlformats.org/drawingml/2006/chartDrawing">
    <cdr:from>
      <cdr:x>0.81103</cdr:x>
      <cdr:y>0.19629</cdr:y>
    </cdr:from>
    <cdr:to>
      <cdr:x>0.93738</cdr:x>
      <cdr:y>0.75245</cdr:y>
    </cdr:to>
    <cdr:grpSp>
      <cdr:nvGrpSpPr>
        <cdr:cNvPr id="5" name="Grupo 4"/>
        <cdr:cNvGrpSpPr/>
      </cdr:nvGrpSpPr>
      <cdr:grpSpPr>
        <a:xfrm xmlns:a="http://schemas.openxmlformats.org/drawingml/2006/main">
          <a:off x="4087584" y="587828"/>
          <a:ext cx="636816" cy="1665515"/>
          <a:chOff x="4087584" y="587828"/>
          <a:chExt cx="636816" cy="1665515"/>
        </a:xfrm>
      </cdr:grpSpPr>
      <cdr:cxnSp macro="">
        <cdr:nvCxnSpPr>
          <cdr:cNvPr id="4" name="Conector angular 3"/>
          <cdr:cNvCxnSpPr/>
        </cdr:nvCxnSpPr>
        <cdr:spPr>
          <a:xfrm xmlns:a="http://schemas.openxmlformats.org/drawingml/2006/main" rot="16200000" flipH="1">
            <a:off x="3548741" y="1126671"/>
            <a:ext cx="1665515" cy="587830"/>
          </a:xfrm>
          <a:prstGeom xmlns:a="http://schemas.openxmlformats.org/drawingml/2006/main" prst="bentConnector3">
            <a:avLst/>
          </a:prstGeom>
        </cdr:spPr>
        <cdr:style>
          <a:lnRef xmlns:a="http://schemas.openxmlformats.org/drawingml/2006/main" idx="3">
            <a:schemeClr val="accent6"/>
          </a:lnRef>
          <a:fillRef xmlns:a="http://schemas.openxmlformats.org/drawingml/2006/main" idx="0">
            <a:schemeClr val="accent6"/>
          </a:fillRef>
          <a:effectRef xmlns:a="http://schemas.openxmlformats.org/drawingml/2006/main" idx="2">
            <a:schemeClr val="accent6"/>
          </a:effectRef>
          <a:fontRef xmlns:a="http://schemas.openxmlformats.org/drawingml/2006/main" idx="minor">
            <a:schemeClr val="tx1"/>
          </a:fontRef>
        </cdr:style>
      </cdr:cxnSp>
      <cdr:sp macro="" textlink="">
        <cdr:nvSpPr>
          <cdr:cNvPr id="2" name="Cuadro de texto 1"/>
          <cdr:cNvSpPr txBox="1"/>
        </cdr:nvSpPr>
        <cdr:spPr>
          <a:xfrm xmlns:a="http://schemas.openxmlformats.org/drawingml/2006/main">
            <a:off x="4267200" y="1262743"/>
            <a:ext cx="457200" cy="244928"/>
          </a:xfrm>
          <a:prstGeom xmlns:a="http://schemas.openxmlformats.org/drawingml/2006/main" prst="rect">
            <a:avLst/>
          </a:prstGeom>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vertOverflow="clip" wrap="square" rtlCol="0"/>
          <a:lstStyle xmlns:a="http://schemas.openxmlformats.org/drawingml/2006/main"/>
          <a:p xmlns:a="http://schemas.openxmlformats.org/drawingml/2006/main">
            <a:r>
              <a:rPr lang="es-ES" sz="800"/>
              <a:t>-91%</a:t>
            </a:r>
          </a:p>
        </cdr:txBody>
      </cdr:sp>
    </cdr:grpSp>
  </cdr:relSizeAnchor>
</c:userShapes>
</file>

<file path=word/drawings/drawing3.xml><?xml version="1.0" encoding="utf-8"?>
<c:userShapes xmlns:c="http://schemas.openxmlformats.org/drawingml/2006/chart">
  <cdr:relSizeAnchor xmlns:cdr="http://schemas.openxmlformats.org/drawingml/2006/chartDrawing">
    <cdr:from>
      <cdr:x>0.11551</cdr:x>
      <cdr:y>0.10292</cdr:y>
    </cdr:from>
    <cdr:to>
      <cdr:x>0.25954</cdr:x>
      <cdr:y>0.38837</cdr:y>
    </cdr:to>
    <cdr:grpSp>
      <cdr:nvGrpSpPr>
        <cdr:cNvPr id="2" name="Grupo 1"/>
        <cdr:cNvGrpSpPr/>
      </cdr:nvGrpSpPr>
      <cdr:grpSpPr>
        <a:xfrm xmlns:a="http://schemas.openxmlformats.org/drawingml/2006/main">
          <a:off x="570793" y="295394"/>
          <a:ext cx="711742" cy="819308"/>
          <a:chOff x="-1915646" y="-1495549"/>
          <a:chExt cx="721273" cy="834085"/>
        </a:xfrm>
      </cdr:grpSpPr>
      <cdr:cxnSp macro="">
        <cdr:nvCxnSpPr>
          <cdr:cNvPr id="3" name="Conector recto de flecha 2"/>
          <cdr:cNvCxnSpPr/>
        </cdr:nvCxnSpPr>
        <cdr:spPr>
          <a:xfrm xmlns:a="http://schemas.openxmlformats.org/drawingml/2006/main" flipH="1">
            <a:off x="-1621694" y="-1450748"/>
            <a:ext cx="5446" cy="789284"/>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4" name="Cuadro de texto 5"/>
          <cdr:cNvSpPr txBox="1"/>
        </cdr:nvSpPr>
        <cdr:spPr>
          <a:xfrm xmlns:a="http://schemas.openxmlformats.org/drawingml/2006/main">
            <a:off x="-1915646" y="-1495549"/>
            <a:ext cx="721273" cy="497186"/>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s-ES"/>
              <a:t>Action Grant</a:t>
            </a:r>
          </a:p>
        </cdr:txBody>
      </cdr:sp>
    </cdr:grpSp>
  </cdr:relSizeAnchor>
</c:userShapes>
</file>

<file path=word/theme/theme1.xml><?xml version="1.0" encoding="utf-8"?>
<a:theme xmlns:a="http://schemas.openxmlformats.org/drawingml/2006/main" name="Tema de Office">
  <a:themeElements>
    <a:clrScheme name="Personalizado 1">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4472C4"/>
      </a:accent5>
      <a:accent6>
        <a:srgbClr val="70AD47"/>
      </a:accent6>
      <a:hlink>
        <a:srgbClr val="0563C1"/>
      </a:hlink>
      <a:folHlink>
        <a:srgbClr val="954F72"/>
      </a:folHlink>
    </a:clrScheme>
    <a:fontScheme name="Personalizado 1">
      <a:majorFont>
        <a:latin typeface="Montserrat"/>
        <a:ea typeface=""/>
        <a:cs typeface=""/>
      </a:majorFont>
      <a:minorFont>
        <a:latin typeface="Montserra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29B20B-6EDD-4AA2-BAC8-45AD9DE8D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401</TotalTime>
  <Pages>137</Pages>
  <Words>22731</Words>
  <Characters>125025</Characters>
  <Application>Microsoft Office Word</Application>
  <DocSecurity>0</DocSecurity>
  <Lines>1041</Lines>
  <Paragraphs>294</Paragraphs>
  <ScaleCrop>false</ScaleCrop>
  <HeadingPairs>
    <vt:vector size="2" baseType="variant">
      <vt:variant>
        <vt:lpstr>Título</vt:lpstr>
      </vt:variant>
      <vt:variant>
        <vt:i4>1</vt:i4>
      </vt:variant>
    </vt:vector>
  </HeadingPairs>
  <TitlesOfParts>
    <vt:vector size="1" baseType="lpstr">
      <vt:lpstr/>
    </vt:vector>
  </TitlesOfParts>
  <Company>Comunidad de Madrid</Company>
  <LinksUpToDate>false</LinksUpToDate>
  <CharactersWithSpaces>147462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Barea Garcia.Luisa Maria</dc:creator>
  <cp:keywords/>
  <dc:description/>
  <cp:lastModifiedBy>Servicio Madrileño de Salud</cp:lastModifiedBy>
  <cp:revision>20</cp:revision>
  <dcterms:created xsi:type="dcterms:W3CDTF">2021-12-14T09:15:00Z</dcterms:created>
  <dcterms:modified xsi:type="dcterms:W3CDTF">2021-12-16T21:11:00Z</dcterms:modified>
</cp:coreProperties>
</file>