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A91" w:rsidRDefault="00B24A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B76A9B" w:rsidTr="008F387B">
        <w:tc>
          <w:tcPr>
            <w:tcW w:w="8644" w:type="dxa"/>
            <w:shd w:val="clear" w:color="auto" w:fill="7F7F7F"/>
          </w:tcPr>
          <w:p w:rsidR="00B24A91" w:rsidRDefault="00B24A91" w:rsidP="00905DEE">
            <w:pPr>
              <w:jc w:val="center"/>
            </w:pPr>
          </w:p>
          <w:p w:rsidR="00B76A9B" w:rsidRDefault="00B24A91" w:rsidP="00905DEE">
            <w:pPr>
              <w:jc w:val="center"/>
            </w:pPr>
            <w:r>
              <w:t xml:space="preserve">CONSEJERÍA </w:t>
            </w:r>
            <w:r w:rsidR="005E5A16">
              <w:t xml:space="preserve">DE </w:t>
            </w:r>
            <w:r>
              <w:t>EDUCACIÓN JUVENTUD Y DEPORTE</w:t>
            </w:r>
          </w:p>
          <w:p w:rsidR="00B24A91" w:rsidRDefault="00B24A91" w:rsidP="00905DEE">
            <w:pPr>
              <w:jc w:val="center"/>
            </w:pPr>
          </w:p>
        </w:tc>
      </w:tr>
      <w:tr w:rsidR="00B76A9B" w:rsidTr="008F387B">
        <w:tc>
          <w:tcPr>
            <w:tcW w:w="8644" w:type="dxa"/>
            <w:shd w:val="clear" w:color="auto" w:fill="D0CECE"/>
          </w:tcPr>
          <w:p w:rsidR="00B24A91" w:rsidRDefault="00B24A91" w:rsidP="002E209C">
            <w:pPr>
              <w:jc w:val="center"/>
            </w:pPr>
          </w:p>
          <w:p w:rsidR="00B76A9B" w:rsidRDefault="00B24A91" w:rsidP="002E209C">
            <w:pPr>
              <w:jc w:val="center"/>
            </w:pPr>
            <w:r>
              <w:t>DIRECCIÓN GENERAL DE UNIVERSIDADES E INVESTIGACIÓN</w:t>
            </w:r>
          </w:p>
          <w:p w:rsidR="00B24A91" w:rsidRDefault="00B24A91" w:rsidP="002E209C">
            <w:pPr>
              <w:jc w:val="center"/>
            </w:pPr>
          </w:p>
        </w:tc>
      </w:tr>
      <w:tr w:rsidR="00B76A9B" w:rsidTr="008F387B">
        <w:tc>
          <w:tcPr>
            <w:tcW w:w="8644" w:type="dxa"/>
            <w:shd w:val="clear" w:color="auto" w:fill="F2F2F2"/>
          </w:tcPr>
          <w:p w:rsidR="00B24A91" w:rsidRDefault="00B24A91" w:rsidP="002E209C">
            <w:pPr>
              <w:jc w:val="center"/>
            </w:pPr>
          </w:p>
          <w:p w:rsidR="00B76A9B" w:rsidRDefault="00B76A9B" w:rsidP="002E209C">
            <w:pPr>
              <w:jc w:val="center"/>
            </w:pPr>
            <w:r>
              <w:t>Consulta pública del anteproyecto/proyecto</w:t>
            </w:r>
          </w:p>
          <w:p w:rsidR="00B24A91" w:rsidRDefault="00B24A91" w:rsidP="002E209C">
            <w:pPr>
              <w:jc w:val="center"/>
            </w:pPr>
          </w:p>
        </w:tc>
      </w:tr>
      <w:tr w:rsidR="00B76A9B" w:rsidTr="00905DEE">
        <w:tc>
          <w:tcPr>
            <w:tcW w:w="8644" w:type="dxa"/>
            <w:shd w:val="clear" w:color="auto" w:fill="auto"/>
          </w:tcPr>
          <w:p w:rsidR="00B76A9B" w:rsidRDefault="00B76A9B" w:rsidP="00905DEE">
            <w:pPr>
              <w:jc w:val="both"/>
            </w:pPr>
          </w:p>
          <w:p w:rsidR="00B76A9B" w:rsidRDefault="002E209C" w:rsidP="00905DEE">
            <w:pPr>
              <w:jc w:val="both"/>
            </w:pPr>
            <w:r w:rsidRPr="002E209C">
              <w:rPr>
                <w:rFonts w:ascii="Calibri" w:eastAsia="Times New Roman" w:hAnsi="Calibri" w:cs="Calibri"/>
                <w:b/>
                <w:szCs w:val="24"/>
                <w:lang w:eastAsia="es-ES"/>
              </w:rPr>
              <w:t xml:space="preserve">Anteproyecto </w:t>
            </w:r>
            <w:r>
              <w:rPr>
                <w:rFonts w:ascii="Calibri" w:eastAsia="Times New Roman" w:hAnsi="Calibri" w:cs="Calibri"/>
                <w:b/>
                <w:szCs w:val="24"/>
                <w:lang w:eastAsia="es-ES"/>
              </w:rPr>
              <w:t>d</w:t>
            </w:r>
            <w:r w:rsidRPr="002E209C">
              <w:rPr>
                <w:rFonts w:ascii="Calibri" w:eastAsia="Times New Roman" w:hAnsi="Calibri" w:cs="Calibri"/>
                <w:b/>
                <w:szCs w:val="24"/>
                <w:lang w:eastAsia="es-ES"/>
              </w:rPr>
              <w:t xml:space="preserve">e Ley </w:t>
            </w:r>
            <w:r>
              <w:rPr>
                <w:rFonts w:ascii="Calibri" w:eastAsia="Times New Roman" w:hAnsi="Calibri" w:cs="Calibri"/>
                <w:b/>
                <w:szCs w:val="24"/>
                <w:lang w:eastAsia="es-ES"/>
              </w:rPr>
              <w:t>d</w:t>
            </w:r>
            <w:r w:rsidRPr="002E209C">
              <w:rPr>
                <w:rFonts w:ascii="Calibri" w:eastAsia="Times New Roman" w:hAnsi="Calibri" w:cs="Calibri"/>
                <w:b/>
                <w:szCs w:val="24"/>
                <w:lang w:eastAsia="es-ES"/>
              </w:rPr>
              <w:t xml:space="preserve">el Espacio Madrileño </w:t>
            </w:r>
            <w:r>
              <w:rPr>
                <w:rFonts w:ascii="Calibri" w:eastAsia="Times New Roman" w:hAnsi="Calibri" w:cs="Calibri"/>
                <w:b/>
                <w:szCs w:val="24"/>
                <w:lang w:eastAsia="es-ES"/>
              </w:rPr>
              <w:t>d</w:t>
            </w:r>
            <w:r w:rsidRPr="002E209C">
              <w:rPr>
                <w:rFonts w:ascii="Calibri" w:eastAsia="Times New Roman" w:hAnsi="Calibri" w:cs="Calibri"/>
                <w:b/>
                <w:szCs w:val="24"/>
                <w:lang w:eastAsia="es-ES"/>
              </w:rPr>
              <w:t xml:space="preserve">e </w:t>
            </w:r>
            <w:r w:rsidR="005E5A16">
              <w:rPr>
                <w:rFonts w:ascii="Calibri" w:eastAsia="Times New Roman" w:hAnsi="Calibri" w:cs="Calibri"/>
                <w:b/>
                <w:szCs w:val="24"/>
                <w:lang w:eastAsia="es-ES"/>
              </w:rPr>
              <w:t>Educación</w:t>
            </w:r>
            <w:r w:rsidRPr="002E209C">
              <w:rPr>
                <w:rFonts w:ascii="Calibri" w:eastAsia="Times New Roman" w:hAnsi="Calibri" w:cs="Calibri"/>
                <w:b/>
                <w:szCs w:val="24"/>
                <w:lang w:eastAsia="es-ES"/>
              </w:rPr>
              <w:t xml:space="preserve"> Superior</w:t>
            </w:r>
          </w:p>
          <w:p w:rsidR="00B76A9B" w:rsidRDefault="00B76A9B" w:rsidP="00905DEE">
            <w:pPr>
              <w:jc w:val="both"/>
            </w:pPr>
          </w:p>
        </w:tc>
      </w:tr>
      <w:tr w:rsidR="00B76A9B" w:rsidTr="002A7C1C">
        <w:trPr>
          <w:trHeight w:val="427"/>
        </w:trPr>
        <w:tc>
          <w:tcPr>
            <w:tcW w:w="8644" w:type="dxa"/>
            <w:shd w:val="clear" w:color="auto" w:fill="F2F2F2"/>
          </w:tcPr>
          <w:p w:rsidR="00B76A9B" w:rsidRDefault="00B76A9B" w:rsidP="00905DEE">
            <w:pPr>
              <w:jc w:val="both"/>
            </w:pPr>
            <w:r>
              <w:t>Problemas que se pretenden solucionar</w:t>
            </w:r>
          </w:p>
        </w:tc>
      </w:tr>
      <w:tr w:rsidR="00B76A9B" w:rsidTr="00905DEE">
        <w:tc>
          <w:tcPr>
            <w:tcW w:w="8644" w:type="dxa"/>
            <w:shd w:val="clear" w:color="auto" w:fill="auto"/>
          </w:tcPr>
          <w:p w:rsidR="005E5A16" w:rsidRDefault="005E5A16" w:rsidP="005E5A16">
            <w:pPr>
              <w:spacing w:afterLines="200" w:after="480"/>
              <w:ind w:firstLine="708"/>
              <w:jc w:val="both"/>
              <w:rPr>
                <w:rFonts w:ascii="Calibri" w:eastAsia="Times New Roman" w:hAnsi="Calibri" w:cs="Calibri"/>
                <w:szCs w:val="24"/>
                <w:lang w:eastAsia="es-ES"/>
              </w:rPr>
            </w:pPr>
          </w:p>
          <w:p w:rsidR="002E209C" w:rsidRPr="002E209C" w:rsidRDefault="002E209C" w:rsidP="005E5A16">
            <w:pPr>
              <w:spacing w:afterLines="200" w:after="480"/>
              <w:ind w:firstLine="708"/>
              <w:jc w:val="both"/>
              <w:rPr>
                <w:rFonts w:ascii="Calibri" w:hAnsi="Calibri" w:cs="Calibri"/>
                <w:szCs w:val="24"/>
              </w:rPr>
            </w:pPr>
            <w:r w:rsidRPr="002E209C">
              <w:rPr>
                <w:rFonts w:ascii="Calibri" w:eastAsia="Times New Roman" w:hAnsi="Calibri" w:cs="Calibri"/>
                <w:szCs w:val="24"/>
                <w:lang w:eastAsia="es-ES"/>
              </w:rPr>
              <w:t xml:space="preserve">Las Universidades de Madrid, al igual que el resto de </w:t>
            </w:r>
            <w:r w:rsidRPr="002E209C">
              <w:rPr>
                <w:rFonts w:ascii="Calibri" w:hAnsi="Calibri" w:cs="Calibri"/>
                <w:szCs w:val="24"/>
              </w:rPr>
              <w:t>universidades españolas, están inmersas en un proceso intenso y acelerado de transformación desde su concepción originaria para aproximarse a los sistemas universitarios más destacados. El objetivo último de la presente norma es apoyar y facilitar esa transformación.</w:t>
            </w:r>
          </w:p>
          <w:p w:rsidR="00B76A9B" w:rsidRPr="005E5A16" w:rsidRDefault="002E209C" w:rsidP="005E5A16">
            <w:pPr>
              <w:spacing w:afterLines="200" w:after="480"/>
              <w:ind w:firstLine="708"/>
              <w:jc w:val="both"/>
              <w:rPr>
                <w:rFonts w:ascii="Calibri" w:eastAsia="Times New Roman" w:hAnsi="Calibri" w:cs="Calibri"/>
                <w:szCs w:val="24"/>
                <w:lang w:eastAsia="es-ES"/>
              </w:rPr>
            </w:pPr>
            <w:r w:rsidRPr="002E209C">
              <w:rPr>
                <w:rFonts w:ascii="Calibri" w:hAnsi="Calibri" w:cs="Calibri"/>
                <w:szCs w:val="24"/>
              </w:rPr>
              <w:t>Mediante la nueva norma se pretende, además, acometer la modernización del Espacio Madrileño de Educación Superior introduciendo buenas prácticas internacionales y cambios que ayuden a la mejora del sistema en sus principales objetivos: la transmisión del conocimiento a la sociedad, la docencia innovadora y la investigación.</w:t>
            </w:r>
          </w:p>
        </w:tc>
      </w:tr>
      <w:tr w:rsidR="00B76A9B" w:rsidTr="008F387B">
        <w:tc>
          <w:tcPr>
            <w:tcW w:w="8644" w:type="dxa"/>
            <w:shd w:val="clear" w:color="auto" w:fill="F2F2F2"/>
          </w:tcPr>
          <w:p w:rsidR="00B76A9B" w:rsidRDefault="00B76A9B" w:rsidP="005E5A16">
            <w:pPr>
              <w:spacing w:afterLines="200" w:after="480"/>
              <w:jc w:val="both"/>
            </w:pPr>
            <w:r>
              <w:t>Necesidad y oportunidad de la norma</w:t>
            </w:r>
          </w:p>
        </w:tc>
      </w:tr>
      <w:tr w:rsidR="00B76A9B" w:rsidTr="002A7C1C">
        <w:trPr>
          <w:trHeight w:val="1100"/>
        </w:trPr>
        <w:tc>
          <w:tcPr>
            <w:tcW w:w="8644" w:type="dxa"/>
            <w:shd w:val="clear" w:color="auto" w:fill="auto"/>
          </w:tcPr>
          <w:p w:rsidR="005E5A16" w:rsidRDefault="005E5A16" w:rsidP="005E5A16">
            <w:pPr>
              <w:pStyle w:val="a"/>
              <w:spacing w:before="0" w:beforeAutospacing="0" w:afterLines="200" w:after="480" w:afterAutospacing="0"/>
              <w:ind w:firstLine="708"/>
              <w:jc w:val="both"/>
              <w:rPr>
                <w:rFonts w:ascii="Calibri" w:hAnsi="Calibri" w:cs="Calibri"/>
              </w:rPr>
            </w:pPr>
          </w:p>
          <w:p w:rsidR="002E209C" w:rsidRDefault="002E209C" w:rsidP="005E5A16">
            <w:pPr>
              <w:pStyle w:val="a"/>
              <w:spacing w:before="0" w:beforeAutospacing="0" w:afterLines="200" w:after="480" w:afterAutospacing="0"/>
              <w:ind w:firstLine="708"/>
              <w:jc w:val="both"/>
              <w:rPr>
                <w:rFonts w:ascii="Calibri" w:hAnsi="Calibri" w:cs="Calibri"/>
              </w:rPr>
            </w:pPr>
            <w:r w:rsidRPr="002E209C">
              <w:rPr>
                <w:rFonts w:ascii="Calibri" w:hAnsi="Calibri" w:cs="Calibri"/>
              </w:rPr>
              <w:t>La Ley Orgánica 3/1983, de 25 de febrero, de Estatut</w:t>
            </w:r>
            <w:r w:rsidR="005E5A16">
              <w:rPr>
                <w:rFonts w:ascii="Calibri" w:hAnsi="Calibri" w:cs="Calibri"/>
              </w:rPr>
              <w:t>o de Autonomía de la Comunidad d</w:t>
            </w:r>
            <w:r w:rsidRPr="002E209C">
              <w:rPr>
                <w:rFonts w:ascii="Calibri" w:hAnsi="Calibri" w:cs="Calibri"/>
              </w:rPr>
              <w:t xml:space="preserve">e Madrid, en su artículo </w:t>
            </w:r>
            <w:r w:rsidRPr="002E209C">
              <w:rPr>
                <w:rFonts w:ascii="Calibri" w:hAnsi="Calibri" w:cs="Calibri"/>
                <w:iCs/>
              </w:rPr>
              <w:t xml:space="preserve"> 29</w:t>
            </w:r>
            <w:r w:rsidRPr="002E209C">
              <w:rPr>
                <w:rFonts w:ascii="Calibri" w:hAnsi="Calibri" w:cs="Calibri"/>
              </w:rPr>
              <w:t>.</w:t>
            </w:r>
            <w:r w:rsidRPr="002E209C">
              <w:rPr>
                <w:rFonts w:ascii="Calibri" w:hAnsi="Calibri" w:cs="Calibri"/>
                <w:bCs/>
              </w:rPr>
              <w:t>1 establece que</w:t>
            </w:r>
            <w:r w:rsidRPr="002E209C">
              <w:rPr>
                <w:rFonts w:ascii="Calibri" w:hAnsi="Calibri" w:cs="Calibri"/>
                <w:b/>
                <w:bCs/>
              </w:rPr>
              <w:t xml:space="preserve"> “</w:t>
            </w:r>
            <w:r w:rsidRPr="002E209C">
              <w:rPr>
                <w:rFonts w:ascii="Calibri" w:hAnsi="Calibri" w:cs="Calibri"/>
              </w:rPr>
              <w:t xml:space="preserve">Corresponde a la Comunidad Autónoma la competencia de desarrollo legislativo y ejecución de la </w:t>
            </w:r>
            <w:r w:rsidR="005E5A16">
              <w:rPr>
                <w:rFonts w:ascii="Calibri" w:hAnsi="Calibri" w:cs="Calibri"/>
              </w:rPr>
              <w:t>Enseñanza</w:t>
            </w:r>
            <w:r w:rsidRPr="002E209C">
              <w:rPr>
                <w:rFonts w:ascii="Calibri" w:hAnsi="Calibri" w:cs="Calibri"/>
              </w:rPr>
              <w:t xml:space="preserve"> en toda su extensión, niveles y grados, modalidades y especialidades, de acuerdo con lo dispuesto en el </w:t>
            </w:r>
            <w:hyperlink r:id="rId7" w:anchor="I186" w:history="1">
              <w:r w:rsidRPr="0081591E">
                <w:rPr>
                  <w:rStyle w:val="Hipervnculo"/>
                  <w:rFonts w:ascii="Calibri" w:hAnsi="Calibri" w:cs="Calibri"/>
                  <w:color w:val="auto"/>
                  <w:u w:val="none"/>
                </w:rPr>
                <w:t>artículo 27 de la Constitución</w:t>
              </w:r>
            </w:hyperlink>
            <w:r w:rsidRPr="002E209C">
              <w:rPr>
                <w:rFonts w:ascii="Calibri" w:hAnsi="Calibri" w:cs="Calibri"/>
              </w:rPr>
              <w:t xml:space="preserve"> y leyes orgánicas que conforme al apartado 1 del artículo 81 de la misma lo desarrollen, y sin perjuicio de las facultades que atribuye al Estado el número 30 del apartado 1 del artículo 149 y de la Alta Inspección para su cumplimiento y garantía”.</w:t>
            </w:r>
          </w:p>
          <w:p w:rsidR="005E5A16" w:rsidRDefault="002E209C" w:rsidP="005E5A16">
            <w:pPr>
              <w:pStyle w:val="a"/>
              <w:spacing w:before="0" w:beforeAutospacing="0" w:afterLines="200" w:after="480" w:afterAutospacing="0"/>
              <w:ind w:firstLine="708"/>
              <w:jc w:val="both"/>
              <w:rPr>
                <w:rFonts w:ascii="Calibri" w:hAnsi="Calibri" w:cs="Calibri"/>
              </w:rPr>
            </w:pPr>
            <w:r w:rsidRPr="002E209C">
              <w:rPr>
                <w:rFonts w:ascii="Calibri" w:hAnsi="Calibri" w:cs="Calibri"/>
              </w:rPr>
              <w:lastRenderedPageBreak/>
              <w:t xml:space="preserve"> La normativa básica del estado en materia Universitaria está fijada actualmente, de modo principal, en la Ley Orgánica 6/2001, de 21 de </w:t>
            </w:r>
            <w:r w:rsidR="005E5A16">
              <w:rPr>
                <w:rFonts w:ascii="Calibri" w:hAnsi="Calibri" w:cs="Calibri"/>
              </w:rPr>
              <w:t>diciembre</w:t>
            </w:r>
            <w:r w:rsidRPr="002E209C">
              <w:rPr>
                <w:rFonts w:ascii="Calibri" w:hAnsi="Calibri" w:cs="Calibri"/>
              </w:rPr>
              <w:t>, de Universidades (LOU).</w:t>
            </w:r>
          </w:p>
          <w:p w:rsidR="002E209C" w:rsidRPr="002E209C" w:rsidRDefault="002E209C" w:rsidP="005E5A16">
            <w:pPr>
              <w:pStyle w:val="a"/>
              <w:spacing w:before="0" w:beforeAutospacing="0" w:afterLines="200" w:after="480" w:afterAutospacing="0"/>
              <w:ind w:firstLine="708"/>
              <w:jc w:val="both"/>
              <w:rPr>
                <w:rFonts w:ascii="Calibri" w:hAnsi="Calibri" w:cs="Calibri"/>
              </w:rPr>
            </w:pPr>
            <w:r w:rsidRPr="002E209C">
              <w:rPr>
                <w:rFonts w:ascii="Calibri" w:hAnsi="Calibri" w:cs="Calibri"/>
              </w:rPr>
              <w:t xml:space="preserve">La Comunidad de Madrid, a diferencia de otras Comunidades Autónomas con sistemas universitarios de similar dimensión, no cuenta con una norma de rango legal que regule e impulse el modelo de </w:t>
            </w:r>
            <w:r w:rsidR="005E5A16">
              <w:rPr>
                <w:rFonts w:ascii="Calibri" w:hAnsi="Calibri" w:cs="Calibri"/>
              </w:rPr>
              <w:t>educación</w:t>
            </w:r>
            <w:r w:rsidRPr="002E209C">
              <w:rPr>
                <w:rFonts w:ascii="Calibri" w:hAnsi="Calibri" w:cs="Calibri"/>
              </w:rPr>
              <w:t xml:space="preserve"> superior.</w:t>
            </w:r>
          </w:p>
          <w:p w:rsidR="002E209C" w:rsidRPr="002E209C" w:rsidRDefault="002E209C" w:rsidP="005E5A16">
            <w:pPr>
              <w:spacing w:afterLines="200" w:after="480"/>
              <w:ind w:firstLine="708"/>
              <w:jc w:val="both"/>
              <w:rPr>
                <w:rFonts w:ascii="Calibri" w:eastAsia="Times New Roman" w:hAnsi="Calibri" w:cs="Calibri"/>
                <w:szCs w:val="24"/>
                <w:lang w:eastAsia="es-ES"/>
              </w:rPr>
            </w:pPr>
            <w:r w:rsidRPr="002E209C">
              <w:rPr>
                <w:rFonts w:ascii="Calibri" w:eastAsia="Times New Roman" w:hAnsi="Calibri" w:cs="Calibri"/>
                <w:szCs w:val="24"/>
                <w:lang w:eastAsia="es-ES"/>
              </w:rPr>
              <w:t>Las distintas leyes vigentes en materia universitaria de la Comunidad de Madrid (</w:t>
            </w:r>
            <w:r w:rsidRPr="002E209C">
              <w:rPr>
                <w:rFonts w:ascii="Calibri" w:hAnsi="Calibri" w:cs="Calibri"/>
                <w:szCs w:val="24"/>
              </w:rPr>
              <w:t>Ley 4/1998, de 8 de abril, de Coordinación Universitaria de la Comunidad de Madrid, Ley 12/2002, de 18 de diciembre, de los Consejos Sociales de las Universidades Públicas de la Comunidad de Madrid) dejan sin regular importantes aspectos d</w:t>
            </w:r>
            <w:r w:rsidRPr="002E209C">
              <w:rPr>
                <w:rFonts w:ascii="Calibri" w:eastAsia="Times New Roman" w:hAnsi="Calibri" w:cs="Calibri"/>
                <w:szCs w:val="24"/>
                <w:lang w:eastAsia="es-ES"/>
              </w:rPr>
              <w:t>e la educación superior, sin que se encuentren además adaptadas a las numerosas e importantes modificaciones que ha sufrido la LOU en los últimos años (principalmente Ley Orgánica 4/2007, de 12 de abril, (BOE 13/04/2007) y el Real Decreto Ley 14/2012, de 20 de abril, (BOE 21/04/2012)) .</w:t>
            </w:r>
          </w:p>
          <w:p w:rsidR="002E209C" w:rsidRPr="002E209C" w:rsidRDefault="002E209C" w:rsidP="005E5A16">
            <w:pPr>
              <w:spacing w:afterLines="200" w:after="480"/>
              <w:ind w:firstLine="708"/>
              <w:jc w:val="both"/>
              <w:rPr>
                <w:rFonts w:ascii="Calibri" w:eastAsia="Times New Roman" w:hAnsi="Calibri" w:cs="Calibri"/>
                <w:szCs w:val="24"/>
                <w:lang w:eastAsia="es-ES"/>
              </w:rPr>
            </w:pPr>
            <w:r w:rsidRPr="002E209C">
              <w:rPr>
                <w:rFonts w:ascii="Calibri" w:eastAsia="Times New Roman" w:hAnsi="Calibri" w:cs="Calibri"/>
                <w:szCs w:val="24"/>
                <w:lang w:eastAsia="es-ES"/>
              </w:rPr>
              <w:t xml:space="preserve">La promulgación de la Ley 39/2015, de 1 de octubre, de Procedimiento Administrativo Común y de la Ley 40/2015, de 1 de octubre, de </w:t>
            </w:r>
            <w:r w:rsidR="005E5A16">
              <w:rPr>
                <w:rFonts w:ascii="Calibri" w:eastAsia="Times New Roman" w:hAnsi="Calibri" w:cs="Calibri"/>
                <w:szCs w:val="24"/>
                <w:lang w:eastAsia="es-ES"/>
              </w:rPr>
              <w:t>R</w:t>
            </w:r>
            <w:r w:rsidRPr="002E209C">
              <w:rPr>
                <w:rFonts w:ascii="Calibri" w:eastAsia="Times New Roman" w:hAnsi="Calibri" w:cs="Calibri"/>
                <w:szCs w:val="24"/>
                <w:lang w:eastAsia="es-ES"/>
              </w:rPr>
              <w:t xml:space="preserve">égimen Jurídico del Sector Público impone la adaptación de los procedimientos vigentes en materia </w:t>
            </w:r>
            <w:r w:rsidR="005E5A16">
              <w:rPr>
                <w:rFonts w:ascii="Calibri" w:eastAsia="Times New Roman" w:hAnsi="Calibri" w:cs="Calibri"/>
                <w:szCs w:val="24"/>
                <w:lang w:eastAsia="es-ES"/>
              </w:rPr>
              <w:t>u</w:t>
            </w:r>
            <w:r w:rsidRPr="002E209C">
              <w:rPr>
                <w:rFonts w:ascii="Calibri" w:eastAsia="Times New Roman" w:hAnsi="Calibri" w:cs="Calibri"/>
                <w:szCs w:val="24"/>
                <w:lang w:eastAsia="es-ES"/>
              </w:rPr>
              <w:t>niversitaria al nuevo paradigma de la tramitación telemática. En este sentido es necesario actualizar, dentro de las competencias de la Comunidad de Madrid, los procedimientos que regulan la autorización y puesta en marcha de centros y titulaciones, así como las  especialidades que contienen en relación a los plazos para resolver y al sentido del silencio administrativo.</w:t>
            </w:r>
          </w:p>
          <w:p w:rsidR="00B76A9B" w:rsidRDefault="002E209C" w:rsidP="005E5A16">
            <w:pPr>
              <w:spacing w:afterLines="200" w:after="480"/>
              <w:ind w:firstLine="708"/>
              <w:jc w:val="both"/>
            </w:pPr>
            <w:r w:rsidRPr="002E209C">
              <w:rPr>
                <w:rFonts w:ascii="Calibri" w:eastAsia="Times New Roman" w:hAnsi="Calibri" w:cs="Calibri"/>
                <w:szCs w:val="24"/>
                <w:lang w:eastAsia="es-ES"/>
              </w:rPr>
              <w:t xml:space="preserve">Más allá de la conveniencia de la adaptación de la legislación universitaria de la Comunidad de Madrid al nuevo escenario regulatorio, la falta de adaptación de la </w:t>
            </w:r>
            <w:r w:rsidR="005E5A16">
              <w:rPr>
                <w:rFonts w:ascii="Calibri" w:eastAsia="Times New Roman" w:hAnsi="Calibri" w:cs="Calibri"/>
                <w:szCs w:val="24"/>
                <w:lang w:eastAsia="es-ES"/>
              </w:rPr>
              <w:t>educación</w:t>
            </w:r>
            <w:r w:rsidRPr="002E209C">
              <w:rPr>
                <w:rFonts w:ascii="Calibri" w:eastAsia="Times New Roman" w:hAnsi="Calibri" w:cs="Calibri"/>
                <w:szCs w:val="24"/>
                <w:lang w:eastAsia="es-ES"/>
              </w:rPr>
              <w:t xml:space="preserve"> superior a los retos que tiene plant</w:t>
            </w:r>
            <w:r w:rsidR="005E5A16">
              <w:rPr>
                <w:rFonts w:ascii="Calibri" w:eastAsia="Times New Roman" w:hAnsi="Calibri" w:cs="Calibri"/>
                <w:szCs w:val="24"/>
                <w:lang w:eastAsia="es-ES"/>
              </w:rPr>
              <w:t>e</w:t>
            </w:r>
            <w:r w:rsidRPr="002E209C">
              <w:rPr>
                <w:rFonts w:ascii="Calibri" w:eastAsia="Times New Roman" w:hAnsi="Calibri" w:cs="Calibri"/>
                <w:szCs w:val="24"/>
                <w:lang w:eastAsia="es-ES"/>
              </w:rPr>
              <w:t>ados tiene un indudable coste de oportunidad que es necesario atajar sin precipitación pero sin demora.</w:t>
            </w:r>
          </w:p>
        </w:tc>
      </w:tr>
      <w:tr w:rsidR="00B76A9B" w:rsidTr="002A7C1C">
        <w:trPr>
          <w:trHeight w:val="562"/>
        </w:trPr>
        <w:tc>
          <w:tcPr>
            <w:tcW w:w="8644" w:type="dxa"/>
            <w:shd w:val="clear" w:color="auto" w:fill="F2F2F2"/>
            <w:vAlign w:val="center"/>
          </w:tcPr>
          <w:p w:rsidR="00B76A9B" w:rsidRDefault="00B76A9B" w:rsidP="002A7C1C">
            <w:pPr>
              <w:spacing w:afterLines="200" w:after="480"/>
            </w:pPr>
            <w:r>
              <w:lastRenderedPageBreak/>
              <w:t>Objetivos</w:t>
            </w:r>
            <w:r w:rsidR="002E209C">
              <w:t xml:space="preserve"> y posibles soluciones alternativas</w:t>
            </w:r>
          </w:p>
        </w:tc>
      </w:tr>
      <w:tr w:rsidR="00B76A9B" w:rsidTr="00905DEE">
        <w:tc>
          <w:tcPr>
            <w:tcW w:w="8644" w:type="dxa"/>
            <w:shd w:val="clear" w:color="auto" w:fill="auto"/>
          </w:tcPr>
          <w:p w:rsidR="005E5A16" w:rsidRDefault="005E5A16" w:rsidP="005E5A16">
            <w:pPr>
              <w:kinsoku w:val="0"/>
              <w:overflowPunct w:val="0"/>
              <w:spacing w:afterLines="200" w:after="480"/>
              <w:ind w:firstLine="708"/>
              <w:jc w:val="both"/>
              <w:textAlignment w:val="baseline"/>
              <w:rPr>
                <w:rFonts w:ascii="Calibri" w:eastAsia="Times New Roman" w:hAnsi="Calibri" w:cs="Calibri"/>
                <w:color w:val="000000"/>
                <w:kern w:val="24"/>
                <w:szCs w:val="24"/>
                <w:lang w:eastAsia="es-ES"/>
              </w:rPr>
            </w:pPr>
          </w:p>
          <w:p w:rsidR="00A44966" w:rsidRPr="00A44966" w:rsidRDefault="00A44966" w:rsidP="00A44966">
            <w:pPr>
              <w:kinsoku w:val="0"/>
              <w:overflowPunct w:val="0"/>
              <w:spacing w:afterLines="200" w:after="480"/>
              <w:ind w:firstLine="708"/>
              <w:jc w:val="both"/>
              <w:textAlignment w:val="baseline"/>
              <w:rPr>
                <w:rFonts w:ascii="Calibri" w:eastAsia="Times New Roman" w:hAnsi="Calibri" w:cs="Calibri"/>
                <w:color w:val="000000"/>
                <w:kern w:val="24"/>
                <w:szCs w:val="24"/>
                <w:lang w:eastAsia="es-ES"/>
              </w:rPr>
            </w:pPr>
            <w:r w:rsidRPr="00A44966">
              <w:rPr>
                <w:rFonts w:ascii="Calibri" w:eastAsia="Times New Roman" w:hAnsi="Calibri" w:cs="Calibri"/>
                <w:color w:val="000000"/>
                <w:kern w:val="24"/>
                <w:szCs w:val="24"/>
                <w:lang w:eastAsia="es-ES"/>
              </w:rPr>
              <w:t>El objetivo principal del anteproyecto es fomentar y permitir</w:t>
            </w:r>
            <w:r w:rsidRPr="00A44966">
              <w:rPr>
                <w:rFonts w:ascii="Calibri" w:eastAsia="Times New Roman" w:hAnsi="Calibri" w:cs="Calibri"/>
                <w:kern w:val="24"/>
                <w:szCs w:val="24"/>
                <w:lang w:eastAsia="es-ES"/>
              </w:rPr>
              <w:t xml:space="preserve"> modernizar</w:t>
            </w:r>
            <w:r w:rsidRPr="00A44966">
              <w:rPr>
                <w:rFonts w:ascii="Calibri" w:eastAsia="Times New Roman" w:hAnsi="Calibri" w:cs="Calibri"/>
                <w:color w:val="000000"/>
                <w:kern w:val="24"/>
                <w:szCs w:val="24"/>
                <w:lang w:eastAsia="es-ES"/>
              </w:rPr>
              <w:t xml:space="preserve"> nuestra educación superior y su adaptación al entorno crecientemente complejo y competitivo al que se enfrentan alumnos, profesores e investigadores.</w:t>
            </w:r>
          </w:p>
          <w:p w:rsidR="00A44966" w:rsidRPr="00A44966" w:rsidRDefault="00A44966" w:rsidP="00A44966">
            <w:pPr>
              <w:shd w:val="clear" w:color="auto" w:fill="FFFFFF"/>
              <w:rPr>
                <w:rFonts w:eastAsia="Times New Roman" w:cs="Arial"/>
                <w:color w:val="666666"/>
                <w:sz w:val="17"/>
                <w:szCs w:val="17"/>
                <w:lang w:eastAsia="es-ES"/>
              </w:rPr>
            </w:pPr>
          </w:p>
          <w:p w:rsidR="00A44966" w:rsidRPr="00A44966" w:rsidRDefault="00A44966" w:rsidP="003250D6">
            <w:pPr>
              <w:shd w:val="clear" w:color="auto" w:fill="FFFFFF"/>
              <w:ind w:firstLine="708"/>
              <w:jc w:val="both"/>
              <w:rPr>
                <w:rFonts w:ascii="Calibri" w:eastAsia="Times New Roman" w:hAnsi="Calibri" w:cs="Calibri"/>
                <w:szCs w:val="24"/>
                <w:lang w:eastAsia="es-ES"/>
              </w:rPr>
            </w:pPr>
            <w:r w:rsidRPr="00A44966">
              <w:rPr>
                <w:rFonts w:ascii="Calibri" w:eastAsia="Times New Roman" w:hAnsi="Calibri" w:cs="Calibri"/>
                <w:szCs w:val="24"/>
                <w:lang w:eastAsia="es-ES"/>
              </w:rPr>
              <w:t xml:space="preserve">El texto que se proponga debe impulsar la retención del talento con el que cuentan actualmente las universidades y la capacidad para atraer a nuevos profesores e investigadores tanto de dentro como de fuera de nuestro país. Es necesario para ello flexibilizar y agilizar los mecanismos de selección actualmente existentes y permitir así que se pueda reclutar con mayor facilidad a profesionales de reconocido prestigio, así como crear figuras de profesorado que promuevan la movilidad internacional con convocatorias que se lleven a cabo con procedimientos objetivos y transparentes. </w:t>
            </w:r>
          </w:p>
          <w:p w:rsidR="00A44966" w:rsidRPr="00A44966" w:rsidRDefault="00A44966" w:rsidP="00A44966">
            <w:pPr>
              <w:kinsoku w:val="0"/>
              <w:overflowPunct w:val="0"/>
              <w:spacing w:afterLines="200" w:after="480"/>
              <w:ind w:firstLine="708"/>
              <w:jc w:val="both"/>
              <w:textAlignment w:val="baseline"/>
              <w:rPr>
                <w:rFonts w:ascii="Calibri" w:eastAsia="Times New Roman" w:hAnsi="Calibri" w:cs="Calibri"/>
                <w:szCs w:val="24"/>
                <w:lang w:eastAsia="es-ES"/>
              </w:rPr>
            </w:pPr>
          </w:p>
          <w:p w:rsidR="00A44966" w:rsidRPr="00A44966" w:rsidRDefault="00A44966" w:rsidP="00A44966">
            <w:pPr>
              <w:kinsoku w:val="0"/>
              <w:overflowPunct w:val="0"/>
              <w:spacing w:afterLines="200" w:after="480"/>
              <w:ind w:firstLine="708"/>
              <w:jc w:val="both"/>
              <w:textAlignment w:val="baseline"/>
              <w:rPr>
                <w:rFonts w:ascii="Calibri" w:eastAsia="Times New Roman" w:hAnsi="Calibri" w:cs="Calibri"/>
                <w:szCs w:val="24"/>
                <w:lang w:eastAsia="es-ES"/>
              </w:rPr>
            </w:pPr>
            <w:r w:rsidRPr="00A44966">
              <w:rPr>
                <w:rFonts w:ascii="Calibri" w:eastAsia="Times New Roman" w:hAnsi="Calibri" w:cs="Calibri"/>
                <w:szCs w:val="24"/>
                <w:lang w:eastAsia="es-ES"/>
              </w:rPr>
              <w:t xml:space="preserve">El impulso de la participación activa de los estudiantes universitarios madrileños es otro de los objetivos de este proyecto de ley y para ello es importante constituir un Consejo de Estudiantes Universitario, como órgano de representación y participación estudiantil en el sistema universitario madrileño. </w:t>
            </w:r>
            <w:r>
              <w:rPr>
                <w:rFonts w:ascii="Calibri" w:eastAsia="Times New Roman" w:hAnsi="Calibri" w:cs="Calibri"/>
                <w:szCs w:val="24"/>
                <w:lang w:eastAsia="es-ES"/>
              </w:rPr>
              <w:t>Persigue también</w:t>
            </w:r>
            <w:r w:rsidRPr="00A44966">
              <w:rPr>
                <w:rFonts w:ascii="Calibri" w:eastAsia="Times New Roman" w:hAnsi="Calibri" w:cs="Calibri"/>
                <w:szCs w:val="24"/>
                <w:lang w:eastAsia="es-ES"/>
              </w:rPr>
              <w:t xml:space="preserve"> fomentar la participación de los alumnos en la evaluación del profesorado mediante parámetros de docencia. </w:t>
            </w:r>
          </w:p>
          <w:p w:rsidR="00A44966" w:rsidRPr="00A44966" w:rsidRDefault="00A44966" w:rsidP="00A44966">
            <w:pPr>
              <w:kinsoku w:val="0"/>
              <w:overflowPunct w:val="0"/>
              <w:spacing w:afterLines="200" w:after="480"/>
              <w:ind w:firstLine="708"/>
              <w:jc w:val="both"/>
              <w:textAlignment w:val="baseline"/>
              <w:rPr>
                <w:rFonts w:ascii="Calibri" w:eastAsia="Times New Roman" w:hAnsi="Calibri" w:cs="Calibri"/>
                <w:szCs w:val="24"/>
                <w:lang w:eastAsia="es-ES"/>
              </w:rPr>
            </w:pPr>
            <w:r>
              <w:rPr>
                <w:rFonts w:ascii="Calibri" w:eastAsia="Times New Roman" w:hAnsi="Calibri" w:cs="Calibri"/>
                <w:szCs w:val="24"/>
                <w:lang w:eastAsia="es-ES"/>
              </w:rPr>
              <w:t>Es importante también</w:t>
            </w:r>
            <w:r w:rsidRPr="00A44966">
              <w:rPr>
                <w:rFonts w:ascii="Calibri" w:eastAsia="Times New Roman" w:hAnsi="Calibri" w:cs="Calibri"/>
                <w:szCs w:val="24"/>
                <w:lang w:eastAsia="es-ES"/>
              </w:rPr>
              <w:t xml:space="preserve"> el establecimiento de mecanismos para impulsar la coordinación universitaria dentro del Espacio Madrileño de Educación Superior (EMES) para mejorar la oferta educativa y promover la cooperación entre universidades.</w:t>
            </w:r>
          </w:p>
          <w:p w:rsidR="00A44966" w:rsidRPr="00A44966" w:rsidRDefault="00A44966" w:rsidP="00A44966">
            <w:pPr>
              <w:shd w:val="clear" w:color="auto" w:fill="FFFFFF"/>
              <w:ind w:firstLine="708"/>
              <w:jc w:val="both"/>
              <w:rPr>
                <w:rFonts w:ascii="Calibri" w:eastAsia="Times New Roman" w:hAnsi="Calibri" w:cs="Calibri"/>
                <w:szCs w:val="24"/>
                <w:lang w:eastAsia="es-ES"/>
              </w:rPr>
            </w:pPr>
            <w:r w:rsidRPr="00A44966">
              <w:rPr>
                <w:rFonts w:ascii="Calibri" w:eastAsia="Times New Roman" w:hAnsi="Calibri" w:cs="Calibri"/>
                <w:szCs w:val="24"/>
                <w:lang w:eastAsia="es-ES"/>
              </w:rPr>
              <w:t>Es objetivo de la futura Ley articular un nuevo sistema de financiación que incluya una aportación fija que garantice un servicio público de calidad y, por otro lado, tenga una parte variable ligada al cumplimiento de determinados indicadores objetivos de la calidad. Esta parte de la financiación variable y plurianual tendría en cuenta criterios que puedan medir la investigación, la docencia y la transferencia de conocimiento de las universidades, como</w:t>
            </w:r>
            <w:r w:rsidR="003250D6">
              <w:rPr>
                <w:rFonts w:ascii="Calibri" w:eastAsia="Times New Roman" w:hAnsi="Calibri" w:cs="Calibri"/>
                <w:szCs w:val="24"/>
                <w:lang w:eastAsia="es-ES"/>
              </w:rPr>
              <w:t xml:space="preserve"> por ejemplo,</w:t>
            </w:r>
            <w:bookmarkStart w:id="0" w:name="_GoBack"/>
            <w:bookmarkEnd w:id="0"/>
            <w:r w:rsidRPr="00A44966">
              <w:rPr>
                <w:rFonts w:ascii="Calibri" w:eastAsia="Times New Roman" w:hAnsi="Calibri" w:cs="Calibri"/>
                <w:szCs w:val="24"/>
                <w:lang w:eastAsia="es-ES"/>
              </w:rPr>
              <w:t xml:space="preserve"> el número de publicaciones, el impacto de las mismas, la inserción laboral de los titulados, el uso de nuevas metodologías docentes o la capacidad para captar fondos para proyectos de investigación.</w:t>
            </w:r>
          </w:p>
          <w:p w:rsidR="00A44966" w:rsidRPr="00A44966" w:rsidRDefault="00A44966" w:rsidP="00A44966">
            <w:pPr>
              <w:kinsoku w:val="0"/>
              <w:overflowPunct w:val="0"/>
              <w:spacing w:afterLines="200" w:after="480"/>
              <w:ind w:firstLine="708"/>
              <w:jc w:val="both"/>
              <w:textAlignment w:val="baseline"/>
              <w:rPr>
                <w:rFonts w:ascii="Calibri" w:eastAsia="Times New Roman" w:hAnsi="Calibri" w:cs="Calibri"/>
                <w:color w:val="000000"/>
                <w:kern w:val="24"/>
                <w:szCs w:val="24"/>
                <w:lang w:eastAsia="es-ES"/>
              </w:rPr>
            </w:pPr>
          </w:p>
          <w:p w:rsidR="00A44966" w:rsidRPr="00A44966" w:rsidRDefault="00A44966" w:rsidP="00A44966">
            <w:pPr>
              <w:shd w:val="clear" w:color="auto" w:fill="FFFFFF"/>
              <w:jc w:val="both"/>
              <w:rPr>
                <w:rFonts w:eastAsia="Times New Roman" w:cs="Arial"/>
                <w:color w:val="666666"/>
                <w:sz w:val="17"/>
                <w:szCs w:val="17"/>
                <w:lang w:eastAsia="es-ES"/>
              </w:rPr>
            </w:pPr>
            <w:r w:rsidRPr="00A44966">
              <w:rPr>
                <w:rFonts w:ascii="Calibri" w:eastAsia="Times New Roman" w:hAnsi="Calibri" w:cs="Calibri"/>
                <w:color w:val="000000"/>
                <w:kern w:val="24"/>
                <w:szCs w:val="24"/>
                <w:lang w:eastAsia="es-ES"/>
              </w:rPr>
              <w:t>El contenido de la ley  debe, en todo caso,  ser respetuoso con los aspectos más positivos de la idiosincrasia del sistema universitario madrileño y debe ceñirse a la distribución territorial de competencias, la disponibilidad presupuestaria y la trayectoria de nuestro sistema educativo</w:t>
            </w:r>
            <w:r>
              <w:rPr>
                <w:rFonts w:ascii="Calibri" w:eastAsia="Times New Roman" w:hAnsi="Calibri" w:cs="Calibri"/>
                <w:color w:val="000000"/>
                <w:kern w:val="24"/>
                <w:szCs w:val="24"/>
                <w:lang w:eastAsia="es-ES"/>
              </w:rPr>
              <w:t>.</w:t>
            </w:r>
          </w:p>
          <w:p w:rsidR="00A44966" w:rsidRDefault="00A44966" w:rsidP="00A44966">
            <w:pPr>
              <w:kinsoku w:val="0"/>
              <w:overflowPunct w:val="0"/>
              <w:spacing w:afterLines="200" w:after="480"/>
              <w:jc w:val="both"/>
              <w:textAlignment w:val="baseline"/>
              <w:rPr>
                <w:rFonts w:ascii="Calibri" w:eastAsia="Times New Roman" w:hAnsi="Calibri" w:cs="Calibri"/>
                <w:color w:val="000000"/>
                <w:kern w:val="24"/>
                <w:szCs w:val="24"/>
                <w:lang w:eastAsia="es-ES"/>
              </w:rPr>
            </w:pPr>
          </w:p>
          <w:p w:rsidR="00A44966" w:rsidRPr="00A44966" w:rsidRDefault="00A44966" w:rsidP="00A44966">
            <w:pPr>
              <w:kinsoku w:val="0"/>
              <w:overflowPunct w:val="0"/>
              <w:spacing w:afterLines="200" w:after="480"/>
              <w:jc w:val="both"/>
              <w:textAlignment w:val="baseline"/>
              <w:rPr>
                <w:rFonts w:ascii="Calibri" w:eastAsia="Times New Roman" w:hAnsi="Calibri" w:cs="Calibri"/>
                <w:szCs w:val="24"/>
                <w:lang w:eastAsia="es-ES"/>
              </w:rPr>
            </w:pPr>
            <w:r w:rsidRPr="00A44966">
              <w:rPr>
                <w:rFonts w:ascii="Calibri" w:eastAsia="Times New Roman" w:hAnsi="Calibri" w:cs="Calibri"/>
                <w:color w:val="000000"/>
                <w:kern w:val="24"/>
                <w:szCs w:val="24"/>
                <w:lang w:eastAsia="es-ES"/>
              </w:rPr>
              <w:t xml:space="preserve"> </w:t>
            </w:r>
            <w:r w:rsidRPr="00A44966">
              <w:rPr>
                <w:rFonts w:ascii="Calibri" w:eastAsia="Times New Roman" w:hAnsi="Calibri" w:cs="Calibri"/>
                <w:color w:val="000000"/>
                <w:kern w:val="24"/>
                <w:szCs w:val="24"/>
                <w:lang w:eastAsia="es-ES"/>
              </w:rPr>
              <w:tab/>
            </w:r>
            <w:r w:rsidRPr="00A44966">
              <w:rPr>
                <w:rFonts w:ascii="Calibri" w:eastAsia="Times New Roman" w:hAnsi="Calibri" w:cs="Calibri"/>
                <w:szCs w:val="24"/>
                <w:lang w:eastAsia="es-ES"/>
              </w:rPr>
              <w:t xml:space="preserve">La regulación contenida en el futuro anteproyecto de ley no existe en el </w:t>
            </w:r>
            <w:r w:rsidRPr="00A44966">
              <w:rPr>
                <w:rFonts w:ascii="Calibri" w:eastAsia="Times New Roman" w:hAnsi="Calibri" w:cs="Calibri"/>
                <w:szCs w:val="24"/>
                <w:lang w:eastAsia="es-ES"/>
              </w:rPr>
              <w:lastRenderedPageBreak/>
              <w:t xml:space="preserve">ordenamiento jurídico de la Comunidad de Madrid, sin que se cuente con una alternativa a esta propuesta, que necesariamente debe tener rango legal, teniendo en cuenta la importancia de la materia que es objeto del futuro anteproyecto. </w:t>
            </w:r>
          </w:p>
          <w:p w:rsidR="00A44966" w:rsidRPr="00A44966" w:rsidRDefault="00A44966" w:rsidP="00A44966">
            <w:pPr>
              <w:spacing w:afterLines="200" w:after="480"/>
              <w:ind w:firstLine="708"/>
              <w:jc w:val="both"/>
              <w:rPr>
                <w:rFonts w:ascii="Calibri" w:eastAsia="Times New Roman" w:hAnsi="Calibri" w:cs="Calibri"/>
                <w:szCs w:val="24"/>
                <w:lang w:eastAsia="es-ES"/>
              </w:rPr>
            </w:pPr>
            <w:r w:rsidRPr="00A44966">
              <w:rPr>
                <w:rFonts w:ascii="Calibri" w:eastAsia="Times New Roman" w:hAnsi="Calibri" w:cs="Calibri"/>
                <w:szCs w:val="24"/>
                <w:lang w:eastAsia="es-ES"/>
              </w:rPr>
              <w:t>A tenor de lo preceptuado en el apartado 3.4 de las Instrucciones generales para la aplicación del procedimiento de iniciativa legislativa y de potestad reglamentaria previsto en la Ley 50/1997, de 27 de noviembre del Gobierno, aprobadas por Acuerdo de 31 de octubre de 2016, del Consejo de Gobierno, se abre esta Consulta para que los interesados puedan emitir su opinión.</w:t>
            </w:r>
          </w:p>
          <w:p w:rsidR="00B76A9B" w:rsidRDefault="00B76A9B" w:rsidP="005E5A16">
            <w:pPr>
              <w:spacing w:afterLines="200" w:after="480"/>
              <w:jc w:val="both"/>
            </w:pPr>
          </w:p>
        </w:tc>
      </w:tr>
      <w:tr w:rsidR="00B76A9B" w:rsidTr="008F387B">
        <w:tc>
          <w:tcPr>
            <w:tcW w:w="8644" w:type="dxa"/>
            <w:shd w:val="clear" w:color="auto" w:fill="A6A6A6"/>
          </w:tcPr>
          <w:p w:rsidR="002E209C" w:rsidRDefault="002E209C" w:rsidP="00905DEE">
            <w:pPr>
              <w:jc w:val="both"/>
            </w:pPr>
          </w:p>
          <w:p w:rsidR="00B76A9B" w:rsidRDefault="00B76A9B" w:rsidP="00905DEE">
            <w:pPr>
              <w:jc w:val="both"/>
            </w:pPr>
            <w:r>
              <w:t>Fecha:</w:t>
            </w:r>
            <w:r w:rsidR="002E209C">
              <w:t xml:space="preserve"> </w:t>
            </w:r>
            <w:r w:rsidR="00A44966">
              <w:t>1</w:t>
            </w:r>
            <w:r w:rsidR="002E209C">
              <w:t xml:space="preserve"> de </w:t>
            </w:r>
            <w:r w:rsidR="00A44966">
              <w:t>f</w:t>
            </w:r>
            <w:r w:rsidR="002E209C">
              <w:t>e</w:t>
            </w:r>
            <w:r w:rsidR="00A44966">
              <w:t>br</w:t>
            </w:r>
            <w:r w:rsidR="002E209C">
              <w:t>ero de 201</w:t>
            </w:r>
            <w:r w:rsidR="00D5380B">
              <w:t>7</w:t>
            </w:r>
          </w:p>
          <w:p w:rsidR="002E209C" w:rsidRDefault="002E209C" w:rsidP="00905DEE">
            <w:pPr>
              <w:jc w:val="both"/>
            </w:pPr>
          </w:p>
        </w:tc>
      </w:tr>
      <w:tr w:rsidR="00B76A9B" w:rsidTr="008F387B">
        <w:tc>
          <w:tcPr>
            <w:tcW w:w="8644" w:type="dxa"/>
            <w:shd w:val="clear" w:color="auto" w:fill="A6A6A6"/>
          </w:tcPr>
          <w:p w:rsidR="00B76A9B" w:rsidRDefault="002E209C" w:rsidP="002E209C">
            <w:pPr>
              <w:jc w:val="center"/>
            </w:pPr>
            <w:r>
              <w:t>José Manuel Torralba Castelló</w:t>
            </w:r>
          </w:p>
          <w:p w:rsidR="002E209C" w:rsidRDefault="002E209C" w:rsidP="002E209C">
            <w:pPr>
              <w:jc w:val="center"/>
            </w:pPr>
          </w:p>
          <w:p w:rsidR="002E209C" w:rsidRDefault="002E209C" w:rsidP="002E209C">
            <w:pPr>
              <w:jc w:val="center"/>
            </w:pPr>
          </w:p>
          <w:p w:rsidR="005E5A16" w:rsidRDefault="005E5A16" w:rsidP="002E209C">
            <w:pPr>
              <w:jc w:val="center"/>
            </w:pPr>
          </w:p>
          <w:p w:rsidR="002A7C1C" w:rsidRDefault="002A7C1C" w:rsidP="002E209C">
            <w:pPr>
              <w:jc w:val="center"/>
            </w:pPr>
          </w:p>
          <w:p w:rsidR="002E209C" w:rsidRDefault="002E209C" w:rsidP="002E209C">
            <w:pPr>
              <w:jc w:val="center"/>
            </w:pPr>
          </w:p>
          <w:p w:rsidR="002E209C" w:rsidRDefault="002E209C" w:rsidP="002E209C">
            <w:pPr>
              <w:jc w:val="center"/>
            </w:pPr>
            <w:r>
              <w:t>Director General de Universidades e Investigación</w:t>
            </w:r>
          </w:p>
        </w:tc>
      </w:tr>
    </w:tbl>
    <w:p w:rsidR="00B76A9B" w:rsidRDefault="00B76A9B" w:rsidP="002E209C">
      <w:pPr>
        <w:jc w:val="both"/>
      </w:pPr>
    </w:p>
    <w:p w:rsidR="00D5380B" w:rsidRDefault="00D5380B" w:rsidP="002E209C">
      <w:pPr>
        <w:jc w:val="both"/>
      </w:pPr>
    </w:p>
    <w:p w:rsidR="00D5380B" w:rsidRDefault="00D5380B" w:rsidP="002E209C">
      <w:pPr>
        <w:jc w:val="both"/>
      </w:pPr>
    </w:p>
    <w:sectPr w:rsidR="00D5380B" w:rsidSect="002A7C1C">
      <w:headerReference w:type="default" r:id="rId8"/>
      <w:pgSz w:w="11906" w:h="16838"/>
      <w:pgMar w:top="1417"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E61" w:rsidRDefault="00845E61" w:rsidP="00D5380B">
      <w:r>
        <w:separator/>
      </w:r>
    </w:p>
  </w:endnote>
  <w:endnote w:type="continuationSeparator" w:id="0">
    <w:p w:rsidR="00845E61" w:rsidRDefault="00845E61" w:rsidP="00D5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E61" w:rsidRDefault="00845E61" w:rsidP="00D5380B">
      <w:r>
        <w:separator/>
      </w:r>
    </w:p>
  </w:footnote>
  <w:footnote w:type="continuationSeparator" w:id="0">
    <w:p w:rsidR="00845E61" w:rsidRDefault="00845E61" w:rsidP="00D53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0B" w:rsidRDefault="005202FF">
    <w:pPr>
      <w:pStyle w:val="Encabezado"/>
      <w:rPr>
        <w:noProof/>
        <w:lang w:eastAsia="es-ES"/>
      </w:rPr>
    </w:pPr>
    <w:r>
      <w:rPr>
        <w:noProof/>
        <w:lang w:eastAsia="es-ES"/>
      </w:rPr>
      <w:drawing>
        <wp:inline distT="0" distB="0" distL="0" distR="0">
          <wp:extent cx="2516505" cy="650875"/>
          <wp:effectExtent l="0" t="0" r="0" b="0"/>
          <wp:docPr id="1" name="Imagen 1" descr="Logo alineado izquierda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alineado izquierda 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6505" cy="650875"/>
                  </a:xfrm>
                  <a:prstGeom prst="rect">
                    <a:avLst/>
                  </a:prstGeom>
                  <a:noFill/>
                  <a:ln>
                    <a:noFill/>
                  </a:ln>
                </pic:spPr>
              </pic:pic>
            </a:graphicData>
          </a:graphic>
        </wp:inline>
      </w:drawing>
    </w:r>
  </w:p>
  <w:p w:rsidR="00D5380B" w:rsidRDefault="00D5380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A9B"/>
    <w:rsid w:val="002A7C1C"/>
    <w:rsid w:val="002E209C"/>
    <w:rsid w:val="003250D6"/>
    <w:rsid w:val="003A3885"/>
    <w:rsid w:val="005202FF"/>
    <w:rsid w:val="005C2EA3"/>
    <w:rsid w:val="005E5A16"/>
    <w:rsid w:val="007248C1"/>
    <w:rsid w:val="0081591E"/>
    <w:rsid w:val="00845E61"/>
    <w:rsid w:val="008F387B"/>
    <w:rsid w:val="00905DEE"/>
    <w:rsid w:val="009A7D0F"/>
    <w:rsid w:val="00A44966"/>
    <w:rsid w:val="00B24A91"/>
    <w:rsid w:val="00B76A9B"/>
    <w:rsid w:val="00D5380B"/>
    <w:rsid w:val="00EB67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76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a"/>
    <w:basedOn w:val="Normal"/>
    <w:rsid w:val="002E209C"/>
    <w:pPr>
      <w:spacing w:before="100" w:beforeAutospacing="1" w:after="100" w:afterAutospacing="1"/>
    </w:pPr>
    <w:rPr>
      <w:rFonts w:ascii="Times New Roman" w:eastAsia="Times New Roman" w:hAnsi="Times New Roman"/>
      <w:szCs w:val="24"/>
      <w:lang w:eastAsia="es-ES"/>
    </w:rPr>
  </w:style>
  <w:style w:type="character" w:styleId="Hipervnculo">
    <w:name w:val="Hyperlink"/>
    <w:uiPriority w:val="99"/>
    <w:semiHidden/>
    <w:unhideWhenUsed/>
    <w:rsid w:val="002E209C"/>
    <w:rPr>
      <w:color w:val="0000FF"/>
      <w:u w:val="single"/>
    </w:rPr>
  </w:style>
  <w:style w:type="paragraph" w:styleId="NormalWeb">
    <w:name w:val="Normal (Web)"/>
    <w:basedOn w:val="Normal"/>
    <w:uiPriority w:val="99"/>
    <w:semiHidden/>
    <w:unhideWhenUsed/>
    <w:rsid w:val="002E209C"/>
    <w:pPr>
      <w:spacing w:after="200" w:line="276" w:lineRule="auto"/>
    </w:pPr>
    <w:rPr>
      <w:rFonts w:ascii="Times New Roman" w:hAnsi="Times New Roman"/>
      <w:szCs w:val="24"/>
    </w:rPr>
  </w:style>
  <w:style w:type="paragraph" w:styleId="Encabezado">
    <w:name w:val="header"/>
    <w:basedOn w:val="Normal"/>
    <w:link w:val="EncabezadoCar"/>
    <w:uiPriority w:val="99"/>
    <w:unhideWhenUsed/>
    <w:rsid w:val="00D5380B"/>
    <w:pPr>
      <w:tabs>
        <w:tab w:val="center" w:pos="4252"/>
        <w:tab w:val="right" w:pos="8504"/>
      </w:tabs>
    </w:pPr>
  </w:style>
  <w:style w:type="character" w:customStyle="1" w:styleId="EncabezadoCar">
    <w:name w:val="Encabezado Car"/>
    <w:link w:val="Encabezado"/>
    <w:uiPriority w:val="99"/>
    <w:rsid w:val="00D5380B"/>
    <w:rPr>
      <w:sz w:val="24"/>
      <w:szCs w:val="22"/>
      <w:lang w:eastAsia="en-US"/>
    </w:rPr>
  </w:style>
  <w:style w:type="paragraph" w:styleId="Piedepgina">
    <w:name w:val="footer"/>
    <w:basedOn w:val="Normal"/>
    <w:link w:val="PiedepginaCar"/>
    <w:uiPriority w:val="99"/>
    <w:unhideWhenUsed/>
    <w:rsid w:val="00D5380B"/>
    <w:pPr>
      <w:tabs>
        <w:tab w:val="center" w:pos="4252"/>
        <w:tab w:val="right" w:pos="8504"/>
      </w:tabs>
    </w:pPr>
  </w:style>
  <w:style w:type="character" w:customStyle="1" w:styleId="PiedepginaCar">
    <w:name w:val="Pie de página Car"/>
    <w:link w:val="Piedepgina"/>
    <w:uiPriority w:val="99"/>
    <w:rsid w:val="00D5380B"/>
    <w:rPr>
      <w:sz w:val="24"/>
      <w:szCs w:val="22"/>
      <w:lang w:eastAsia="en-US"/>
    </w:rPr>
  </w:style>
  <w:style w:type="paragraph" w:styleId="Textodeglobo">
    <w:name w:val="Balloon Text"/>
    <w:basedOn w:val="Normal"/>
    <w:link w:val="TextodegloboCar"/>
    <w:uiPriority w:val="99"/>
    <w:semiHidden/>
    <w:unhideWhenUsed/>
    <w:rsid w:val="005202FF"/>
    <w:rPr>
      <w:rFonts w:ascii="Tahoma" w:hAnsi="Tahoma" w:cs="Tahoma"/>
      <w:sz w:val="16"/>
      <w:szCs w:val="16"/>
    </w:rPr>
  </w:style>
  <w:style w:type="character" w:customStyle="1" w:styleId="TextodegloboCar">
    <w:name w:val="Texto de globo Car"/>
    <w:basedOn w:val="Fuentedeprrafopredeter"/>
    <w:link w:val="Textodeglobo"/>
    <w:uiPriority w:val="99"/>
    <w:semiHidden/>
    <w:rsid w:val="005202F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76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a"/>
    <w:basedOn w:val="Normal"/>
    <w:rsid w:val="002E209C"/>
    <w:pPr>
      <w:spacing w:before="100" w:beforeAutospacing="1" w:after="100" w:afterAutospacing="1"/>
    </w:pPr>
    <w:rPr>
      <w:rFonts w:ascii="Times New Roman" w:eastAsia="Times New Roman" w:hAnsi="Times New Roman"/>
      <w:szCs w:val="24"/>
      <w:lang w:eastAsia="es-ES"/>
    </w:rPr>
  </w:style>
  <w:style w:type="character" w:styleId="Hipervnculo">
    <w:name w:val="Hyperlink"/>
    <w:uiPriority w:val="99"/>
    <w:semiHidden/>
    <w:unhideWhenUsed/>
    <w:rsid w:val="002E209C"/>
    <w:rPr>
      <w:color w:val="0000FF"/>
      <w:u w:val="single"/>
    </w:rPr>
  </w:style>
  <w:style w:type="paragraph" w:styleId="NormalWeb">
    <w:name w:val="Normal (Web)"/>
    <w:basedOn w:val="Normal"/>
    <w:uiPriority w:val="99"/>
    <w:semiHidden/>
    <w:unhideWhenUsed/>
    <w:rsid w:val="002E209C"/>
    <w:pPr>
      <w:spacing w:after="200" w:line="276" w:lineRule="auto"/>
    </w:pPr>
    <w:rPr>
      <w:rFonts w:ascii="Times New Roman" w:hAnsi="Times New Roman"/>
      <w:szCs w:val="24"/>
    </w:rPr>
  </w:style>
  <w:style w:type="paragraph" w:styleId="Encabezado">
    <w:name w:val="header"/>
    <w:basedOn w:val="Normal"/>
    <w:link w:val="EncabezadoCar"/>
    <w:uiPriority w:val="99"/>
    <w:unhideWhenUsed/>
    <w:rsid w:val="00D5380B"/>
    <w:pPr>
      <w:tabs>
        <w:tab w:val="center" w:pos="4252"/>
        <w:tab w:val="right" w:pos="8504"/>
      </w:tabs>
    </w:pPr>
  </w:style>
  <w:style w:type="character" w:customStyle="1" w:styleId="EncabezadoCar">
    <w:name w:val="Encabezado Car"/>
    <w:link w:val="Encabezado"/>
    <w:uiPriority w:val="99"/>
    <w:rsid w:val="00D5380B"/>
    <w:rPr>
      <w:sz w:val="24"/>
      <w:szCs w:val="22"/>
      <w:lang w:eastAsia="en-US"/>
    </w:rPr>
  </w:style>
  <w:style w:type="paragraph" w:styleId="Piedepgina">
    <w:name w:val="footer"/>
    <w:basedOn w:val="Normal"/>
    <w:link w:val="PiedepginaCar"/>
    <w:uiPriority w:val="99"/>
    <w:unhideWhenUsed/>
    <w:rsid w:val="00D5380B"/>
    <w:pPr>
      <w:tabs>
        <w:tab w:val="center" w:pos="4252"/>
        <w:tab w:val="right" w:pos="8504"/>
      </w:tabs>
    </w:pPr>
  </w:style>
  <w:style w:type="character" w:customStyle="1" w:styleId="PiedepginaCar">
    <w:name w:val="Pie de página Car"/>
    <w:link w:val="Piedepgina"/>
    <w:uiPriority w:val="99"/>
    <w:rsid w:val="00D5380B"/>
    <w:rPr>
      <w:sz w:val="24"/>
      <w:szCs w:val="22"/>
      <w:lang w:eastAsia="en-US"/>
    </w:rPr>
  </w:style>
  <w:style w:type="paragraph" w:styleId="Textodeglobo">
    <w:name w:val="Balloon Text"/>
    <w:basedOn w:val="Normal"/>
    <w:link w:val="TextodegloboCar"/>
    <w:uiPriority w:val="99"/>
    <w:semiHidden/>
    <w:unhideWhenUsed/>
    <w:rsid w:val="005202FF"/>
    <w:rPr>
      <w:rFonts w:ascii="Tahoma" w:hAnsi="Tahoma" w:cs="Tahoma"/>
      <w:sz w:val="16"/>
      <w:szCs w:val="16"/>
    </w:rPr>
  </w:style>
  <w:style w:type="character" w:customStyle="1" w:styleId="TextodegloboCar">
    <w:name w:val="Texto de globo Car"/>
    <w:basedOn w:val="Fuentedeprrafopredeter"/>
    <w:link w:val="Textodeglobo"/>
    <w:uiPriority w:val="99"/>
    <w:semiHidden/>
    <w:rsid w:val="005202F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17353">
      <w:bodyDiv w:val="1"/>
      <w:marLeft w:val="0"/>
      <w:marRight w:val="0"/>
      <w:marTop w:val="0"/>
      <w:marBottom w:val="0"/>
      <w:divBdr>
        <w:top w:val="none" w:sz="0" w:space="0" w:color="auto"/>
        <w:left w:val="none" w:sz="0" w:space="0" w:color="auto"/>
        <w:bottom w:val="none" w:sz="0" w:space="0" w:color="auto"/>
        <w:right w:val="none" w:sz="0" w:space="0" w:color="auto"/>
      </w:divBdr>
    </w:div>
    <w:div w:id="1455249186">
      <w:bodyDiv w:val="1"/>
      <w:marLeft w:val="0"/>
      <w:marRight w:val="0"/>
      <w:marTop w:val="0"/>
      <w:marBottom w:val="0"/>
      <w:divBdr>
        <w:top w:val="none" w:sz="0" w:space="0" w:color="auto"/>
        <w:left w:val="none" w:sz="0" w:space="0" w:color="auto"/>
        <w:bottom w:val="none" w:sz="0" w:space="0" w:color="auto"/>
        <w:right w:val="none" w:sz="0" w:space="0" w:color="auto"/>
      </w:divBdr>
    </w:div>
    <w:div w:id="1616252331">
      <w:bodyDiv w:val="1"/>
      <w:marLeft w:val="0"/>
      <w:marRight w:val="0"/>
      <w:marTop w:val="0"/>
      <w:marBottom w:val="0"/>
      <w:divBdr>
        <w:top w:val="none" w:sz="0" w:space="0" w:color="auto"/>
        <w:left w:val="none" w:sz="0" w:space="0" w:color="auto"/>
        <w:bottom w:val="none" w:sz="0" w:space="0" w:color="auto"/>
        <w:right w:val="none" w:sz="0" w:space="0" w:color="auto"/>
      </w:divBdr>
    </w:div>
    <w:div w:id="20240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oticias.juridicas.com/base_datos/Admin/constitucion.t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1055</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6847</CharactersWithSpaces>
  <SharedDoc>false</SharedDoc>
  <HLinks>
    <vt:vector size="6" baseType="variant">
      <vt:variant>
        <vt:i4>8257602</vt:i4>
      </vt:variant>
      <vt:variant>
        <vt:i4>0</vt:i4>
      </vt:variant>
      <vt:variant>
        <vt:i4>0</vt:i4>
      </vt:variant>
      <vt:variant>
        <vt:i4>5</vt:i4>
      </vt:variant>
      <vt:variant>
        <vt:lpwstr>http://noticias.juridicas.com/base_datos/Admin/constitucion.t1.html</vt:lpwstr>
      </vt:variant>
      <vt:variant>
        <vt:lpwstr>I186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LOPEZ-CHICHERI, SEBASTIAN</dc:creator>
  <cp:keywords/>
  <dc:description/>
  <cp:lastModifiedBy>ICM</cp:lastModifiedBy>
  <cp:revision>3</cp:revision>
  <cp:lastPrinted>2017-01-26T10:48:00Z</cp:lastPrinted>
  <dcterms:created xsi:type="dcterms:W3CDTF">2017-02-01T11:35:00Z</dcterms:created>
  <dcterms:modified xsi:type="dcterms:W3CDTF">2017-02-01T11:38:00Z</dcterms:modified>
</cp:coreProperties>
</file>