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9198D7" w14:textId="1D5C9585" w:rsidR="00491C5A" w:rsidRPr="00491C5A" w:rsidRDefault="00491C5A" w:rsidP="00491C5A">
      <w:pPr>
        <w:spacing w:after="0" w:line="240" w:lineRule="auto"/>
        <w:ind w:right="-2"/>
        <w:jc w:val="both"/>
        <w:rPr>
          <w:rFonts w:ascii="Arial" w:hAnsi="Arial" w:cs="Arial"/>
          <w:b/>
        </w:rPr>
      </w:pPr>
      <w:r w:rsidRPr="00491C5A">
        <w:rPr>
          <w:rFonts w:ascii="Arial" w:hAnsi="Arial" w:cs="Arial"/>
          <w:b/>
        </w:rPr>
        <w:t>INFORME DE LA INTERVENCIÓN GENERAL DE LA COMUNIDAD DE MADRID DE 27 DE SEPTIEMBRE DE 2024.</w:t>
      </w:r>
      <w:r w:rsidRPr="00491C5A">
        <w:rPr>
          <w:rFonts w:ascii="Arial" w:hAnsi="Arial" w:cs="Arial"/>
          <w:b/>
          <w:bCs/>
          <w:lang w:val="es-ES_tradnl"/>
        </w:rPr>
        <w:t xml:space="preserve"> </w:t>
      </w:r>
      <w:r w:rsidR="00FF507C">
        <w:rPr>
          <w:rFonts w:ascii="Arial" w:hAnsi="Arial" w:cs="Arial"/>
          <w:b/>
          <w:bCs/>
          <w:lang w:val="es-ES_tradnl"/>
        </w:rPr>
        <w:t xml:space="preserve">SUBVENCIONES. </w:t>
      </w:r>
      <w:r w:rsidRPr="00491C5A">
        <w:rPr>
          <w:rFonts w:ascii="Arial" w:hAnsi="Arial" w:cs="Arial"/>
          <w:b/>
          <w:color w:val="000000"/>
        </w:rPr>
        <w:t>APLICACIÓN DEL ARTÍCULO 13.3 BIS DE LA LEY GENERAL DE SUBVENCIONE</w:t>
      </w:r>
      <w:r>
        <w:rPr>
          <w:rFonts w:ascii="Arial" w:hAnsi="Arial" w:cs="Arial"/>
          <w:b/>
          <w:color w:val="000000"/>
        </w:rPr>
        <w:t>S. ÁMBITO DE APLICACIÓN DE LA OBLIGACIÓN DE ACREDITACIÓN DEL CUMPLIMIENTO DE LOS PLAZOS DE PAGO</w:t>
      </w:r>
    </w:p>
    <w:p w14:paraId="0FA15B1B" w14:textId="77777777" w:rsidR="00491C5A" w:rsidRPr="00491C5A" w:rsidRDefault="00491C5A" w:rsidP="00491C5A">
      <w:pPr>
        <w:spacing w:after="0" w:line="240" w:lineRule="auto"/>
        <w:rPr>
          <w:rFonts w:ascii="Arial" w:eastAsia="Times New Roman" w:hAnsi="Arial" w:cs="Arial"/>
          <w:b/>
          <w:bCs/>
          <w:lang w:eastAsia="es-ES"/>
        </w:rPr>
      </w:pPr>
    </w:p>
    <w:p w14:paraId="3C30DCF9" w14:textId="5F730EB8" w:rsidR="00491C5A" w:rsidRPr="00491C5A" w:rsidRDefault="00491C5A" w:rsidP="00491C5A">
      <w:pPr>
        <w:spacing w:after="0" w:line="240" w:lineRule="auto"/>
        <w:rPr>
          <w:rFonts w:ascii="Arial" w:eastAsia="Times New Roman" w:hAnsi="Arial" w:cs="Arial"/>
          <w:lang w:eastAsia="es-ES"/>
        </w:rPr>
      </w:pPr>
      <w:r w:rsidRPr="00491C5A">
        <w:rPr>
          <w:rFonts w:ascii="Arial" w:eastAsia="Times New Roman" w:hAnsi="Arial" w:cs="Arial"/>
          <w:b/>
          <w:bCs/>
          <w:lang w:eastAsia="es-ES"/>
        </w:rPr>
        <w:t xml:space="preserve">Modalidad de informe: </w:t>
      </w:r>
      <w:r>
        <w:rPr>
          <w:rFonts w:ascii="Arial" w:eastAsia="Times New Roman" w:hAnsi="Arial" w:cs="Arial"/>
          <w:b/>
          <w:bCs/>
          <w:lang w:eastAsia="es-ES"/>
        </w:rPr>
        <w:t>Consulta</w:t>
      </w:r>
      <w:r w:rsidRPr="00491C5A">
        <w:rPr>
          <w:rFonts w:ascii="Arial" w:eastAsia="Times New Roman" w:hAnsi="Arial" w:cs="Arial"/>
          <w:b/>
          <w:bCs/>
          <w:lang w:eastAsia="es-ES"/>
        </w:rPr>
        <w:t>.</w:t>
      </w:r>
    </w:p>
    <w:p w14:paraId="3999FED8" w14:textId="073A9A3A" w:rsidR="00491C5A" w:rsidRPr="00491C5A" w:rsidRDefault="00491C5A" w:rsidP="00491C5A">
      <w:pPr>
        <w:spacing w:after="0" w:line="240" w:lineRule="auto"/>
        <w:rPr>
          <w:rFonts w:ascii="Arial" w:eastAsia="Times New Roman" w:hAnsi="Arial" w:cs="Arial"/>
          <w:lang w:eastAsia="es-ES"/>
        </w:rPr>
      </w:pPr>
      <w:r w:rsidRPr="00491C5A">
        <w:rPr>
          <w:rFonts w:ascii="Arial" w:eastAsia="Times New Roman" w:hAnsi="Arial" w:cs="Arial"/>
          <w:b/>
          <w:bCs/>
          <w:lang w:eastAsia="es-ES"/>
        </w:rPr>
        <w:t xml:space="preserve">Área temática: </w:t>
      </w:r>
      <w:r>
        <w:rPr>
          <w:rFonts w:ascii="Arial" w:eastAsia="Times New Roman" w:hAnsi="Arial" w:cs="Arial"/>
          <w:b/>
          <w:bCs/>
          <w:lang w:eastAsia="es-ES"/>
        </w:rPr>
        <w:t>Subvenciones</w:t>
      </w:r>
      <w:r w:rsidRPr="00491C5A">
        <w:rPr>
          <w:rFonts w:ascii="Arial" w:eastAsia="Times New Roman" w:hAnsi="Arial" w:cs="Arial"/>
          <w:b/>
          <w:bCs/>
          <w:lang w:eastAsia="es-ES"/>
        </w:rPr>
        <w:t>.</w:t>
      </w:r>
    </w:p>
    <w:p w14:paraId="63D27BC2" w14:textId="77777777" w:rsidR="00491C5A" w:rsidRPr="00491C5A" w:rsidRDefault="00491C5A" w:rsidP="00491C5A">
      <w:pPr>
        <w:spacing w:after="0" w:line="240" w:lineRule="auto"/>
        <w:rPr>
          <w:rFonts w:ascii="Arial" w:eastAsia="Times New Roman" w:hAnsi="Arial" w:cs="Arial"/>
          <w:lang w:eastAsia="es-ES"/>
        </w:rPr>
      </w:pPr>
      <w:r w:rsidRPr="00491C5A">
        <w:rPr>
          <w:rFonts w:ascii="Arial" w:eastAsia="Times New Roman" w:hAnsi="Arial" w:cs="Arial"/>
          <w:b/>
          <w:bCs/>
          <w:lang w:eastAsia="es-ES"/>
        </w:rPr>
        <w:t>Informe vigente.</w:t>
      </w:r>
    </w:p>
    <w:p w14:paraId="1CE2B2C5" w14:textId="77777777" w:rsidR="00491C5A" w:rsidRPr="00491C5A" w:rsidRDefault="00491C5A" w:rsidP="00491C5A">
      <w:pPr>
        <w:spacing w:after="0" w:line="240" w:lineRule="auto"/>
        <w:ind w:right="-2"/>
        <w:jc w:val="both"/>
        <w:rPr>
          <w:rFonts w:ascii="Arial" w:hAnsi="Arial" w:cs="Arial"/>
        </w:rPr>
      </w:pPr>
      <w:bookmarkStart w:id="0" w:name="_GoBack"/>
      <w:bookmarkEnd w:id="0"/>
    </w:p>
    <w:p w14:paraId="5816C29D" w14:textId="56E3EB6D" w:rsidR="00AD2CF9" w:rsidRPr="00F15AFE" w:rsidRDefault="00AD2CF9" w:rsidP="00AD2CF9">
      <w:pPr>
        <w:pStyle w:val="NormalWeb"/>
        <w:shd w:val="clear" w:color="auto" w:fill="FFFFFF"/>
        <w:jc w:val="both"/>
        <w:rPr>
          <w:rFonts w:ascii="Arial" w:hAnsi="Arial" w:cs="Arial"/>
          <w:color w:val="000000"/>
          <w:sz w:val="22"/>
          <w:szCs w:val="22"/>
        </w:rPr>
      </w:pPr>
      <w:r w:rsidRPr="00A157AD">
        <w:rPr>
          <w:rFonts w:ascii="Arial" w:hAnsi="Arial" w:cs="Arial"/>
          <w:color w:val="000000"/>
          <w:sz w:val="22"/>
          <w:szCs w:val="22"/>
        </w:rPr>
        <w:t xml:space="preserve">El </w:t>
      </w:r>
      <w:r>
        <w:rPr>
          <w:rFonts w:ascii="Arial" w:hAnsi="Arial" w:cs="Arial"/>
          <w:color w:val="000000"/>
          <w:sz w:val="22"/>
          <w:szCs w:val="22"/>
        </w:rPr>
        <w:t>23 de septiembre de 2024 se registra de entrada en el esta Intervención General la consulta de</w:t>
      </w:r>
      <w:r w:rsidRPr="00A157AD">
        <w:rPr>
          <w:rFonts w:ascii="Arial" w:hAnsi="Arial" w:cs="Arial"/>
          <w:color w:val="000000"/>
          <w:sz w:val="22"/>
          <w:szCs w:val="22"/>
        </w:rPr>
        <w:t xml:space="preserve"> la Directora General </w:t>
      </w:r>
      <w:r>
        <w:rPr>
          <w:rFonts w:ascii="Arial" w:hAnsi="Arial" w:cs="Arial"/>
          <w:color w:val="000000"/>
          <w:sz w:val="22"/>
          <w:szCs w:val="22"/>
        </w:rPr>
        <w:t xml:space="preserve">de Formación de la Consejería de Economía Hacienda y Empleo </w:t>
      </w:r>
      <w:r w:rsidR="00391FF5">
        <w:rPr>
          <w:rFonts w:ascii="Arial" w:hAnsi="Arial" w:cs="Arial"/>
          <w:color w:val="000000"/>
          <w:sz w:val="22"/>
          <w:szCs w:val="22"/>
        </w:rPr>
        <w:t>de 20 de septiembre sobre distintos aspectos relacionados con</w:t>
      </w:r>
      <w:r>
        <w:rPr>
          <w:rFonts w:ascii="Arial" w:hAnsi="Arial" w:cs="Arial"/>
          <w:color w:val="000000"/>
          <w:sz w:val="22"/>
          <w:szCs w:val="22"/>
        </w:rPr>
        <w:t xml:space="preserve"> la aplicación del artículo 13.3 bis de la Ley 38/2003, de 17 de noviembre, General de Subvenciones</w:t>
      </w:r>
      <w:r w:rsidR="001A778C">
        <w:rPr>
          <w:rFonts w:ascii="Arial" w:hAnsi="Arial" w:cs="Arial"/>
          <w:color w:val="000000"/>
          <w:sz w:val="22"/>
          <w:szCs w:val="22"/>
        </w:rPr>
        <w:t xml:space="preserve"> (en adelante LGS)</w:t>
      </w:r>
      <w:r w:rsidRPr="00F15AFE">
        <w:rPr>
          <w:rFonts w:ascii="Arial" w:hAnsi="Arial" w:cs="Arial"/>
          <w:color w:val="000000"/>
          <w:sz w:val="22"/>
          <w:szCs w:val="22"/>
        </w:rPr>
        <w:t xml:space="preserve">. </w:t>
      </w:r>
    </w:p>
    <w:p w14:paraId="7C34D6F9" w14:textId="77777777" w:rsidR="00AD2CF9" w:rsidRDefault="00AD2CF9" w:rsidP="00AD2CF9">
      <w:pPr>
        <w:pStyle w:val="NormalWeb"/>
        <w:shd w:val="clear" w:color="auto" w:fill="FFFFFF"/>
        <w:jc w:val="both"/>
        <w:rPr>
          <w:rFonts w:ascii="Arial" w:hAnsi="Arial" w:cs="Arial"/>
          <w:color w:val="000000"/>
          <w:sz w:val="22"/>
          <w:szCs w:val="22"/>
        </w:rPr>
      </w:pPr>
      <w:r w:rsidRPr="00A157AD">
        <w:rPr>
          <w:rFonts w:ascii="Arial" w:hAnsi="Arial" w:cs="Arial"/>
          <w:color w:val="000000"/>
          <w:sz w:val="22"/>
          <w:szCs w:val="22"/>
        </w:rPr>
        <w:t xml:space="preserve">La Instrucción de 28 de marzo de 2.006 de la Intervención General de la Comunidad de Madrid por la que se establece el procedimiento de elevación de las consultas y discrepancias planteadas ante la Intervención General dispone en su instrucción </w:t>
      </w:r>
      <w:r>
        <w:rPr>
          <w:rFonts w:ascii="Arial" w:hAnsi="Arial" w:cs="Arial"/>
          <w:color w:val="000000"/>
          <w:sz w:val="22"/>
          <w:szCs w:val="22"/>
        </w:rPr>
        <w:t>Tercera</w:t>
      </w:r>
      <w:r w:rsidRPr="00A157AD">
        <w:rPr>
          <w:rFonts w:ascii="Arial" w:hAnsi="Arial" w:cs="Arial"/>
          <w:color w:val="000000"/>
          <w:sz w:val="22"/>
          <w:szCs w:val="22"/>
        </w:rPr>
        <w:t xml:space="preserve"> que</w:t>
      </w:r>
      <w:r>
        <w:rPr>
          <w:rFonts w:ascii="Arial" w:hAnsi="Arial" w:cs="Arial"/>
          <w:color w:val="000000"/>
          <w:sz w:val="22"/>
          <w:szCs w:val="22"/>
        </w:rPr>
        <w:t>,</w:t>
      </w:r>
      <w:r w:rsidRPr="00A157AD">
        <w:rPr>
          <w:rFonts w:ascii="Arial" w:hAnsi="Arial" w:cs="Arial"/>
          <w:color w:val="000000"/>
          <w:sz w:val="22"/>
          <w:szCs w:val="22"/>
        </w:rPr>
        <w:t xml:space="preserve"> </w:t>
      </w:r>
      <w:r w:rsidRPr="00851B44">
        <w:rPr>
          <w:rFonts w:ascii="Arial" w:hAnsi="Arial" w:cs="Arial"/>
          <w:i/>
          <w:color w:val="000000"/>
          <w:sz w:val="22"/>
          <w:szCs w:val="22"/>
        </w:rPr>
        <w:t>“con la finalidad de que la información recibida por este Centro Directivo tenga un mismo grado de homogeneidad para su estudio y análisis, los escritos de consulta y discrepancia deberán concretar la cuestión planteada, los fundamentos legales que se consideren aplicables y la opinión o parecer sobre la cuestión formulada. Igualmente se acompañarán a la consulta o discrepancia, los antecedentes, expedientes, documentos, informes, etc., que se consideren necesarios para el estudio del asunto, porque fundamenten, sean objeto o formen parte de la consulta o discrepancia, así como cualquier otro aspecto que pueda resultar de interés en la decisión que se adopte, debiéndose especificar a estos efectos, el estado de tramitación del expediente en el marco del procedimiento administrativo. En todo caso, los expedientes relativos a los escritos de consulta y discrepancia se remitirán a este Centro Directivo completos, acompañados de la documentación oportuna en original o fotocopia compulsada”</w:t>
      </w:r>
      <w:r>
        <w:rPr>
          <w:rFonts w:ascii="Arial" w:hAnsi="Arial" w:cs="Arial"/>
          <w:color w:val="000000"/>
          <w:sz w:val="22"/>
          <w:szCs w:val="22"/>
        </w:rPr>
        <w:t xml:space="preserve">. </w:t>
      </w:r>
    </w:p>
    <w:p w14:paraId="12281BC6" w14:textId="77777777" w:rsidR="006A456F" w:rsidRDefault="006A456F" w:rsidP="006A456F">
      <w:pPr>
        <w:pStyle w:val="NormalWeb"/>
        <w:shd w:val="clear" w:color="auto" w:fill="FFFFFF"/>
        <w:jc w:val="both"/>
        <w:rPr>
          <w:rFonts w:ascii="Arial" w:hAnsi="Arial" w:cs="Arial"/>
          <w:color w:val="000000"/>
          <w:sz w:val="22"/>
          <w:szCs w:val="22"/>
        </w:rPr>
      </w:pPr>
      <w:r>
        <w:rPr>
          <w:rFonts w:ascii="Arial" w:hAnsi="Arial" w:cs="Arial"/>
          <w:color w:val="000000"/>
          <w:sz w:val="22"/>
          <w:szCs w:val="22"/>
        </w:rPr>
        <w:t xml:space="preserve">Así mismo, la Instrucción Cuarta dispone que las consultas </w:t>
      </w:r>
      <w:r w:rsidRPr="00A157AD">
        <w:rPr>
          <w:rFonts w:ascii="Arial" w:hAnsi="Arial" w:cs="Arial"/>
          <w:color w:val="000000"/>
          <w:sz w:val="22"/>
          <w:szCs w:val="22"/>
        </w:rPr>
        <w:t>se elevarán a la Intervención General a través de las correspondientes Intervenciones Delegadas</w:t>
      </w:r>
      <w:r>
        <w:rPr>
          <w:rFonts w:ascii="Arial" w:hAnsi="Arial" w:cs="Arial"/>
          <w:color w:val="000000"/>
          <w:sz w:val="22"/>
          <w:szCs w:val="22"/>
        </w:rPr>
        <w:t>.</w:t>
      </w:r>
    </w:p>
    <w:p w14:paraId="27BE4496" w14:textId="0BF9F0E4" w:rsidR="006A456F" w:rsidRDefault="00AD2CF9" w:rsidP="006A456F">
      <w:pPr>
        <w:pStyle w:val="NormalWeb"/>
        <w:shd w:val="clear" w:color="auto" w:fill="FFFFFF"/>
        <w:jc w:val="both"/>
        <w:rPr>
          <w:rFonts w:ascii="Arial" w:hAnsi="Arial" w:cs="Arial"/>
          <w:color w:val="000000"/>
          <w:sz w:val="22"/>
          <w:szCs w:val="22"/>
        </w:rPr>
      </w:pPr>
      <w:r>
        <w:rPr>
          <w:rFonts w:ascii="Arial" w:hAnsi="Arial" w:cs="Arial"/>
          <w:color w:val="000000"/>
          <w:sz w:val="22"/>
          <w:szCs w:val="22"/>
        </w:rPr>
        <w:t>La consulta recibida, sin embargo, no recoge la opinión o parecer de la Dirección General sobre todas las cuestiones formulada</w:t>
      </w:r>
      <w:r w:rsidR="006A456F">
        <w:rPr>
          <w:rFonts w:ascii="Arial" w:hAnsi="Arial" w:cs="Arial"/>
          <w:color w:val="000000"/>
          <w:sz w:val="22"/>
          <w:szCs w:val="22"/>
        </w:rPr>
        <w:t xml:space="preserve">s y no </w:t>
      </w:r>
      <w:r w:rsidR="006A456F" w:rsidRPr="00A157AD">
        <w:rPr>
          <w:rFonts w:ascii="Arial" w:hAnsi="Arial" w:cs="Arial"/>
          <w:color w:val="000000"/>
          <w:sz w:val="22"/>
          <w:szCs w:val="22"/>
        </w:rPr>
        <w:t>ha sido elevada formalmente a través de la Intervención Delegada en la Consejería de Economía, Hacienda y Emple</w:t>
      </w:r>
      <w:r w:rsidR="006A456F">
        <w:rPr>
          <w:rFonts w:ascii="Arial" w:hAnsi="Arial" w:cs="Arial"/>
          <w:color w:val="000000"/>
          <w:sz w:val="22"/>
          <w:szCs w:val="22"/>
        </w:rPr>
        <w:t xml:space="preserve">o. No obstante, </w:t>
      </w:r>
      <w:r>
        <w:rPr>
          <w:rFonts w:ascii="Arial" w:hAnsi="Arial" w:cs="Arial"/>
          <w:color w:val="000000"/>
          <w:sz w:val="22"/>
          <w:szCs w:val="22"/>
        </w:rPr>
        <w:t xml:space="preserve">en atención a la urgencia de la respuesta, </w:t>
      </w:r>
      <w:r w:rsidR="006A456F">
        <w:rPr>
          <w:rFonts w:ascii="Arial" w:hAnsi="Arial" w:cs="Arial"/>
          <w:color w:val="000000"/>
          <w:sz w:val="22"/>
          <w:szCs w:val="22"/>
        </w:rPr>
        <w:t>procede realizar las siguientes</w:t>
      </w:r>
    </w:p>
    <w:p w14:paraId="0E9B2130" w14:textId="77777777" w:rsidR="00E619E6" w:rsidRPr="00A157AD" w:rsidRDefault="00E619E6" w:rsidP="006A456F">
      <w:pPr>
        <w:pStyle w:val="NormalWeb"/>
        <w:shd w:val="clear" w:color="auto" w:fill="FFFFFF"/>
        <w:jc w:val="both"/>
        <w:rPr>
          <w:rFonts w:ascii="Arial" w:hAnsi="Arial" w:cs="Arial"/>
          <w:color w:val="000000"/>
          <w:sz w:val="22"/>
          <w:szCs w:val="22"/>
        </w:rPr>
      </w:pPr>
    </w:p>
    <w:p w14:paraId="4959F72C" w14:textId="1DFAE672" w:rsidR="001A778C" w:rsidRDefault="006A456F" w:rsidP="00AD00F6">
      <w:pPr>
        <w:pStyle w:val="NormalWeb"/>
        <w:shd w:val="clear" w:color="auto" w:fill="FFFFFF"/>
        <w:ind w:left="708"/>
        <w:jc w:val="center"/>
        <w:rPr>
          <w:rFonts w:ascii="Arial" w:hAnsi="Arial" w:cs="Arial"/>
          <w:b/>
          <w:color w:val="000000"/>
          <w:sz w:val="22"/>
          <w:szCs w:val="22"/>
        </w:rPr>
      </w:pPr>
      <w:r w:rsidRPr="00A157AD">
        <w:rPr>
          <w:rFonts w:ascii="Arial" w:hAnsi="Arial" w:cs="Arial"/>
          <w:b/>
          <w:color w:val="000000"/>
          <w:sz w:val="22"/>
          <w:szCs w:val="22"/>
        </w:rPr>
        <w:t>CONSIDERACIONES</w:t>
      </w:r>
    </w:p>
    <w:p w14:paraId="3D675D56" w14:textId="7C5F909C" w:rsidR="00C519D9" w:rsidRPr="00AD00F6" w:rsidRDefault="00C519D9" w:rsidP="00AD00F6">
      <w:pPr>
        <w:pStyle w:val="NormalWeb"/>
        <w:shd w:val="clear" w:color="auto" w:fill="FFFFFF"/>
        <w:ind w:left="708"/>
        <w:jc w:val="center"/>
        <w:rPr>
          <w:rFonts w:ascii="Arial" w:hAnsi="Arial" w:cs="Arial"/>
          <w:b/>
          <w:color w:val="000000"/>
          <w:sz w:val="22"/>
          <w:szCs w:val="22"/>
        </w:rPr>
      </w:pPr>
      <w:r>
        <w:rPr>
          <w:rFonts w:ascii="Arial" w:hAnsi="Arial" w:cs="Arial"/>
          <w:b/>
          <w:color w:val="000000"/>
          <w:sz w:val="22"/>
          <w:szCs w:val="22"/>
        </w:rPr>
        <w:t>I</w:t>
      </w:r>
    </w:p>
    <w:p w14:paraId="1B6C342B" w14:textId="77777777" w:rsidR="00321E6F" w:rsidRPr="00704648" w:rsidRDefault="001A778C" w:rsidP="00704648">
      <w:pPr>
        <w:pStyle w:val="NormalWeb"/>
        <w:shd w:val="clear" w:color="auto" w:fill="FFFFFF"/>
        <w:jc w:val="both"/>
        <w:rPr>
          <w:rFonts w:ascii="Arial" w:hAnsi="Arial" w:cs="Arial"/>
          <w:color w:val="000000"/>
          <w:sz w:val="22"/>
          <w:szCs w:val="22"/>
        </w:rPr>
      </w:pPr>
      <w:r w:rsidRPr="00704648">
        <w:rPr>
          <w:rFonts w:ascii="Arial" w:hAnsi="Arial" w:cs="Arial"/>
          <w:color w:val="000000"/>
          <w:sz w:val="22"/>
          <w:szCs w:val="22"/>
        </w:rPr>
        <w:t xml:space="preserve">La Dirección General consulta si determinados </w:t>
      </w:r>
      <w:r w:rsidR="007918F6">
        <w:rPr>
          <w:rFonts w:ascii="Arial" w:hAnsi="Arial" w:cs="Arial"/>
          <w:color w:val="000000"/>
          <w:sz w:val="22"/>
          <w:szCs w:val="22"/>
        </w:rPr>
        <w:t>“</w:t>
      </w:r>
      <w:r w:rsidRPr="00704648">
        <w:rPr>
          <w:rFonts w:ascii="Arial" w:hAnsi="Arial" w:cs="Arial"/>
          <w:color w:val="000000"/>
          <w:sz w:val="22"/>
          <w:szCs w:val="22"/>
        </w:rPr>
        <w:t>entes públicos que se rigen por el derecho privado</w:t>
      </w:r>
      <w:r w:rsidR="007918F6">
        <w:rPr>
          <w:rFonts w:ascii="Arial" w:hAnsi="Arial" w:cs="Arial"/>
          <w:color w:val="000000"/>
          <w:sz w:val="22"/>
          <w:szCs w:val="22"/>
        </w:rPr>
        <w:t>”</w:t>
      </w:r>
      <w:r w:rsidRPr="00704648">
        <w:rPr>
          <w:rFonts w:ascii="Arial" w:hAnsi="Arial" w:cs="Arial"/>
          <w:color w:val="000000"/>
          <w:sz w:val="22"/>
          <w:szCs w:val="22"/>
        </w:rPr>
        <w:t xml:space="preserve"> </w:t>
      </w:r>
      <w:r w:rsidR="00704648">
        <w:rPr>
          <w:rFonts w:ascii="Arial" w:hAnsi="Arial" w:cs="Arial"/>
          <w:color w:val="000000"/>
          <w:sz w:val="22"/>
          <w:szCs w:val="22"/>
        </w:rPr>
        <w:t>se incluirían</w:t>
      </w:r>
      <w:r w:rsidRPr="00704648">
        <w:rPr>
          <w:rFonts w:ascii="Arial" w:hAnsi="Arial" w:cs="Arial"/>
          <w:color w:val="000000"/>
          <w:sz w:val="22"/>
          <w:szCs w:val="22"/>
        </w:rPr>
        <w:t xml:space="preserve"> dentro del ámbito de aplicación del 13.3.bis de la LGS.</w:t>
      </w:r>
    </w:p>
    <w:p w14:paraId="211A1FA7" w14:textId="77777777" w:rsidR="001A778C" w:rsidRPr="00704648" w:rsidRDefault="001A778C" w:rsidP="00704648">
      <w:pPr>
        <w:pStyle w:val="NormalWeb"/>
        <w:shd w:val="clear" w:color="auto" w:fill="FFFFFF"/>
        <w:jc w:val="both"/>
        <w:rPr>
          <w:rFonts w:ascii="Arial" w:hAnsi="Arial" w:cs="Arial"/>
          <w:color w:val="000000"/>
          <w:sz w:val="22"/>
          <w:szCs w:val="22"/>
        </w:rPr>
      </w:pPr>
      <w:r w:rsidRPr="00704648">
        <w:rPr>
          <w:rFonts w:ascii="Arial" w:hAnsi="Arial" w:cs="Arial"/>
          <w:color w:val="000000"/>
          <w:sz w:val="22"/>
          <w:szCs w:val="22"/>
        </w:rPr>
        <w:t xml:space="preserve">El tenor literal del artículo 13.3.bis establece </w:t>
      </w:r>
      <w:r w:rsidRPr="00704648">
        <w:rPr>
          <w:rFonts w:ascii="Arial" w:hAnsi="Arial" w:cs="Arial"/>
          <w:i/>
          <w:color w:val="000000"/>
          <w:sz w:val="22"/>
          <w:szCs w:val="22"/>
        </w:rPr>
        <w:t xml:space="preserve">“Para subvenciones de importe superior a 30.000 euros, las personas físicas y jurídicas, distintas de las </w:t>
      </w:r>
      <w:r w:rsidRPr="00704648">
        <w:rPr>
          <w:rFonts w:ascii="Arial" w:hAnsi="Arial" w:cs="Arial"/>
          <w:b/>
          <w:i/>
          <w:color w:val="000000"/>
          <w:sz w:val="22"/>
          <w:szCs w:val="22"/>
        </w:rPr>
        <w:t xml:space="preserve">entidades de derecho público </w:t>
      </w:r>
      <w:r w:rsidRPr="00704648">
        <w:rPr>
          <w:rFonts w:ascii="Arial" w:hAnsi="Arial" w:cs="Arial"/>
          <w:color w:val="000000"/>
          <w:sz w:val="22"/>
          <w:szCs w:val="22"/>
        </w:rPr>
        <w:t>(</w:t>
      </w:r>
      <w:r w:rsidR="00704648">
        <w:rPr>
          <w:rFonts w:ascii="Arial" w:hAnsi="Arial" w:cs="Arial"/>
          <w:color w:val="000000"/>
          <w:sz w:val="22"/>
          <w:szCs w:val="22"/>
        </w:rPr>
        <w:t>la negrita es nuestra</w:t>
      </w:r>
      <w:r w:rsidRPr="00704648">
        <w:rPr>
          <w:rFonts w:ascii="Arial" w:hAnsi="Arial" w:cs="Arial"/>
          <w:color w:val="000000"/>
          <w:sz w:val="22"/>
          <w:szCs w:val="22"/>
        </w:rPr>
        <w:t>),</w:t>
      </w:r>
      <w:r w:rsidRPr="00704648">
        <w:rPr>
          <w:rFonts w:ascii="Arial" w:hAnsi="Arial" w:cs="Arial"/>
          <w:i/>
          <w:color w:val="000000"/>
          <w:sz w:val="22"/>
          <w:szCs w:val="22"/>
        </w:rPr>
        <w:t xml:space="preserve"> con ánimo de lucro sujetas a la Ley 3/2004, de 29 de diciembre, por la que se establecen medidas de lucha contra la morosidad en las </w:t>
      </w:r>
      <w:r w:rsidRPr="00704648">
        <w:rPr>
          <w:rFonts w:ascii="Arial" w:hAnsi="Arial" w:cs="Arial"/>
          <w:i/>
          <w:color w:val="000000"/>
          <w:sz w:val="22"/>
          <w:szCs w:val="22"/>
        </w:rPr>
        <w:lastRenderedPageBreak/>
        <w:t>operaciones comerciales, deberán acreditar cumplir, en los términos dispuestos en este apartado, los plazos de pago que se establecen en la citada Ley para obtener la condición de beneficiario o entidad colaboradora.”</w:t>
      </w:r>
    </w:p>
    <w:p w14:paraId="023D0ED5" w14:textId="6131BFF2" w:rsidR="007216AF" w:rsidRPr="00704648" w:rsidRDefault="001A778C" w:rsidP="00704648">
      <w:pPr>
        <w:pStyle w:val="NormalWeb"/>
        <w:shd w:val="clear" w:color="auto" w:fill="FFFFFF"/>
        <w:jc w:val="both"/>
        <w:rPr>
          <w:rFonts w:ascii="Arial" w:hAnsi="Arial" w:cs="Arial"/>
          <w:color w:val="000000"/>
          <w:sz w:val="22"/>
          <w:szCs w:val="22"/>
        </w:rPr>
      </w:pPr>
      <w:r w:rsidRPr="00704648">
        <w:rPr>
          <w:rFonts w:ascii="Arial" w:hAnsi="Arial" w:cs="Arial"/>
          <w:bCs/>
          <w:color w:val="000000"/>
          <w:sz w:val="22"/>
          <w:szCs w:val="22"/>
        </w:rPr>
        <w:t>Son entes</w:t>
      </w:r>
      <w:r w:rsidRPr="00E619E6">
        <w:rPr>
          <w:rFonts w:ascii="Arial" w:hAnsi="Arial" w:cs="Arial"/>
          <w:bCs/>
          <w:sz w:val="22"/>
          <w:szCs w:val="22"/>
        </w:rPr>
        <w:t xml:space="preserve"> </w:t>
      </w:r>
      <w:r w:rsidR="00E30111" w:rsidRPr="00E619E6">
        <w:rPr>
          <w:rFonts w:ascii="Arial" w:hAnsi="Arial" w:cs="Arial"/>
          <w:bCs/>
          <w:sz w:val="22"/>
          <w:szCs w:val="22"/>
        </w:rPr>
        <w:t>de</w:t>
      </w:r>
      <w:r w:rsidR="00E619E6">
        <w:rPr>
          <w:rFonts w:ascii="Arial" w:hAnsi="Arial" w:cs="Arial"/>
          <w:bCs/>
          <w:sz w:val="22"/>
          <w:szCs w:val="22"/>
        </w:rPr>
        <w:t xml:space="preserve"> </w:t>
      </w:r>
      <w:r w:rsidRPr="00704648">
        <w:rPr>
          <w:rFonts w:ascii="Arial" w:hAnsi="Arial" w:cs="Arial"/>
          <w:bCs/>
          <w:color w:val="000000"/>
          <w:sz w:val="22"/>
          <w:szCs w:val="22"/>
        </w:rPr>
        <w:t xml:space="preserve">Derecho privado aquellos que se constituyen </w:t>
      </w:r>
      <w:r w:rsidR="007216AF" w:rsidRPr="00704648">
        <w:rPr>
          <w:rFonts w:ascii="Arial" w:hAnsi="Arial" w:cs="Arial"/>
          <w:bCs/>
          <w:color w:val="000000"/>
          <w:sz w:val="22"/>
          <w:szCs w:val="22"/>
        </w:rPr>
        <w:t>conforme a marcos</w:t>
      </w:r>
      <w:r w:rsidRPr="00704648">
        <w:rPr>
          <w:rFonts w:ascii="Arial" w:hAnsi="Arial" w:cs="Arial"/>
          <w:bCs/>
          <w:color w:val="000000"/>
          <w:sz w:val="22"/>
          <w:szCs w:val="22"/>
        </w:rPr>
        <w:t xml:space="preserve"> normativos que pueden utilizar todos los sujetos</w:t>
      </w:r>
      <w:r w:rsidR="007216AF" w:rsidRPr="00704648">
        <w:rPr>
          <w:rFonts w:ascii="Arial" w:hAnsi="Arial" w:cs="Arial"/>
          <w:color w:val="000000"/>
          <w:sz w:val="22"/>
          <w:szCs w:val="22"/>
        </w:rPr>
        <w:t>,</w:t>
      </w:r>
      <w:r w:rsidRPr="00704648">
        <w:rPr>
          <w:rFonts w:ascii="Arial" w:hAnsi="Arial" w:cs="Arial"/>
          <w:color w:val="000000"/>
          <w:sz w:val="22"/>
          <w:szCs w:val="22"/>
        </w:rPr>
        <w:t xml:space="preserve"> no sól</w:t>
      </w:r>
      <w:r w:rsidR="00704648" w:rsidRPr="00704648">
        <w:rPr>
          <w:rFonts w:ascii="Arial" w:hAnsi="Arial" w:cs="Arial"/>
          <w:color w:val="000000"/>
          <w:sz w:val="22"/>
          <w:szCs w:val="22"/>
        </w:rPr>
        <w:t>o las Administraciones Públicas</w:t>
      </w:r>
      <w:r w:rsidRPr="00704648">
        <w:rPr>
          <w:rFonts w:ascii="Arial" w:hAnsi="Arial" w:cs="Arial"/>
          <w:color w:val="000000"/>
          <w:sz w:val="22"/>
          <w:szCs w:val="22"/>
        </w:rPr>
        <w:t>, como ocurre con las sociedades mercantiles</w:t>
      </w:r>
      <w:r w:rsidR="007216AF" w:rsidRPr="00704648">
        <w:rPr>
          <w:rFonts w:ascii="Arial" w:hAnsi="Arial" w:cs="Arial"/>
          <w:color w:val="000000"/>
          <w:sz w:val="22"/>
          <w:szCs w:val="22"/>
        </w:rPr>
        <w:t xml:space="preserve"> o las fundaciones</w:t>
      </w:r>
      <w:r w:rsidRPr="00704648">
        <w:rPr>
          <w:rFonts w:ascii="Arial" w:hAnsi="Arial" w:cs="Arial"/>
          <w:color w:val="000000"/>
          <w:sz w:val="22"/>
          <w:szCs w:val="22"/>
        </w:rPr>
        <w:t>. </w:t>
      </w:r>
      <w:r w:rsidR="007216AF" w:rsidRPr="00704648">
        <w:rPr>
          <w:rFonts w:ascii="Arial" w:hAnsi="Arial" w:cs="Arial"/>
          <w:color w:val="000000"/>
          <w:sz w:val="22"/>
          <w:szCs w:val="22"/>
        </w:rPr>
        <w:t xml:space="preserve">Por el contrario, son entes de Derecho público todos aquellos que sólo pueden ser creados por otros entes públicos (por ejemplo, los consorcios o las mancomunidades) o que sólo pueden ser creados por Ley y quedan adscritos a una Administración Pública o a un ente de Derecho público (por ejemplo, los organismos autónomos o las entidades públicas empresariales). </w:t>
      </w:r>
    </w:p>
    <w:p w14:paraId="7B6EA797" w14:textId="77777777" w:rsidR="0002269F" w:rsidRPr="00704648" w:rsidRDefault="007216AF" w:rsidP="00704648">
      <w:pPr>
        <w:pStyle w:val="NormalWeb"/>
        <w:shd w:val="clear" w:color="auto" w:fill="FFFFFF"/>
        <w:jc w:val="both"/>
        <w:rPr>
          <w:rFonts w:ascii="Arial" w:hAnsi="Arial" w:cs="Arial"/>
          <w:color w:val="000000"/>
          <w:sz w:val="22"/>
          <w:szCs w:val="22"/>
        </w:rPr>
      </w:pPr>
      <w:r w:rsidRPr="00704648">
        <w:rPr>
          <w:rFonts w:ascii="Arial" w:hAnsi="Arial" w:cs="Arial"/>
          <w:color w:val="000000"/>
          <w:sz w:val="22"/>
          <w:szCs w:val="22"/>
        </w:rPr>
        <w:t>Por lo tanto, e</w:t>
      </w:r>
      <w:r w:rsidR="0002269F" w:rsidRPr="00704648">
        <w:rPr>
          <w:rFonts w:ascii="Arial" w:hAnsi="Arial" w:cs="Arial"/>
          <w:color w:val="000000"/>
          <w:sz w:val="22"/>
          <w:szCs w:val="22"/>
        </w:rPr>
        <w:t xml:space="preserve">l régimen jurídico de </w:t>
      </w:r>
      <w:r w:rsidR="00D827F2">
        <w:rPr>
          <w:rFonts w:ascii="Arial" w:hAnsi="Arial" w:cs="Arial"/>
          <w:color w:val="000000"/>
          <w:sz w:val="22"/>
          <w:szCs w:val="22"/>
        </w:rPr>
        <w:t>los</w:t>
      </w:r>
      <w:r w:rsidR="0002269F" w:rsidRPr="00704648">
        <w:rPr>
          <w:rFonts w:ascii="Arial" w:hAnsi="Arial" w:cs="Arial"/>
          <w:color w:val="000000"/>
          <w:sz w:val="22"/>
          <w:szCs w:val="22"/>
        </w:rPr>
        <w:t xml:space="preserve"> sujetos </w:t>
      </w:r>
      <w:r w:rsidR="00D827F2">
        <w:rPr>
          <w:rFonts w:ascii="Arial" w:hAnsi="Arial" w:cs="Arial"/>
          <w:color w:val="000000"/>
          <w:sz w:val="22"/>
          <w:szCs w:val="22"/>
        </w:rPr>
        <w:t xml:space="preserve">de Derecho Público </w:t>
      </w:r>
      <w:r w:rsidR="0002269F" w:rsidRPr="00704648">
        <w:rPr>
          <w:rFonts w:ascii="Arial" w:hAnsi="Arial" w:cs="Arial"/>
          <w:color w:val="000000"/>
          <w:sz w:val="22"/>
          <w:szCs w:val="22"/>
        </w:rPr>
        <w:t xml:space="preserve">depende de lo que </w:t>
      </w:r>
      <w:r w:rsidRPr="00704648">
        <w:rPr>
          <w:rFonts w:ascii="Arial" w:hAnsi="Arial" w:cs="Arial"/>
          <w:color w:val="000000"/>
          <w:sz w:val="22"/>
          <w:szCs w:val="22"/>
        </w:rPr>
        <w:t>indique</w:t>
      </w:r>
      <w:r w:rsidR="0002269F" w:rsidRPr="00704648">
        <w:rPr>
          <w:rFonts w:ascii="Arial" w:hAnsi="Arial" w:cs="Arial"/>
          <w:color w:val="000000"/>
          <w:sz w:val="22"/>
          <w:szCs w:val="22"/>
        </w:rPr>
        <w:t xml:space="preserve"> la Ley</w:t>
      </w:r>
      <w:r w:rsidRPr="00704648">
        <w:rPr>
          <w:rFonts w:ascii="Arial" w:hAnsi="Arial" w:cs="Arial"/>
          <w:color w:val="000000"/>
          <w:sz w:val="22"/>
          <w:szCs w:val="22"/>
        </w:rPr>
        <w:t xml:space="preserve"> o norma de creación, aunque es una nota común que se rijan</w:t>
      </w:r>
      <w:r w:rsidR="0002269F" w:rsidRPr="00704648">
        <w:rPr>
          <w:rFonts w:ascii="Arial" w:hAnsi="Arial" w:cs="Arial"/>
          <w:color w:val="000000"/>
          <w:sz w:val="22"/>
          <w:szCs w:val="22"/>
        </w:rPr>
        <w:t xml:space="preserve"> por el Derecho administrativo</w:t>
      </w:r>
      <w:r w:rsidRPr="00704648">
        <w:rPr>
          <w:rFonts w:ascii="Arial" w:hAnsi="Arial" w:cs="Arial"/>
          <w:color w:val="000000"/>
          <w:sz w:val="22"/>
          <w:szCs w:val="22"/>
        </w:rPr>
        <w:t xml:space="preserve"> </w:t>
      </w:r>
      <w:r w:rsidR="0002269F" w:rsidRPr="00704648">
        <w:rPr>
          <w:rFonts w:ascii="Arial" w:hAnsi="Arial" w:cs="Arial"/>
          <w:color w:val="000000"/>
          <w:sz w:val="22"/>
          <w:szCs w:val="22"/>
        </w:rPr>
        <w:t>en lo relativo a su organización interna y, en particular, la formación de voluntad de sus órganos</w:t>
      </w:r>
      <w:r w:rsidRPr="00704648">
        <w:rPr>
          <w:rFonts w:ascii="Arial" w:hAnsi="Arial" w:cs="Arial"/>
          <w:color w:val="000000"/>
          <w:sz w:val="22"/>
          <w:szCs w:val="22"/>
        </w:rPr>
        <w:t>, y el ejercicio</w:t>
      </w:r>
      <w:r w:rsidR="0002269F" w:rsidRPr="00704648">
        <w:rPr>
          <w:rFonts w:ascii="Arial" w:hAnsi="Arial" w:cs="Arial"/>
          <w:color w:val="000000"/>
          <w:sz w:val="22"/>
          <w:szCs w:val="22"/>
        </w:rPr>
        <w:t xml:space="preserve"> de potestades administrativas o de poder público</w:t>
      </w:r>
      <w:r w:rsidRPr="00704648">
        <w:rPr>
          <w:rFonts w:ascii="Arial" w:hAnsi="Arial" w:cs="Arial"/>
          <w:color w:val="000000"/>
          <w:sz w:val="22"/>
          <w:szCs w:val="22"/>
        </w:rPr>
        <w:t>. E</w:t>
      </w:r>
      <w:r w:rsidR="0002269F" w:rsidRPr="00704648">
        <w:rPr>
          <w:rFonts w:ascii="Arial" w:hAnsi="Arial" w:cs="Arial"/>
          <w:color w:val="000000"/>
          <w:sz w:val="22"/>
          <w:szCs w:val="22"/>
        </w:rPr>
        <w:t xml:space="preserve">ste hecho no impide que se puedan regir por </w:t>
      </w:r>
      <w:r w:rsidR="007F3281">
        <w:rPr>
          <w:rFonts w:ascii="Arial" w:hAnsi="Arial" w:cs="Arial"/>
          <w:color w:val="000000"/>
          <w:sz w:val="22"/>
          <w:szCs w:val="22"/>
        </w:rPr>
        <w:t>D</w:t>
      </w:r>
      <w:r w:rsidR="0002269F" w:rsidRPr="00704648">
        <w:rPr>
          <w:rFonts w:ascii="Arial" w:hAnsi="Arial" w:cs="Arial"/>
          <w:color w:val="000000"/>
          <w:sz w:val="22"/>
          <w:szCs w:val="22"/>
        </w:rPr>
        <w:t xml:space="preserve">erecho </w:t>
      </w:r>
      <w:r w:rsidR="007D7338">
        <w:rPr>
          <w:rFonts w:ascii="Arial" w:hAnsi="Arial" w:cs="Arial"/>
          <w:color w:val="000000"/>
          <w:sz w:val="22"/>
          <w:szCs w:val="22"/>
        </w:rPr>
        <w:t>p</w:t>
      </w:r>
      <w:r w:rsidR="0002269F" w:rsidRPr="00704648">
        <w:rPr>
          <w:rFonts w:ascii="Arial" w:hAnsi="Arial" w:cs="Arial"/>
          <w:color w:val="000000"/>
          <w:sz w:val="22"/>
          <w:szCs w:val="22"/>
        </w:rPr>
        <w:t>rivado en determinadas relaciones con terceros</w:t>
      </w:r>
      <w:r w:rsidRPr="00704648">
        <w:rPr>
          <w:rFonts w:ascii="Arial" w:hAnsi="Arial" w:cs="Arial"/>
          <w:color w:val="000000"/>
          <w:sz w:val="22"/>
          <w:szCs w:val="22"/>
        </w:rPr>
        <w:t>.</w:t>
      </w:r>
    </w:p>
    <w:p w14:paraId="5F203E1F" w14:textId="77777777" w:rsidR="00C02B09" w:rsidRPr="00E619E6" w:rsidRDefault="007918F6" w:rsidP="00704648">
      <w:pPr>
        <w:pStyle w:val="Default"/>
        <w:jc w:val="both"/>
        <w:rPr>
          <w:rFonts w:eastAsia="Times New Roman"/>
          <w:color w:val="auto"/>
          <w:sz w:val="22"/>
          <w:szCs w:val="22"/>
          <w:lang w:eastAsia="es-ES"/>
        </w:rPr>
      </w:pPr>
      <w:r>
        <w:rPr>
          <w:rFonts w:eastAsia="Times New Roman"/>
          <w:sz w:val="22"/>
          <w:szCs w:val="22"/>
          <w:lang w:eastAsia="es-ES"/>
        </w:rPr>
        <w:t xml:space="preserve">Los </w:t>
      </w:r>
      <w:r w:rsidR="0069338B">
        <w:rPr>
          <w:rFonts w:eastAsia="Times New Roman"/>
          <w:sz w:val="22"/>
          <w:szCs w:val="22"/>
          <w:lang w:eastAsia="es-ES"/>
        </w:rPr>
        <w:t>entes de D</w:t>
      </w:r>
      <w:r>
        <w:rPr>
          <w:rFonts w:eastAsia="Times New Roman"/>
          <w:sz w:val="22"/>
          <w:szCs w:val="22"/>
          <w:lang w:eastAsia="es-ES"/>
        </w:rPr>
        <w:t xml:space="preserve">erecho público pertenecen siempre al sector público. </w:t>
      </w:r>
      <w:r w:rsidR="007C13C3">
        <w:rPr>
          <w:rFonts w:eastAsia="Times New Roman"/>
          <w:sz w:val="22"/>
          <w:szCs w:val="22"/>
          <w:lang w:eastAsia="es-ES"/>
        </w:rPr>
        <w:t>Sin embargo, l</w:t>
      </w:r>
      <w:r>
        <w:rPr>
          <w:rFonts w:eastAsia="Times New Roman"/>
          <w:sz w:val="22"/>
          <w:szCs w:val="22"/>
          <w:lang w:eastAsia="es-ES"/>
        </w:rPr>
        <w:t>o</w:t>
      </w:r>
      <w:r w:rsidR="004A4604">
        <w:rPr>
          <w:rFonts w:eastAsia="Times New Roman"/>
          <w:sz w:val="22"/>
          <w:szCs w:val="22"/>
          <w:lang w:eastAsia="es-ES"/>
        </w:rPr>
        <w:t>s</w:t>
      </w:r>
      <w:r>
        <w:rPr>
          <w:rFonts w:eastAsia="Times New Roman"/>
          <w:sz w:val="22"/>
          <w:szCs w:val="22"/>
          <w:lang w:eastAsia="es-ES"/>
        </w:rPr>
        <w:t xml:space="preserve"> entes de derecho privado se integrarán en el sector público si</w:t>
      </w:r>
      <w:r w:rsidRPr="007D7338">
        <w:rPr>
          <w:rFonts w:eastAsia="Times New Roman"/>
          <w:sz w:val="22"/>
          <w:szCs w:val="22"/>
          <w:lang w:eastAsia="es-ES"/>
        </w:rPr>
        <w:t xml:space="preserve"> procede </w:t>
      </w:r>
      <w:r w:rsidR="007D7338" w:rsidRPr="007D7338">
        <w:rPr>
          <w:rFonts w:eastAsia="Times New Roman"/>
          <w:sz w:val="22"/>
          <w:szCs w:val="22"/>
          <w:lang w:eastAsia="es-ES"/>
        </w:rPr>
        <w:t>su integración</w:t>
      </w:r>
      <w:r w:rsidR="00B70E6C">
        <w:rPr>
          <w:rFonts w:eastAsia="Times New Roman"/>
          <w:sz w:val="22"/>
          <w:szCs w:val="22"/>
          <w:lang w:eastAsia="es-ES"/>
        </w:rPr>
        <w:t>,</w:t>
      </w:r>
      <w:r w:rsidRPr="007D7338">
        <w:rPr>
          <w:rFonts w:eastAsia="Times New Roman"/>
          <w:sz w:val="22"/>
          <w:szCs w:val="22"/>
          <w:lang w:eastAsia="es-ES"/>
        </w:rPr>
        <w:t xml:space="preserve"> una vez adoptado el criterio del </w:t>
      </w:r>
      <w:r w:rsidRPr="007D7338">
        <w:rPr>
          <w:rFonts w:eastAsia="Times New Roman"/>
          <w:bCs/>
          <w:sz w:val="22"/>
          <w:szCs w:val="22"/>
          <w:lang w:eastAsia="es-ES"/>
        </w:rPr>
        <w:t>control</w:t>
      </w:r>
      <w:r w:rsidRPr="007D7338">
        <w:rPr>
          <w:rFonts w:eastAsia="Times New Roman"/>
          <w:sz w:val="22"/>
          <w:szCs w:val="22"/>
          <w:lang w:eastAsia="es-ES"/>
        </w:rPr>
        <w:t xml:space="preserve">. En el caso de las sociedades mercantiles el criterio de control queda definido por el artículo 42 del Código de Comercio. En el caso de las fundaciones, por el conjunto de </w:t>
      </w:r>
      <w:r w:rsidR="00FF0DF8">
        <w:rPr>
          <w:rFonts w:eastAsia="Times New Roman"/>
          <w:sz w:val="22"/>
          <w:szCs w:val="22"/>
          <w:lang w:eastAsia="es-ES"/>
        </w:rPr>
        <w:t>circunstancias enumerada</w:t>
      </w:r>
      <w:r w:rsidRPr="007D7338">
        <w:rPr>
          <w:rFonts w:eastAsia="Times New Roman"/>
          <w:sz w:val="22"/>
          <w:szCs w:val="22"/>
          <w:lang w:eastAsia="es-ES"/>
        </w:rPr>
        <w:t>s en el a</w:t>
      </w:r>
      <w:r w:rsidR="00E30111">
        <w:rPr>
          <w:rFonts w:eastAsia="Times New Roman"/>
          <w:sz w:val="22"/>
          <w:szCs w:val="22"/>
          <w:lang w:eastAsia="es-ES"/>
        </w:rPr>
        <w:t xml:space="preserve">rtículo 128.1 de la Ley </w:t>
      </w:r>
      <w:r w:rsidR="00E30111" w:rsidRPr="00E619E6">
        <w:rPr>
          <w:rFonts w:eastAsia="Times New Roman"/>
          <w:color w:val="auto"/>
          <w:sz w:val="22"/>
          <w:szCs w:val="22"/>
          <w:lang w:eastAsia="es-ES"/>
        </w:rPr>
        <w:t>40/2015, de 1 de octubre, de Régimen Jurídico del Sector Público.</w:t>
      </w:r>
    </w:p>
    <w:p w14:paraId="72FC1C2D" w14:textId="77777777" w:rsidR="007918F6" w:rsidRDefault="007918F6" w:rsidP="00704648">
      <w:pPr>
        <w:pStyle w:val="Default"/>
        <w:jc w:val="both"/>
        <w:rPr>
          <w:rFonts w:eastAsia="Times New Roman"/>
          <w:sz w:val="22"/>
          <w:szCs w:val="22"/>
          <w:lang w:eastAsia="es-ES"/>
        </w:rPr>
      </w:pPr>
    </w:p>
    <w:p w14:paraId="4CD1E049" w14:textId="77777777" w:rsidR="007918F6" w:rsidRDefault="007918F6" w:rsidP="007918F6">
      <w:pPr>
        <w:pStyle w:val="Default"/>
        <w:jc w:val="both"/>
        <w:rPr>
          <w:rFonts w:eastAsia="Times New Roman"/>
          <w:sz w:val="22"/>
          <w:szCs w:val="22"/>
          <w:lang w:eastAsia="es-ES"/>
        </w:rPr>
      </w:pPr>
      <w:r w:rsidRPr="00704648">
        <w:rPr>
          <w:rFonts w:eastAsia="Times New Roman"/>
          <w:sz w:val="22"/>
          <w:szCs w:val="22"/>
          <w:lang w:eastAsia="es-ES"/>
        </w:rPr>
        <w:t xml:space="preserve">Cuando la consulta </w:t>
      </w:r>
      <w:r w:rsidR="00FF0DF8">
        <w:rPr>
          <w:rFonts w:eastAsia="Times New Roman"/>
          <w:sz w:val="22"/>
          <w:szCs w:val="22"/>
          <w:lang w:eastAsia="es-ES"/>
        </w:rPr>
        <w:t xml:space="preserve">realizada utiliza la expresión </w:t>
      </w:r>
      <w:r w:rsidRPr="0069338B">
        <w:rPr>
          <w:rFonts w:eastAsia="Times New Roman"/>
          <w:b/>
          <w:sz w:val="22"/>
          <w:szCs w:val="22"/>
          <w:lang w:eastAsia="es-ES"/>
        </w:rPr>
        <w:t>“entes públicos</w:t>
      </w:r>
      <w:r w:rsidRPr="00704648">
        <w:rPr>
          <w:rFonts w:eastAsia="Times New Roman"/>
          <w:sz w:val="22"/>
          <w:szCs w:val="22"/>
          <w:lang w:eastAsia="es-ES"/>
        </w:rPr>
        <w:t xml:space="preserve"> que se </w:t>
      </w:r>
      <w:r w:rsidR="00FF0DF8">
        <w:rPr>
          <w:rFonts w:eastAsia="Times New Roman"/>
          <w:sz w:val="22"/>
          <w:szCs w:val="22"/>
          <w:lang w:eastAsia="es-ES"/>
        </w:rPr>
        <w:t>rigen por el derecho privado” esta Intervención General</w:t>
      </w:r>
      <w:r w:rsidRPr="00704648">
        <w:rPr>
          <w:rFonts w:eastAsia="Times New Roman"/>
          <w:sz w:val="22"/>
          <w:szCs w:val="22"/>
          <w:lang w:eastAsia="es-ES"/>
        </w:rPr>
        <w:t xml:space="preserve"> entiende que se refiere a </w:t>
      </w:r>
      <w:r w:rsidRPr="0069338B">
        <w:rPr>
          <w:rFonts w:eastAsia="Times New Roman"/>
          <w:b/>
          <w:sz w:val="22"/>
          <w:szCs w:val="22"/>
          <w:lang w:eastAsia="es-ES"/>
        </w:rPr>
        <w:t>entes del sector público</w:t>
      </w:r>
      <w:r>
        <w:rPr>
          <w:rFonts w:eastAsia="Times New Roman"/>
          <w:sz w:val="22"/>
          <w:szCs w:val="22"/>
          <w:lang w:eastAsia="es-ES"/>
        </w:rPr>
        <w:t>, tanto de derecho público como de derecho privado</w:t>
      </w:r>
      <w:r w:rsidR="007F3281">
        <w:rPr>
          <w:rFonts w:eastAsia="Times New Roman"/>
          <w:sz w:val="22"/>
          <w:szCs w:val="22"/>
          <w:lang w:eastAsia="es-ES"/>
        </w:rPr>
        <w:t>, que se rigen por D</w:t>
      </w:r>
      <w:r w:rsidR="0069338B">
        <w:rPr>
          <w:rFonts w:eastAsia="Times New Roman"/>
          <w:sz w:val="22"/>
          <w:szCs w:val="22"/>
          <w:lang w:eastAsia="es-ES"/>
        </w:rPr>
        <w:t>erecho privado</w:t>
      </w:r>
      <w:r w:rsidR="007F3281">
        <w:rPr>
          <w:rFonts w:eastAsia="Times New Roman"/>
          <w:sz w:val="22"/>
          <w:szCs w:val="22"/>
          <w:lang w:eastAsia="es-ES"/>
        </w:rPr>
        <w:t>. En el caso de los entes de D</w:t>
      </w:r>
      <w:r w:rsidR="004A4604">
        <w:rPr>
          <w:rFonts w:eastAsia="Times New Roman"/>
          <w:sz w:val="22"/>
          <w:szCs w:val="22"/>
          <w:lang w:eastAsia="es-ES"/>
        </w:rPr>
        <w:t>erecho público específicamente la consulta parece referirse a los que</w:t>
      </w:r>
      <w:r w:rsidRPr="00704648">
        <w:rPr>
          <w:rFonts w:eastAsia="Times New Roman"/>
          <w:sz w:val="22"/>
          <w:szCs w:val="22"/>
          <w:lang w:eastAsia="es-ES"/>
        </w:rPr>
        <w:t xml:space="preserve"> </w:t>
      </w:r>
      <w:r w:rsidR="007D7338">
        <w:rPr>
          <w:rFonts w:eastAsia="Times New Roman"/>
          <w:sz w:val="22"/>
          <w:szCs w:val="22"/>
          <w:lang w:eastAsia="es-ES"/>
        </w:rPr>
        <w:t xml:space="preserve">se </w:t>
      </w:r>
      <w:r w:rsidRPr="00704648">
        <w:rPr>
          <w:rFonts w:eastAsia="Times New Roman"/>
          <w:sz w:val="22"/>
          <w:szCs w:val="22"/>
          <w:lang w:eastAsia="es-ES"/>
        </w:rPr>
        <w:t xml:space="preserve">rigen </w:t>
      </w:r>
      <w:r w:rsidR="007F3281">
        <w:rPr>
          <w:rFonts w:eastAsia="Times New Roman"/>
          <w:sz w:val="22"/>
          <w:szCs w:val="22"/>
          <w:lang w:eastAsia="es-ES"/>
        </w:rPr>
        <w:t>principalmente por D</w:t>
      </w:r>
      <w:r w:rsidRPr="00704648">
        <w:rPr>
          <w:rFonts w:eastAsia="Times New Roman"/>
          <w:sz w:val="22"/>
          <w:szCs w:val="22"/>
          <w:lang w:eastAsia="es-ES"/>
        </w:rPr>
        <w:t>erecho privado conforme a lo expresado en su norma de creación.</w:t>
      </w:r>
    </w:p>
    <w:p w14:paraId="2A9626C3" w14:textId="77777777" w:rsidR="004A4604" w:rsidRDefault="004A4604" w:rsidP="007918F6">
      <w:pPr>
        <w:pStyle w:val="Default"/>
        <w:jc w:val="both"/>
        <w:rPr>
          <w:rFonts w:eastAsia="Times New Roman"/>
          <w:sz w:val="22"/>
          <w:szCs w:val="22"/>
          <w:lang w:eastAsia="es-ES"/>
        </w:rPr>
      </w:pPr>
    </w:p>
    <w:p w14:paraId="5D59E34D" w14:textId="77777777" w:rsidR="004A4604" w:rsidRDefault="007D7338" w:rsidP="007918F6">
      <w:pPr>
        <w:pStyle w:val="Default"/>
        <w:jc w:val="both"/>
        <w:rPr>
          <w:rFonts w:eastAsia="Times New Roman"/>
          <w:sz w:val="22"/>
          <w:szCs w:val="22"/>
          <w:lang w:eastAsia="es-ES"/>
        </w:rPr>
      </w:pPr>
      <w:r>
        <w:rPr>
          <w:rFonts w:eastAsia="Times New Roman"/>
          <w:sz w:val="22"/>
          <w:szCs w:val="22"/>
          <w:lang w:eastAsia="es-ES"/>
        </w:rPr>
        <w:t>Teniendo en cuenta que e</w:t>
      </w:r>
      <w:r w:rsidR="00FB3B6A">
        <w:rPr>
          <w:rFonts w:eastAsia="Times New Roman"/>
          <w:sz w:val="22"/>
          <w:szCs w:val="22"/>
          <w:lang w:eastAsia="es-ES"/>
        </w:rPr>
        <w:t xml:space="preserve">l artículo citado de la LGS indica </w:t>
      </w:r>
      <w:r w:rsidR="004A4604">
        <w:rPr>
          <w:rFonts w:eastAsia="Times New Roman"/>
          <w:sz w:val="22"/>
          <w:szCs w:val="22"/>
          <w:lang w:eastAsia="es-ES"/>
        </w:rPr>
        <w:t xml:space="preserve">que </w:t>
      </w:r>
      <w:r>
        <w:rPr>
          <w:rFonts w:eastAsia="Times New Roman"/>
          <w:sz w:val="22"/>
          <w:szCs w:val="22"/>
          <w:lang w:eastAsia="es-ES"/>
        </w:rPr>
        <w:t xml:space="preserve">no </w:t>
      </w:r>
      <w:r w:rsidR="004A4604">
        <w:rPr>
          <w:rFonts w:eastAsia="Times New Roman"/>
          <w:sz w:val="22"/>
          <w:szCs w:val="22"/>
          <w:lang w:eastAsia="es-ES"/>
        </w:rPr>
        <w:t xml:space="preserve">será de aplicación </w:t>
      </w:r>
      <w:r>
        <w:rPr>
          <w:rFonts w:eastAsia="Times New Roman"/>
          <w:sz w:val="22"/>
          <w:szCs w:val="22"/>
          <w:lang w:eastAsia="es-ES"/>
        </w:rPr>
        <w:t>a</w:t>
      </w:r>
      <w:r w:rsidR="004A4604">
        <w:rPr>
          <w:rFonts w:eastAsia="Times New Roman"/>
          <w:sz w:val="22"/>
          <w:szCs w:val="22"/>
          <w:lang w:eastAsia="es-ES"/>
        </w:rPr>
        <w:t xml:space="preserve"> entidades de derecho público</w:t>
      </w:r>
      <w:r w:rsidR="0069338B">
        <w:rPr>
          <w:rFonts w:eastAsia="Times New Roman"/>
          <w:sz w:val="22"/>
          <w:szCs w:val="22"/>
          <w:lang w:eastAsia="es-ES"/>
        </w:rPr>
        <w:t>,</w:t>
      </w:r>
      <w:r>
        <w:rPr>
          <w:rFonts w:eastAsia="Times New Roman"/>
          <w:sz w:val="22"/>
          <w:szCs w:val="22"/>
          <w:lang w:eastAsia="es-ES"/>
        </w:rPr>
        <w:t xml:space="preserve"> </w:t>
      </w:r>
      <w:r w:rsidR="007C13C3">
        <w:rPr>
          <w:rFonts w:eastAsia="Times New Roman"/>
          <w:sz w:val="22"/>
          <w:szCs w:val="22"/>
          <w:lang w:eastAsia="es-ES"/>
        </w:rPr>
        <w:t xml:space="preserve">sin especificar aspectos de su </w:t>
      </w:r>
      <w:r>
        <w:rPr>
          <w:rFonts w:eastAsia="Times New Roman"/>
          <w:sz w:val="22"/>
          <w:szCs w:val="22"/>
          <w:lang w:eastAsia="es-ES"/>
        </w:rPr>
        <w:t xml:space="preserve">régimen jurídico </w:t>
      </w:r>
      <w:r w:rsidR="0069338B">
        <w:rPr>
          <w:rFonts w:eastAsia="Times New Roman"/>
          <w:sz w:val="22"/>
          <w:szCs w:val="22"/>
          <w:lang w:eastAsia="es-ES"/>
        </w:rPr>
        <w:t>recogido</w:t>
      </w:r>
      <w:r w:rsidR="007C13C3">
        <w:rPr>
          <w:rFonts w:eastAsia="Times New Roman"/>
          <w:sz w:val="22"/>
          <w:szCs w:val="22"/>
          <w:lang w:eastAsia="es-ES"/>
        </w:rPr>
        <w:t>s</w:t>
      </w:r>
      <w:r w:rsidR="0069338B">
        <w:rPr>
          <w:rFonts w:eastAsia="Times New Roman"/>
          <w:sz w:val="22"/>
          <w:szCs w:val="22"/>
          <w:lang w:eastAsia="es-ES"/>
        </w:rPr>
        <w:t xml:space="preserve"> en su norma de creación </w:t>
      </w:r>
      <w:r>
        <w:rPr>
          <w:rFonts w:eastAsia="Times New Roman"/>
          <w:sz w:val="22"/>
          <w:szCs w:val="22"/>
          <w:lang w:eastAsia="es-ES"/>
        </w:rPr>
        <w:t>(público o privado</w:t>
      </w:r>
      <w:r w:rsidR="007C13C3">
        <w:rPr>
          <w:rFonts w:eastAsia="Times New Roman"/>
          <w:sz w:val="22"/>
          <w:szCs w:val="22"/>
          <w:lang w:eastAsia="es-ES"/>
        </w:rPr>
        <w:t>)</w:t>
      </w:r>
      <w:r w:rsidR="00294209">
        <w:rPr>
          <w:rFonts w:eastAsia="Times New Roman"/>
          <w:sz w:val="22"/>
          <w:szCs w:val="22"/>
          <w:lang w:eastAsia="es-ES"/>
        </w:rPr>
        <w:t>,</w:t>
      </w:r>
      <w:r w:rsidR="007C13C3">
        <w:rPr>
          <w:rFonts w:eastAsia="Times New Roman"/>
          <w:sz w:val="22"/>
          <w:szCs w:val="22"/>
          <w:lang w:eastAsia="es-ES"/>
        </w:rPr>
        <w:t xml:space="preserve"> todos</w:t>
      </w:r>
      <w:r w:rsidR="004A57DA">
        <w:rPr>
          <w:rFonts w:eastAsia="Times New Roman"/>
          <w:sz w:val="22"/>
          <w:szCs w:val="22"/>
          <w:lang w:eastAsia="es-ES"/>
        </w:rPr>
        <w:t xml:space="preserve"> los entes de D</w:t>
      </w:r>
      <w:r>
        <w:rPr>
          <w:rFonts w:eastAsia="Times New Roman"/>
          <w:sz w:val="22"/>
          <w:szCs w:val="22"/>
          <w:lang w:eastAsia="es-ES"/>
        </w:rPr>
        <w:t>erecho público</w:t>
      </w:r>
      <w:r w:rsidR="00C82624">
        <w:rPr>
          <w:rFonts w:eastAsia="Times New Roman"/>
          <w:sz w:val="22"/>
          <w:szCs w:val="22"/>
          <w:lang w:eastAsia="es-ES"/>
        </w:rPr>
        <w:t xml:space="preserve"> </w:t>
      </w:r>
      <w:r w:rsidR="007C13C3">
        <w:rPr>
          <w:rFonts w:eastAsia="Times New Roman"/>
          <w:sz w:val="22"/>
          <w:szCs w:val="22"/>
          <w:lang w:eastAsia="es-ES"/>
        </w:rPr>
        <w:t xml:space="preserve">estarían excluidos </w:t>
      </w:r>
      <w:r w:rsidR="00FF0DF8">
        <w:rPr>
          <w:rFonts w:eastAsia="Times New Roman"/>
          <w:sz w:val="22"/>
          <w:szCs w:val="22"/>
          <w:lang w:eastAsia="es-ES"/>
        </w:rPr>
        <w:t xml:space="preserve">de la acreditación del cumplimiento de los plazos de pago </w:t>
      </w:r>
      <w:r w:rsidR="00C82624">
        <w:rPr>
          <w:rFonts w:eastAsia="Times New Roman"/>
          <w:sz w:val="22"/>
          <w:szCs w:val="22"/>
          <w:lang w:eastAsia="es-ES"/>
        </w:rPr>
        <w:t>sin excepciones.</w:t>
      </w:r>
      <w:r w:rsidR="004A4604">
        <w:rPr>
          <w:rFonts w:eastAsia="Times New Roman"/>
          <w:sz w:val="22"/>
          <w:szCs w:val="22"/>
          <w:lang w:eastAsia="es-ES"/>
        </w:rPr>
        <w:t xml:space="preserve"> </w:t>
      </w:r>
    </w:p>
    <w:p w14:paraId="5C71E05B" w14:textId="77777777" w:rsidR="004A4604" w:rsidRPr="00E619E6" w:rsidRDefault="004A4604" w:rsidP="007918F6">
      <w:pPr>
        <w:pStyle w:val="Default"/>
        <w:jc w:val="both"/>
        <w:rPr>
          <w:rFonts w:eastAsia="Times New Roman"/>
          <w:color w:val="auto"/>
          <w:sz w:val="22"/>
          <w:szCs w:val="22"/>
          <w:lang w:eastAsia="es-ES"/>
        </w:rPr>
      </w:pPr>
    </w:p>
    <w:p w14:paraId="17B8E5AB" w14:textId="2270520B" w:rsidR="004A4604" w:rsidRPr="00E619E6" w:rsidRDefault="007D7338" w:rsidP="007918F6">
      <w:pPr>
        <w:pStyle w:val="Default"/>
        <w:jc w:val="both"/>
        <w:rPr>
          <w:rFonts w:eastAsia="Times New Roman"/>
          <w:color w:val="auto"/>
          <w:sz w:val="22"/>
          <w:szCs w:val="22"/>
          <w:lang w:eastAsia="es-ES"/>
        </w:rPr>
      </w:pPr>
      <w:r w:rsidRPr="00E619E6">
        <w:rPr>
          <w:rFonts w:eastAsia="Times New Roman"/>
          <w:color w:val="auto"/>
          <w:sz w:val="22"/>
          <w:szCs w:val="22"/>
          <w:lang w:eastAsia="es-ES"/>
        </w:rPr>
        <w:t>Por otro lado, s</w:t>
      </w:r>
      <w:r w:rsidR="004A4604" w:rsidRPr="00E619E6">
        <w:rPr>
          <w:rFonts w:eastAsia="Times New Roman"/>
          <w:color w:val="auto"/>
          <w:sz w:val="22"/>
          <w:szCs w:val="22"/>
          <w:lang w:eastAsia="es-ES"/>
        </w:rPr>
        <w:t xml:space="preserve">iendo </w:t>
      </w:r>
      <w:r w:rsidRPr="00E619E6">
        <w:rPr>
          <w:rFonts w:eastAsia="Times New Roman"/>
          <w:color w:val="auto"/>
          <w:sz w:val="22"/>
          <w:szCs w:val="22"/>
          <w:lang w:eastAsia="es-ES"/>
        </w:rPr>
        <w:t xml:space="preserve">siempre </w:t>
      </w:r>
      <w:r w:rsidR="004A4604" w:rsidRPr="00E619E6">
        <w:rPr>
          <w:rFonts w:eastAsia="Times New Roman"/>
          <w:color w:val="auto"/>
          <w:sz w:val="22"/>
          <w:szCs w:val="22"/>
          <w:lang w:eastAsia="es-ES"/>
        </w:rPr>
        <w:t>las sociedades mercantiles</w:t>
      </w:r>
      <w:r w:rsidR="00C82624" w:rsidRPr="00E619E6">
        <w:rPr>
          <w:rFonts w:eastAsia="Times New Roman"/>
          <w:color w:val="auto"/>
          <w:sz w:val="22"/>
          <w:szCs w:val="22"/>
          <w:lang w:eastAsia="es-ES"/>
        </w:rPr>
        <w:t>,</w:t>
      </w:r>
      <w:r w:rsidR="008F11B3" w:rsidRPr="00E619E6">
        <w:rPr>
          <w:rFonts w:eastAsia="Times New Roman"/>
          <w:color w:val="auto"/>
          <w:sz w:val="22"/>
          <w:szCs w:val="22"/>
          <w:lang w:eastAsia="es-ES"/>
        </w:rPr>
        <w:t xml:space="preserve"> entidades de D</w:t>
      </w:r>
      <w:r w:rsidR="004A4604" w:rsidRPr="00E619E6">
        <w:rPr>
          <w:rFonts w:eastAsia="Times New Roman"/>
          <w:color w:val="auto"/>
          <w:sz w:val="22"/>
          <w:szCs w:val="22"/>
          <w:lang w:eastAsia="es-ES"/>
        </w:rPr>
        <w:t>erecho privado</w:t>
      </w:r>
      <w:r w:rsidRPr="00E619E6">
        <w:rPr>
          <w:rFonts w:eastAsia="Times New Roman"/>
          <w:color w:val="auto"/>
          <w:sz w:val="22"/>
          <w:szCs w:val="22"/>
          <w:lang w:eastAsia="es-ES"/>
        </w:rPr>
        <w:t xml:space="preserve">, estarían </w:t>
      </w:r>
      <w:r w:rsidR="00C82624" w:rsidRPr="00E619E6">
        <w:rPr>
          <w:rFonts w:eastAsia="Times New Roman"/>
          <w:color w:val="auto"/>
          <w:sz w:val="22"/>
          <w:szCs w:val="22"/>
          <w:lang w:eastAsia="es-ES"/>
        </w:rPr>
        <w:t xml:space="preserve">en todo caso </w:t>
      </w:r>
      <w:r w:rsidRPr="00E619E6">
        <w:rPr>
          <w:rFonts w:eastAsia="Times New Roman"/>
          <w:color w:val="auto"/>
          <w:sz w:val="22"/>
          <w:szCs w:val="22"/>
          <w:lang w:eastAsia="es-ES"/>
        </w:rPr>
        <w:t>dentro del ámbito de aplicaci</w:t>
      </w:r>
      <w:r w:rsidR="0069338B" w:rsidRPr="00E619E6">
        <w:rPr>
          <w:rFonts w:eastAsia="Times New Roman"/>
          <w:color w:val="auto"/>
          <w:sz w:val="22"/>
          <w:szCs w:val="22"/>
          <w:lang w:eastAsia="es-ES"/>
        </w:rPr>
        <w:t xml:space="preserve">ón del referido </w:t>
      </w:r>
      <w:r w:rsidRPr="00E619E6">
        <w:rPr>
          <w:rFonts w:eastAsia="Times New Roman"/>
          <w:color w:val="auto"/>
          <w:sz w:val="22"/>
          <w:szCs w:val="22"/>
          <w:lang w:eastAsia="es-ES"/>
        </w:rPr>
        <w:t>artículo</w:t>
      </w:r>
      <w:r w:rsidR="0069338B" w:rsidRPr="00E619E6">
        <w:rPr>
          <w:rFonts w:eastAsia="Times New Roman"/>
          <w:color w:val="auto"/>
          <w:sz w:val="22"/>
          <w:szCs w:val="22"/>
          <w:lang w:eastAsia="es-ES"/>
        </w:rPr>
        <w:t xml:space="preserve">, </w:t>
      </w:r>
      <w:r w:rsidRPr="00E619E6">
        <w:rPr>
          <w:rFonts w:eastAsia="Times New Roman"/>
          <w:color w:val="auto"/>
          <w:sz w:val="22"/>
          <w:szCs w:val="22"/>
          <w:lang w:eastAsia="es-ES"/>
        </w:rPr>
        <w:t xml:space="preserve">pertenezcan </w:t>
      </w:r>
      <w:r w:rsidR="0069338B" w:rsidRPr="00E619E6">
        <w:rPr>
          <w:rFonts w:eastAsia="Times New Roman"/>
          <w:color w:val="auto"/>
          <w:sz w:val="22"/>
          <w:szCs w:val="22"/>
          <w:lang w:eastAsia="es-ES"/>
        </w:rPr>
        <w:t xml:space="preserve">o no </w:t>
      </w:r>
      <w:r w:rsidRPr="00E619E6">
        <w:rPr>
          <w:rFonts w:eastAsia="Times New Roman"/>
          <w:color w:val="auto"/>
          <w:sz w:val="22"/>
          <w:szCs w:val="22"/>
          <w:lang w:eastAsia="es-ES"/>
        </w:rPr>
        <w:t>al sector público.</w:t>
      </w:r>
      <w:r w:rsidR="006F2BAB" w:rsidRPr="00E619E6">
        <w:rPr>
          <w:rFonts w:eastAsia="Times New Roman"/>
          <w:color w:val="auto"/>
          <w:sz w:val="22"/>
          <w:szCs w:val="22"/>
          <w:lang w:eastAsia="es-ES"/>
        </w:rPr>
        <w:t xml:space="preserve"> </w:t>
      </w:r>
      <w:r w:rsidR="00BE697C" w:rsidRPr="00E619E6">
        <w:rPr>
          <w:rFonts w:eastAsia="Times New Roman"/>
          <w:color w:val="auto"/>
          <w:sz w:val="22"/>
          <w:szCs w:val="22"/>
          <w:lang w:eastAsia="es-ES"/>
        </w:rPr>
        <w:t xml:space="preserve">Sin embargo, </w:t>
      </w:r>
      <w:r w:rsidR="006F2BAB" w:rsidRPr="00E619E6">
        <w:rPr>
          <w:rFonts w:eastAsia="Times New Roman"/>
          <w:color w:val="auto"/>
          <w:sz w:val="22"/>
          <w:szCs w:val="22"/>
          <w:lang w:eastAsia="es-ES"/>
        </w:rPr>
        <w:t xml:space="preserve">en el caso de otras entidades Derecho privado (por ejemplo, las fundaciones) </w:t>
      </w:r>
      <w:r w:rsidR="00BE697C" w:rsidRPr="00E619E6">
        <w:rPr>
          <w:rFonts w:eastAsia="Times New Roman"/>
          <w:color w:val="auto"/>
          <w:sz w:val="22"/>
          <w:szCs w:val="22"/>
          <w:lang w:eastAsia="es-ES"/>
        </w:rPr>
        <w:t xml:space="preserve">debe tenerse en cuenta que </w:t>
      </w:r>
      <w:r w:rsidR="006F2BAB" w:rsidRPr="00E619E6">
        <w:rPr>
          <w:rFonts w:eastAsia="Times New Roman"/>
          <w:color w:val="auto"/>
          <w:sz w:val="22"/>
          <w:szCs w:val="22"/>
          <w:lang w:eastAsia="es-ES"/>
        </w:rPr>
        <w:t xml:space="preserve">las mismas </w:t>
      </w:r>
      <w:r w:rsidR="00BE697C" w:rsidRPr="00E619E6">
        <w:rPr>
          <w:rFonts w:eastAsia="Times New Roman"/>
          <w:color w:val="auto"/>
          <w:sz w:val="22"/>
          <w:szCs w:val="22"/>
          <w:lang w:eastAsia="es-ES"/>
        </w:rPr>
        <w:t>no tienen por definición</w:t>
      </w:r>
      <w:r w:rsidR="00E619E6" w:rsidRPr="00E619E6">
        <w:rPr>
          <w:rFonts w:eastAsia="Times New Roman"/>
          <w:color w:val="auto"/>
          <w:sz w:val="22"/>
          <w:szCs w:val="22"/>
          <w:lang w:eastAsia="es-ES"/>
        </w:rPr>
        <w:t>,</w:t>
      </w:r>
      <w:r w:rsidR="00BE697C" w:rsidRPr="00E619E6">
        <w:rPr>
          <w:rFonts w:eastAsia="Times New Roman"/>
          <w:color w:val="auto"/>
          <w:sz w:val="22"/>
          <w:szCs w:val="22"/>
          <w:lang w:eastAsia="es-ES"/>
        </w:rPr>
        <w:t xml:space="preserve"> </w:t>
      </w:r>
      <w:r w:rsidR="006F2BAB" w:rsidRPr="00E619E6">
        <w:rPr>
          <w:rFonts w:eastAsia="Times New Roman"/>
          <w:color w:val="auto"/>
          <w:sz w:val="22"/>
          <w:szCs w:val="22"/>
          <w:lang w:eastAsia="es-ES"/>
        </w:rPr>
        <w:t xml:space="preserve">ánimo de lucro, </w:t>
      </w:r>
      <w:r w:rsidR="00BE697C" w:rsidRPr="00E619E6">
        <w:rPr>
          <w:rFonts w:eastAsia="Times New Roman"/>
          <w:color w:val="auto"/>
          <w:sz w:val="22"/>
          <w:szCs w:val="22"/>
          <w:lang w:eastAsia="es-ES"/>
        </w:rPr>
        <w:t xml:space="preserve">siendo esta </w:t>
      </w:r>
      <w:r w:rsidR="006F2BAB" w:rsidRPr="00E619E6">
        <w:rPr>
          <w:rFonts w:eastAsia="Times New Roman"/>
          <w:color w:val="auto"/>
          <w:sz w:val="22"/>
          <w:szCs w:val="22"/>
          <w:lang w:eastAsia="es-ES"/>
        </w:rPr>
        <w:t>condición necesaria para la aplicación de la obligación de acreditación del cumplimiento de los plazos de pago recogida en el artículo 13.3 bis.</w:t>
      </w:r>
    </w:p>
    <w:p w14:paraId="35A32899" w14:textId="6BD43C5F" w:rsidR="000B684C" w:rsidRPr="00E619E6" w:rsidRDefault="000B684C" w:rsidP="007918F6">
      <w:pPr>
        <w:pStyle w:val="Default"/>
        <w:jc w:val="both"/>
        <w:rPr>
          <w:rFonts w:eastAsia="Times New Roman"/>
          <w:color w:val="auto"/>
          <w:sz w:val="22"/>
          <w:szCs w:val="22"/>
          <w:lang w:eastAsia="es-ES"/>
        </w:rPr>
      </w:pPr>
    </w:p>
    <w:p w14:paraId="7375E382" w14:textId="05169DA1" w:rsidR="000B684C" w:rsidRPr="00E619E6" w:rsidRDefault="000B684C" w:rsidP="000B684C">
      <w:pPr>
        <w:pStyle w:val="Default"/>
        <w:jc w:val="both"/>
        <w:rPr>
          <w:rFonts w:eastAsia="Times New Roman"/>
          <w:color w:val="auto"/>
          <w:sz w:val="22"/>
          <w:szCs w:val="22"/>
          <w:lang w:eastAsia="es-ES"/>
        </w:rPr>
      </w:pPr>
      <w:r w:rsidRPr="00E619E6">
        <w:rPr>
          <w:rFonts w:eastAsia="Times New Roman"/>
          <w:color w:val="auto"/>
          <w:sz w:val="22"/>
          <w:szCs w:val="22"/>
          <w:lang w:eastAsia="es-ES"/>
        </w:rPr>
        <w:t>A su vez, se deberá tener en cuenta que el artículo 2 de la Ley 3/2004</w:t>
      </w:r>
      <w:r w:rsidR="00D27E5C" w:rsidRPr="00E619E6">
        <w:rPr>
          <w:rFonts w:eastAsia="Times New Roman"/>
          <w:color w:val="auto"/>
          <w:sz w:val="22"/>
          <w:szCs w:val="22"/>
          <w:lang w:eastAsia="es-ES"/>
        </w:rPr>
        <w:t>, de 29 de diciembre, por la que se establecen medidas de lucha contra la morosidad en las operaciones comerciales</w:t>
      </w:r>
      <w:r w:rsidRPr="00E619E6">
        <w:rPr>
          <w:rFonts w:eastAsia="Times New Roman"/>
          <w:color w:val="auto"/>
          <w:sz w:val="22"/>
          <w:szCs w:val="22"/>
          <w:lang w:eastAsia="es-ES"/>
        </w:rPr>
        <w:t xml:space="preserve"> dispone </w:t>
      </w:r>
      <w:r w:rsidR="00D27E5C" w:rsidRPr="00E619E6">
        <w:rPr>
          <w:rFonts w:eastAsia="Times New Roman"/>
          <w:color w:val="auto"/>
          <w:sz w:val="22"/>
          <w:szCs w:val="22"/>
          <w:lang w:eastAsia="es-ES"/>
        </w:rPr>
        <w:t xml:space="preserve">que </w:t>
      </w:r>
      <w:r w:rsidRPr="00E619E6">
        <w:rPr>
          <w:rFonts w:eastAsia="Times New Roman"/>
          <w:color w:val="auto"/>
          <w:sz w:val="22"/>
          <w:szCs w:val="22"/>
          <w:lang w:eastAsia="es-ES"/>
        </w:rPr>
        <w:t xml:space="preserve">se considera “empresa” a cualquier persona física o jurídica que actúe en el ejercicio de su actividad independiente económica o profesional. Por lo tanto, </w:t>
      </w:r>
      <w:r w:rsidR="00D27E5C" w:rsidRPr="00E619E6">
        <w:rPr>
          <w:rFonts w:eastAsia="Times New Roman"/>
          <w:color w:val="auto"/>
          <w:sz w:val="22"/>
          <w:szCs w:val="22"/>
          <w:lang w:eastAsia="es-ES"/>
        </w:rPr>
        <w:t>la</w:t>
      </w:r>
      <w:r w:rsidRPr="00E619E6">
        <w:rPr>
          <w:rFonts w:eastAsia="Times New Roman"/>
          <w:color w:val="auto"/>
          <w:sz w:val="22"/>
          <w:szCs w:val="22"/>
          <w:lang w:eastAsia="es-ES"/>
        </w:rPr>
        <w:t xml:space="preserve"> prohibición </w:t>
      </w:r>
      <w:r w:rsidR="00D27E5C" w:rsidRPr="00E619E6">
        <w:rPr>
          <w:rFonts w:eastAsia="Times New Roman"/>
          <w:color w:val="auto"/>
          <w:sz w:val="22"/>
          <w:szCs w:val="22"/>
          <w:lang w:eastAsia="es-ES"/>
        </w:rPr>
        <w:t xml:space="preserve">para obtener la condición de beneficiario establecida en el artículo 13.3 bis, si no se acredita el cumplimiento de los plazos de pago, </w:t>
      </w:r>
      <w:r w:rsidRPr="00E619E6">
        <w:rPr>
          <w:rFonts w:eastAsia="Times New Roman"/>
          <w:color w:val="auto"/>
          <w:sz w:val="22"/>
          <w:szCs w:val="22"/>
          <w:lang w:eastAsia="es-ES"/>
        </w:rPr>
        <w:t xml:space="preserve">afecta a todas las empresas (personas físicas y jurídicas que ejerzan una actividad económica o profesional con ánimo de lucro) con independencia de su tamaño, </w:t>
      </w:r>
      <w:r w:rsidRPr="00E619E6">
        <w:rPr>
          <w:rFonts w:eastAsia="Times New Roman"/>
          <w:color w:val="auto"/>
          <w:sz w:val="22"/>
          <w:szCs w:val="22"/>
          <w:lang w:eastAsia="es-ES"/>
        </w:rPr>
        <w:lastRenderedPageBreak/>
        <w:t>incluidos los empresarios autónomos, siempre que la subvención a reci</w:t>
      </w:r>
      <w:r w:rsidR="00D27E5C" w:rsidRPr="00E619E6">
        <w:rPr>
          <w:rFonts w:eastAsia="Times New Roman"/>
          <w:color w:val="auto"/>
          <w:sz w:val="22"/>
          <w:szCs w:val="22"/>
          <w:lang w:eastAsia="es-ES"/>
        </w:rPr>
        <w:t>bir sea superior a 30.000 euros, y a t</w:t>
      </w:r>
      <w:r w:rsidRPr="00E619E6">
        <w:rPr>
          <w:rFonts w:eastAsia="Times New Roman"/>
          <w:color w:val="auto"/>
          <w:sz w:val="22"/>
          <w:szCs w:val="22"/>
          <w:lang w:eastAsia="es-ES"/>
        </w:rPr>
        <w:t>odos los pagos efectuados como contraprestación en las operaciones comerciales realizadas entre empresas, o entre empresas y la Administración, así como las realizadas entre los contratistas principales y sus proveedores y subcontratistas.</w:t>
      </w:r>
    </w:p>
    <w:p w14:paraId="52A6167D" w14:textId="1C1D9E19" w:rsidR="000B684C" w:rsidRDefault="000B684C" w:rsidP="000B684C">
      <w:pPr>
        <w:pStyle w:val="Default"/>
        <w:jc w:val="both"/>
        <w:rPr>
          <w:rFonts w:eastAsia="Times New Roman"/>
          <w:sz w:val="22"/>
          <w:szCs w:val="22"/>
          <w:lang w:eastAsia="es-ES"/>
        </w:rPr>
      </w:pPr>
    </w:p>
    <w:p w14:paraId="5BCB23CC" w14:textId="1FF07384" w:rsidR="000B684C" w:rsidRDefault="007D7338" w:rsidP="007918F6">
      <w:pPr>
        <w:pStyle w:val="Default"/>
        <w:jc w:val="both"/>
        <w:rPr>
          <w:rFonts w:eastAsia="Times New Roman"/>
          <w:sz w:val="22"/>
          <w:szCs w:val="22"/>
          <w:lang w:eastAsia="es-ES"/>
        </w:rPr>
      </w:pPr>
      <w:r>
        <w:rPr>
          <w:rFonts w:eastAsia="Times New Roman"/>
          <w:sz w:val="22"/>
          <w:szCs w:val="22"/>
          <w:lang w:eastAsia="es-ES"/>
        </w:rPr>
        <w:t>A est</w:t>
      </w:r>
      <w:r w:rsidR="0069338B">
        <w:rPr>
          <w:rFonts w:eastAsia="Times New Roman"/>
          <w:sz w:val="22"/>
          <w:szCs w:val="22"/>
          <w:lang w:eastAsia="es-ES"/>
        </w:rPr>
        <w:t>os efectos</w:t>
      </w:r>
      <w:r w:rsidR="00C82624">
        <w:rPr>
          <w:rFonts w:eastAsia="Times New Roman"/>
          <w:sz w:val="22"/>
          <w:szCs w:val="22"/>
          <w:lang w:eastAsia="es-ES"/>
        </w:rPr>
        <w:t>,</w:t>
      </w:r>
      <w:r w:rsidR="0069338B">
        <w:rPr>
          <w:rFonts w:eastAsia="Times New Roman"/>
          <w:sz w:val="22"/>
          <w:szCs w:val="22"/>
          <w:lang w:eastAsia="es-ES"/>
        </w:rPr>
        <w:t xml:space="preserve"> </w:t>
      </w:r>
      <w:r w:rsidR="00FF0DF8">
        <w:rPr>
          <w:rFonts w:eastAsia="Times New Roman"/>
          <w:sz w:val="22"/>
          <w:szCs w:val="22"/>
          <w:lang w:eastAsia="es-ES"/>
        </w:rPr>
        <w:t xml:space="preserve">respondiendo concretamente a los ejemplos presentados en el escrito de consulta, </w:t>
      </w:r>
      <w:r w:rsidR="0069338B">
        <w:rPr>
          <w:rFonts w:eastAsia="Times New Roman"/>
          <w:sz w:val="22"/>
          <w:szCs w:val="22"/>
          <w:lang w:eastAsia="es-ES"/>
        </w:rPr>
        <w:t>puede ser orientativa</w:t>
      </w:r>
      <w:r>
        <w:rPr>
          <w:rFonts w:eastAsia="Times New Roman"/>
          <w:sz w:val="22"/>
          <w:szCs w:val="22"/>
          <w:lang w:eastAsia="es-ES"/>
        </w:rPr>
        <w:t xml:space="preserve"> la denominación del ente, “S.A.”</w:t>
      </w:r>
      <w:r w:rsidR="0069338B">
        <w:rPr>
          <w:rFonts w:eastAsia="Times New Roman"/>
          <w:sz w:val="22"/>
          <w:szCs w:val="22"/>
          <w:lang w:eastAsia="es-ES"/>
        </w:rPr>
        <w:t xml:space="preserve"> o</w:t>
      </w:r>
      <w:r>
        <w:rPr>
          <w:rFonts w:eastAsia="Times New Roman"/>
          <w:sz w:val="22"/>
          <w:szCs w:val="22"/>
          <w:lang w:eastAsia="es-ES"/>
        </w:rPr>
        <w:t xml:space="preserve"> “Entidad Pública Empresarial” respecto a la aplicabilidad </w:t>
      </w:r>
      <w:r w:rsidR="0069338B">
        <w:rPr>
          <w:rFonts w:eastAsia="Times New Roman"/>
          <w:sz w:val="22"/>
          <w:szCs w:val="22"/>
          <w:lang w:eastAsia="es-ES"/>
        </w:rPr>
        <w:t xml:space="preserve">o no </w:t>
      </w:r>
      <w:r>
        <w:rPr>
          <w:rFonts w:eastAsia="Times New Roman"/>
          <w:sz w:val="22"/>
          <w:szCs w:val="22"/>
          <w:lang w:eastAsia="es-ES"/>
        </w:rPr>
        <w:t xml:space="preserve">del </w:t>
      </w:r>
      <w:r w:rsidR="0069338B">
        <w:rPr>
          <w:rFonts w:eastAsia="Times New Roman"/>
          <w:sz w:val="22"/>
          <w:szCs w:val="22"/>
          <w:lang w:eastAsia="es-ES"/>
        </w:rPr>
        <w:t xml:space="preserve">citado </w:t>
      </w:r>
      <w:r>
        <w:rPr>
          <w:rFonts w:eastAsia="Times New Roman"/>
          <w:sz w:val="22"/>
          <w:szCs w:val="22"/>
          <w:lang w:eastAsia="es-ES"/>
        </w:rPr>
        <w:t>precepto</w:t>
      </w:r>
      <w:r w:rsidR="0069338B">
        <w:rPr>
          <w:rFonts w:eastAsia="Times New Roman"/>
          <w:sz w:val="22"/>
          <w:szCs w:val="22"/>
          <w:lang w:eastAsia="es-ES"/>
        </w:rPr>
        <w:t>.</w:t>
      </w:r>
      <w:r w:rsidR="000B684C">
        <w:rPr>
          <w:rFonts w:eastAsia="Times New Roman"/>
          <w:sz w:val="22"/>
          <w:szCs w:val="22"/>
          <w:lang w:eastAsia="es-ES"/>
        </w:rPr>
        <w:t xml:space="preserve"> </w:t>
      </w:r>
    </w:p>
    <w:p w14:paraId="3E248136" w14:textId="77777777" w:rsidR="000B684C" w:rsidRDefault="000B684C" w:rsidP="007918F6">
      <w:pPr>
        <w:pStyle w:val="Default"/>
        <w:jc w:val="both"/>
        <w:rPr>
          <w:rFonts w:eastAsia="Times New Roman"/>
          <w:sz w:val="22"/>
          <w:szCs w:val="22"/>
          <w:lang w:eastAsia="es-ES"/>
        </w:rPr>
      </w:pPr>
    </w:p>
    <w:p w14:paraId="6D69607C" w14:textId="75CBB3EB" w:rsidR="00C519D9" w:rsidRDefault="00C519D9" w:rsidP="007918F6">
      <w:pPr>
        <w:pStyle w:val="Default"/>
        <w:jc w:val="both"/>
        <w:rPr>
          <w:rFonts w:eastAsia="Times New Roman"/>
          <w:sz w:val="22"/>
          <w:szCs w:val="22"/>
          <w:lang w:eastAsia="es-ES"/>
        </w:rPr>
      </w:pPr>
    </w:p>
    <w:p w14:paraId="1E3640EA" w14:textId="5870856E" w:rsidR="00C519D9" w:rsidRDefault="00C519D9" w:rsidP="007918F6">
      <w:pPr>
        <w:pStyle w:val="Default"/>
        <w:jc w:val="both"/>
        <w:rPr>
          <w:rFonts w:eastAsia="Times New Roman"/>
          <w:sz w:val="22"/>
          <w:szCs w:val="22"/>
          <w:lang w:eastAsia="es-ES"/>
        </w:rPr>
      </w:pPr>
    </w:p>
    <w:p w14:paraId="5050BF5A" w14:textId="452E724D" w:rsidR="00C519D9" w:rsidRPr="00C519D9" w:rsidRDefault="00C519D9" w:rsidP="00C519D9">
      <w:pPr>
        <w:pStyle w:val="Default"/>
        <w:ind w:left="708"/>
        <w:jc w:val="center"/>
        <w:rPr>
          <w:rFonts w:eastAsia="Times New Roman"/>
          <w:b/>
          <w:sz w:val="22"/>
          <w:szCs w:val="22"/>
          <w:lang w:eastAsia="es-ES"/>
        </w:rPr>
      </w:pPr>
      <w:r w:rsidRPr="00C519D9">
        <w:rPr>
          <w:rFonts w:eastAsia="Times New Roman"/>
          <w:b/>
          <w:sz w:val="22"/>
          <w:szCs w:val="22"/>
          <w:lang w:eastAsia="es-ES"/>
        </w:rPr>
        <w:t>II</w:t>
      </w:r>
    </w:p>
    <w:p w14:paraId="14CFE3D2" w14:textId="313C3E8D" w:rsidR="00C0610D" w:rsidRPr="00E619E6" w:rsidRDefault="00D42710" w:rsidP="00C82624">
      <w:pPr>
        <w:pStyle w:val="parrafo2"/>
        <w:spacing w:before="360" w:beforeAutospacing="0" w:after="180" w:afterAutospacing="0"/>
        <w:jc w:val="both"/>
        <w:rPr>
          <w:rFonts w:ascii="Arial" w:hAnsi="Arial" w:cs="Arial"/>
          <w:sz w:val="22"/>
          <w:szCs w:val="22"/>
        </w:rPr>
      </w:pPr>
      <w:r w:rsidRPr="00C82624">
        <w:rPr>
          <w:rFonts w:ascii="Arial" w:hAnsi="Arial" w:cs="Arial"/>
          <w:color w:val="000000"/>
          <w:sz w:val="22"/>
          <w:szCs w:val="22"/>
        </w:rPr>
        <w:t>Respecto al modelo de declaración responsable utilizado en las convocator</w:t>
      </w:r>
      <w:r w:rsidR="00C82624" w:rsidRPr="00C82624">
        <w:rPr>
          <w:rFonts w:ascii="Arial" w:hAnsi="Arial" w:cs="Arial"/>
          <w:color w:val="000000"/>
          <w:sz w:val="22"/>
          <w:szCs w:val="22"/>
        </w:rPr>
        <w:t xml:space="preserve">ias, </w:t>
      </w:r>
      <w:r w:rsidR="008E5433">
        <w:rPr>
          <w:rFonts w:ascii="Arial" w:hAnsi="Arial" w:cs="Arial"/>
          <w:color w:val="000000"/>
          <w:sz w:val="22"/>
          <w:szCs w:val="22"/>
        </w:rPr>
        <w:t xml:space="preserve">debe recordarse que la Intervención delegada en </w:t>
      </w:r>
      <w:r w:rsidR="008E5433" w:rsidRPr="00C82624">
        <w:rPr>
          <w:rFonts w:ascii="Arial" w:hAnsi="Arial" w:cs="Arial"/>
          <w:color w:val="000000"/>
          <w:sz w:val="22"/>
          <w:szCs w:val="22"/>
        </w:rPr>
        <w:t>la fiscalización de la aprobación del gasto correspondiente a la convocatoria</w:t>
      </w:r>
      <w:r w:rsidR="008E5433">
        <w:rPr>
          <w:rFonts w:ascii="Arial" w:hAnsi="Arial" w:cs="Arial"/>
          <w:color w:val="000000"/>
          <w:sz w:val="22"/>
          <w:szCs w:val="22"/>
        </w:rPr>
        <w:t>,</w:t>
      </w:r>
      <w:r w:rsidR="008E5433" w:rsidRPr="00C82624">
        <w:rPr>
          <w:rFonts w:ascii="Arial" w:hAnsi="Arial" w:cs="Arial"/>
          <w:color w:val="000000"/>
          <w:sz w:val="22"/>
          <w:szCs w:val="22"/>
        </w:rPr>
        <w:t xml:space="preserve"> </w:t>
      </w:r>
      <w:r w:rsidR="008E5433">
        <w:rPr>
          <w:rFonts w:ascii="Arial" w:hAnsi="Arial" w:cs="Arial"/>
          <w:color w:val="000000"/>
          <w:sz w:val="22"/>
          <w:szCs w:val="22"/>
        </w:rPr>
        <w:t xml:space="preserve">fiscaliza los requisitos básicos </w:t>
      </w:r>
      <w:r w:rsidR="008E5433" w:rsidRPr="00C82624">
        <w:rPr>
          <w:rFonts w:ascii="Arial" w:hAnsi="Arial" w:cs="Arial"/>
          <w:color w:val="000000"/>
          <w:sz w:val="22"/>
          <w:szCs w:val="22"/>
        </w:rPr>
        <w:t>recogidos en la Orden</w:t>
      </w:r>
      <w:r w:rsidR="008E5433" w:rsidRPr="00FF0DF8">
        <w:rPr>
          <w:rFonts w:ascii="Arial" w:hAnsi="Arial" w:cs="Arial"/>
          <w:color w:val="000000"/>
          <w:sz w:val="22"/>
          <w:szCs w:val="22"/>
        </w:rPr>
        <w:t xml:space="preserve"> de 7 de octubre de 2022, de la Consejería de Economía, Hacienda y Empleo, por la que se establecen los requisitos adicionales de la modalidad de fiscalización previa de requisitos esenciales para los expedientes de subvenciones y ayudas públicas con cargo a los Presupuestos Generales de la Comunidad de Madrid y en el Decreto</w:t>
      </w:r>
      <w:r w:rsidR="008E5433">
        <w:rPr>
          <w:rFonts w:ascii="Arial" w:hAnsi="Arial" w:cs="Arial"/>
          <w:color w:val="000000"/>
          <w:sz w:val="22"/>
          <w:szCs w:val="22"/>
        </w:rPr>
        <w:t xml:space="preserve"> 62/2021, de 21 de </w:t>
      </w:r>
      <w:r w:rsidR="008E5433" w:rsidRPr="00E619E6">
        <w:rPr>
          <w:rFonts w:ascii="Arial" w:hAnsi="Arial" w:cs="Arial"/>
          <w:sz w:val="22"/>
          <w:szCs w:val="22"/>
        </w:rPr>
        <w:t>abril, del Consejo de Gobierno, por el que se regula la modalidad de intervención previa de requisitos esenciales en la Comunidad de Madrid.</w:t>
      </w:r>
    </w:p>
    <w:p w14:paraId="06639EA6" w14:textId="77777777" w:rsidR="00C82624" w:rsidRDefault="00D42710" w:rsidP="00C82624">
      <w:pPr>
        <w:pStyle w:val="parrafo2"/>
        <w:spacing w:before="360" w:beforeAutospacing="0" w:after="180" w:afterAutospacing="0"/>
        <w:jc w:val="both"/>
        <w:rPr>
          <w:rFonts w:ascii="Arial" w:hAnsi="Arial" w:cs="Arial"/>
          <w:i/>
          <w:color w:val="000000"/>
          <w:sz w:val="22"/>
          <w:szCs w:val="22"/>
        </w:rPr>
      </w:pPr>
      <w:r w:rsidRPr="00C82624">
        <w:rPr>
          <w:rFonts w:ascii="Arial" w:hAnsi="Arial" w:cs="Arial"/>
          <w:color w:val="000000"/>
          <w:sz w:val="22"/>
          <w:szCs w:val="22"/>
        </w:rPr>
        <w:t xml:space="preserve">Por otro lado, el escrito de consulta no determina qué aspectos en concreto </w:t>
      </w:r>
      <w:r w:rsidR="00C82624" w:rsidRPr="00C82624">
        <w:rPr>
          <w:rFonts w:ascii="Arial" w:hAnsi="Arial" w:cs="Arial"/>
          <w:color w:val="000000"/>
          <w:sz w:val="22"/>
          <w:szCs w:val="22"/>
        </w:rPr>
        <w:t xml:space="preserve">del modelo </w:t>
      </w:r>
      <w:r w:rsidRPr="00C82624">
        <w:rPr>
          <w:rFonts w:ascii="Arial" w:hAnsi="Arial" w:cs="Arial"/>
          <w:color w:val="000000"/>
          <w:sz w:val="22"/>
          <w:szCs w:val="22"/>
        </w:rPr>
        <w:t xml:space="preserve">generan dudas a la Dirección General. Sin perjuicio de estas observaciones, </w:t>
      </w:r>
      <w:r w:rsidR="00C0610D">
        <w:rPr>
          <w:rFonts w:ascii="Arial" w:hAnsi="Arial" w:cs="Arial"/>
          <w:color w:val="000000"/>
          <w:sz w:val="22"/>
          <w:szCs w:val="22"/>
        </w:rPr>
        <w:t>indicar que</w:t>
      </w:r>
      <w:r w:rsidR="008F027B" w:rsidRPr="00C82624">
        <w:rPr>
          <w:rFonts w:ascii="Arial" w:hAnsi="Arial" w:cs="Arial"/>
          <w:color w:val="000000"/>
          <w:sz w:val="22"/>
          <w:szCs w:val="22"/>
        </w:rPr>
        <w:t xml:space="preserve"> para las </w:t>
      </w:r>
      <w:r w:rsidR="008F027B" w:rsidRPr="00E619E6">
        <w:rPr>
          <w:rFonts w:ascii="Arial" w:hAnsi="Arial" w:cs="Arial"/>
          <w:sz w:val="22"/>
          <w:szCs w:val="22"/>
        </w:rPr>
        <w:t xml:space="preserve">personas físicas y jurídicas </w:t>
      </w:r>
      <w:r w:rsidR="00CA0A36" w:rsidRPr="00E619E6">
        <w:rPr>
          <w:rFonts w:ascii="Arial" w:hAnsi="Arial" w:cs="Arial"/>
          <w:sz w:val="22"/>
          <w:szCs w:val="22"/>
        </w:rPr>
        <w:t xml:space="preserve">con ánimo de lucro sujetas a la Ley 3/2004, de 29 de diciembre, por la que se establecen medidas de lucha contra la morosidad en las operaciones comerciales, </w:t>
      </w:r>
      <w:r w:rsidR="008F027B" w:rsidRPr="00E619E6">
        <w:rPr>
          <w:rFonts w:ascii="Arial" w:hAnsi="Arial" w:cs="Arial"/>
          <w:sz w:val="22"/>
          <w:szCs w:val="22"/>
        </w:rPr>
        <w:t>que puede</w:t>
      </w:r>
      <w:r w:rsidR="00540D5F" w:rsidRPr="00E619E6">
        <w:rPr>
          <w:rFonts w:ascii="Arial" w:hAnsi="Arial" w:cs="Arial"/>
          <w:sz w:val="22"/>
          <w:szCs w:val="22"/>
        </w:rPr>
        <w:t>n presentar cuenta</w:t>
      </w:r>
      <w:r w:rsidR="008F027B" w:rsidRPr="00E619E6">
        <w:rPr>
          <w:rFonts w:ascii="Arial" w:hAnsi="Arial" w:cs="Arial"/>
          <w:sz w:val="22"/>
          <w:szCs w:val="22"/>
        </w:rPr>
        <w:t xml:space="preserve"> de pérdidas y ganancias </w:t>
      </w:r>
      <w:r w:rsidR="008F027B" w:rsidRPr="00C82624">
        <w:rPr>
          <w:rFonts w:ascii="Arial" w:hAnsi="Arial" w:cs="Arial"/>
          <w:color w:val="000000"/>
          <w:sz w:val="22"/>
          <w:szCs w:val="22"/>
        </w:rPr>
        <w:t>abreviada</w:t>
      </w:r>
      <w:r w:rsidR="00540D5F" w:rsidRPr="00C82624">
        <w:rPr>
          <w:rFonts w:ascii="Arial" w:hAnsi="Arial" w:cs="Arial"/>
          <w:color w:val="000000"/>
          <w:sz w:val="22"/>
          <w:szCs w:val="22"/>
        </w:rPr>
        <w:t xml:space="preserve">, el modelo </w:t>
      </w:r>
      <w:r w:rsidR="00C0610D">
        <w:rPr>
          <w:rFonts w:ascii="Arial" w:hAnsi="Arial" w:cs="Arial"/>
          <w:color w:val="000000"/>
          <w:sz w:val="22"/>
          <w:szCs w:val="22"/>
        </w:rPr>
        <w:t xml:space="preserve">que acompaña a la consulta </w:t>
      </w:r>
      <w:r w:rsidR="00540D5F" w:rsidRPr="00C82624">
        <w:rPr>
          <w:rFonts w:ascii="Arial" w:hAnsi="Arial" w:cs="Arial"/>
          <w:color w:val="000000"/>
          <w:sz w:val="22"/>
          <w:szCs w:val="22"/>
        </w:rPr>
        <w:t xml:space="preserve">formula una “declaración” cuando la LGS exige un “certificado”. Por otro lado, no </w:t>
      </w:r>
      <w:r w:rsidR="00B52C03">
        <w:rPr>
          <w:rFonts w:ascii="Arial" w:hAnsi="Arial" w:cs="Arial"/>
          <w:color w:val="000000"/>
          <w:sz w:val="22"/>
          <w:szCs w:val="22"/>
        </w:rPr>
        <w:t>parece ofrecerse</w:t>
      </w:r>
      <w:r w:rsidR="00B52C03" w:rsidRPr="00B52C03">
        <w:rPr>
          <w:rFonts w:ascii="Arial" w:hAnsi="Arial" w:cs="Arial"/>
          <w:color w:val="000000"/>
          <w:sz w:val="22"/>
          <w:szCs w:val="22"/>
        </w:rPr>
        <w:t xml:space="preserve"> </w:t>
      </w:r>
      <w:r w:rsidR="00B52C03" w:rsidRPr="00C82624">
        <w:rPr>
          <w:rFonts w:ascii="Arial" w:hAnsi="Arial" w:cs="Arial"/>
          <w:color w:val="000000"/>
          <w:sz w:val="22"/>
          <w:szCs w:val="22"/>
        </w:rPr>
        <w:t>a dichas personas</w:t>
      </w:r>
      <w:r w:rsidR="00B52C03">
        <w:rPr>
          <w:rFonts w:ascii="Arial" w:hAnsi="Arial" w:cs="Arial"/>
          <w:color w:val="000000"/>
          <w:sz w:val="22"/>
          <w:szCs w:val="22"/>
        </w:rPr>
        <w:t>, al menos en lo que se deduce del modelo aportado,</w:t>
      </w:r>
      <w:r w:rsidR="00540D5F" w:rsidRPr="00C82624">
        <w:rPr>
          <w:rFonts w:ascii="Arial" w:hAnsi="Arial" w:cs="Arial"/>
          <w:color w:val="000000"/>
          <w:sz w:val="22"/>
          <w:szCs w:val="22"/>
        </w:rPr>
        <w:t xml:space="preserve"> la posibilidad de recurrir a </w:t>
      </w:r>
      <w:r w:rsidR="00B52C03">
        <w:rPr>
          <w:rFonts w:ascii="Arial" w:hAnsi="Arial" w:cs="Arial"/>
          <w:color w:val="000000"/>
          <w:sz w:val="22"/>
          <w:szCs w:val="22"/>
        </w:rPr>
        <w:t>la certificación e informe propio</w:t>
      </w:r>
      <w:r w:rsidR="00540D5F" w:rsidRPr="00C82624">
        <w:rPr>
          <w:rFonts w:ascii="Arial" w:hAnsi="Arial" w:cs="Arial"/>
          <w:color w:val="000000"/>
          <w:sz w:val="22"/>
          <w:szCs w:val="22"/>
        </w:rPr>
        <w:t xml:space="preserve"> de las entidades que no pueden presentar cuenta de pérdidas y ganancias abreviada. Esta posibilidad viene recogida en el artículo </w:t>
      </w:r>
      <w:r w:rsidR="00C82624" w:rsidRPr="00C82624">
        <w:rPr>
          <w:rFonts w:ascii="Arial" w:hAnsi="Arial" w:cs="Arial"/>
          <w:color w:val="000000"/>
          <w:sz w:val="22"/>
          <w:szCs w:val="22"/>
        </w:rPr>
        <w:t>13.3 bis a)</w:t>
      </w:r>
      <w:r w:rsidR="00C82624">
        <w:rPr>
          <w:rFonts w:ascii="Arial" w:hAnsi="Arial" w:cs="Arial"/>
          <w:color w:val="000000"/>
          <w:sz w:val="22"/>
          <w:szCs w:val="22"/>
        </w:rPr>
        <w:t xml:space="preserve">: </w:t>
      </w:r>
      <w:r w:rsidR="00C82624" w:rsidRPr="00C82624">
        <w:rPr>
          <w:rFonts w:ascii="Arial" w:hAnsi="Arial" w:cs="Arial"/>
          <w:i/>
          <w:color w:val="000000"/>
          <w:sz w:val="22"/>
          <w:szCs w:val="22"/>
        </w:rPr>
        <w:t>“Podrán también acreditar dicha circunstancia por alguno de los medios de prueba previstos en la letra b) siguiente y con sujeción a su regulación”</w:t>
      </w:r>
    </w:p>
    <w:p w14:paraId="36C9F1FD" w14:textId="77777777" w:rsidR="00C91384" w:rsidRDefault="004A1D66" w:rsidP="00C82624">
      <w:pPr>
        <w:pStyle w:val="parrafo2"/>
        <w:spacing w:before="360" w:beforeAutospacing="0" w:after="180" w:afterAutospacing="0"/>
        <w:jc w:val="both"/>
        <w:rPr>
          <w:rFonts w:ascii="Arial" w:hAnsi="Arial" w:cs="Arial"/>
          <w:color w:val="000000"/>
          <w:sz w:val="22"/>
          <w:szCs w:val="22"/>
        </w:rPr>
      </w:pPr>
      <w:r>
        <w:rPr>
          <w:rFonts w:ascii="Arial" w:hAnsi="Arial" w:cs="Arial"/>
          <w:color w:val="000000"/>
          <w:sz w:val="22"/>
          <w:szCs w:val="22"/>
        </w:rPr>
        <w:t>P</w:t>
      </w:r>
      <w:r w:rsidR="00C0610D">
        <w:rPr>
          <w:rFonts w:ascii="Arial" w:hAnsi="Arial" w:cs="Arial"/>
          <w:color w:val="000000"/>
          <w:sz w:val="22"/>
          <w:szCs w:val="22"/>
        </w:rPr>
        <w:t>or otra</w:t>
      </w:r>
      <w:r w:rsidR="00C91384">
        <w:rPr>
          <w:rFonts w:ascii="Arial" w:hAnsi="Arial" w:cs="Arial"/>
          <w:color w:val="000000"/>
          <w:sz w:val="22"/>
          <w:szCs w:val="22"/>
        </w:rPr>
        <w:t xml:space="preserve"> parte</w:t>
      </w:r>
      <w:r w:rsidR="00C0610D">
        <w:rPr>
          <w:rFonts w:ascii="Arial" w:hAnsi="Arial" w:cs="Arial"/>
          <w:color w:val="000000"/>
          <w:sz w:val="22"/>
          <w:szCs w:val="22"/>
        </w:rPr>
        <w:t>,</w:t>
      </w:r>
      <w:r w:rsidR="00C91384">
        <w:rPr>
          <w:rFonts w:ascii="Arial" w:hAnsi="Arial" w:cs="Arial"/>
          <w:color w:val="000000"/>
          <w:sz w:val="22"/>
          <w:szCs w:val="22"/>
        </w:rPr>
        <w:t xml:space="preserve"> el modelo</w:t>
      </w:r>
      <w:r w:rsidR="007C13C3">
        <w:rPr>
          <w:rFonts w:ascii="Arial" w:hAnsi="Arial" w:cs="Arial"/>
          <w:color w:val="000000"/>
          <w:sz w:val="22"/>
          <w:szCs w:val="22"/>
        </w:rPr>
        <w:t>,</w:t>
      </w:r>
      <w:r>
        <w:rPr>
          <w:rFonts w:ascii="Arial" w:hAnsi="Arial" w:cs="Arial"/>
          <w:color w:val="000000"/>
          <w:sz w:val="22"/>
          <w:szCs w:val="22"/>
        </w:rPr>
        <w:t xml:space="preserve"> cuando se refiere a </w:t>
      </w:r>
      <w:r w:rsidRPr="00C82624">
        <w:rPr>
          <w:rFonts w:ascii="Arial" w:hAnsi="Arial" w:cs="Arial"/>
          <w:color w:val="000000"/>
          <w:sz w:val="22"/>
          <w:szCs w:val="22"/>
        </w:rPr>
        <w:t>entidades que no pueden presentar cuenta de</w:t>
      </w:r>
      <w:r>
        <w:rPr>
          <w:rFonts w:ascii="Arial" w:hAnsi="Arial" w:cs="Arial"/>
          <w:color w:val="000000"/>
          <w:sz w:val="22"/>
          <w:szCs w:val="22"/>
        </w:rPr>
        <w:t xml:space="preserve"> pérdidas y ganancias abreviada,</w:t>
      </w:r>
      <w:r w:rsidRPr="00C82624">
        <w:rPr>
          <w:rFonts w:ascii="Arial" w:hAnsi="Arial" w:cs="Arial"/>
          <w:color w:val="000000"/>
          <w:sz w:val="22"/>
          <w:szCs w:val="22"/>
        </w:rPr>
        <w:t xml:space="preserve"> </w:t>
      </w:r>
      <w:r>
        <w:rPr>
          <w:rFonts w:ascii="Arial" w:hAnsi="Arial" w:cs="Arial"/>
          <w:color w:val="000000"/>
          <w:sz w:val="22"/>
          <w:szCs w:val="22"/>
        </w:rPr>
        <w:t xml:space="preserve">no recoge </w:t>
      </w:r>
      <w:r w:rsidR="00C0610D">
        <w:rPr>
          <w:rFonts w:ascii="Arial" w:hAnsi="Arial" w:cs="Arial"/>
          <w:color w:val="000000"/>
          <w:sz w:val="22"/>
          <w:szCs w:val="22"/>
        </w:rPr>
        <w:t>el acompañamiento</w:t>
      </w:r>
      <w:r>
        <w:rPr>
          <w:rFonts w:ascii="Arial" w:hAnsi="Arial" w:cs="Arial"/>
          <w:color w:val="000000"/>
          <w:sz w:val="22"/>
          <w:szCs w:val="22"/>
        </w:rPr>
        <w:t xml:space="preserve">, en su caso, </w:t>
      </w:r>
      <w:r w:rsidR="00C0610D">
        <w:rPr>
          <w:rFonts w:ascii="Arial" w:hAnsi="Arial" w:cs="Arial"/>
          <w:color w:val="000000"/>
          <w:sz w:val="22"/>
          <w:szCs w:val="22"/>
        </w:rPr>
        <w:t>d</w:t>
      </w:r>
      <w:r>
        <w:rPr>
          <w:rFonts w:ascii="Arial" w:hAnsi="Arial" w:cs="Arial"/>
          <w:color w:val="000000"/>
          <w:sz w:val="22"/>
          <w:szCs w:val="22"/>
        </w:rPr>
        <w:t xml:space="preserve">el </w:t>
      </w:r>
      <w:r w:rsidR="009A56C6">
        <w:rPr>
          <w:rFonts w:ascii="Arial" w:hAnsi="Arial" w:cs="Arial"/>
          <w:color w:val="000000"/>
          <w:sz w:val="22"/>
          <w:szCs w:val="22"/>
        </w:rPr>
        <w:t xml:space="preserve">“Informe de Procedimientos </w:t>
      </w:r>
      <w:r>
        <w:rPr>
          <w:rFonts w:ascii="Arial" w:hAnsi="Arial" w:cs="Arial"/>
          <w:color w:val="000000"/>
          <w:sz w:val="22"/>
          <w:szCs w:val="22"/>
        </w:rPr>
        <w:t>Acordados”</w:t>
      </w:r>
      <w:r w:rsidR="00C91384">
        <w:rPr>
          <w:rFonts w:ascii="Arial" w:hAnsi="Arial" w:cs="Arial"/>
          <w:color w:val="000000"/>
          <w:sz w:val="22"/>
          <w:szCs w:val="22"/>
        </w:rPr>
        <w:t xml:space="preserve">. </w:t>
      </w:r>
      <w:r w:rsidR="002D54E5">
        <w:rPr>
          <w:rFonts w:ascii="Arial" w:hAnsi="Arial" w:cs="Arial"/>
          <w:color w:val="000000"/>
          <w:sz w:val="22"/>
          <w:szCs w:val="22"/>
        </w:rPr>
        <w:t>El modelo únicamente</w:t>
      </w:r>
      <w:r>
        <w:rPr>
          <w:rFonts w:ascii="Arial" w:hAnsi="Arial" w:cs="Arial"/>
          <w:color w:val="000000"/>
          <w:sz w:val="22"/>
          <w:szCs w:val="22"/>
        </w:rPr>
        <w:t xml:space="preserve"> </w:t>
      </w:r>
      <w:r w:rsidR="00C0610D">
        <w:rPr>
          <w:rFonts w:ascii="Arial" w:hAnsi="Arial" w:cs="Arial"/>
          <w:color w:val="000000"/>
          <w:sz w:val="22"/>
          <w:szCs w:val="22"/>
        </w:rPr>
        <w:t>indica que se acompaña</w:t>
      </w:r>
      <w:r>
        <w:rPr>
          <w:rFonts w:ascii="Arial" w:hAnsi="Arial" w:cs="Arial"/>
          <w:color w:val="000000"/>
          <w:sz w:val="22"/>
          <w:szCs w:val="22"/>
        </w:rPr>
        <w:t xml:space="preserve"> una certificación del auditor</w:t>
      </w:r>
      <w:r w:rsidR="00C91384">
        <w:rPr>
          <w:rFonts w:ascii="Arial" w:hAnsi="Arial" w:cs="Arial"/>
          <w:color w:val="000000"/>
          <w:sz w:val="22"/>
          <w:szCs w:val="22"/>
        </w:rPr>
        <w:t xml:space="preserve"> sin concretar si se refiere</w:t>
      </w:r>
      <w:r w:rsidR="003231A4">
        <w:rPr>
          <w:rFonts w:ascii="Arial" w:hAnsi="Arial" w:cs="Arial"/>
          <w:color w:val="000000"/>
          <w:sz w:val="22"/>
          <w:szCs w:val="22"/>
        </w:rPr>
        <w:t xml:space="preserve"> específicamente</w:t>
      </w:r>
      <w:r w:rsidR="00C91384">
        <w:rPr>
          <w:rFonts w:ascii="Arial" w:hAnsi="Arial" w:cs="Arial"/>
          <w:color w:val="000000"/>
          <w:sz w:val="22"/>
          <w:szCs w:val="22"/>
        </w:rPr>
        <w:t xml:space="preserve"> a</w:t>
      </w:r>
      <w:r w:rsidR="007C13C3">
        <w:rPr>
          <w:rFonts w:ascii="Arial" w:hAnsi="Arial" w:cs="Arial"/>
          <w:color w:val="000000"/>
          <w:sz w:val="22"/>
          <w:szCs w:val="22"/>
        </w:rPr>
        <w:t xml:space="preserve"> </w:t>
      </w:r>
      <w:r w:rsidR="00C91384">
        <w:rPr>
          <w:rFonts w:ascii="Arial" w:hAnsi="Arial" w:cs="Arial"/>
          <w:color w:val="000000"/>
          <w:sz w:val="22"/>
          <w:szCs w:val="22"/>
        </w:rPr>
        <w:t>l</w:t>
      </w:r>
      <w:r w:rsidR="007C13C3">
        <w:rPr>
          <w:rFonts w:ascii="Arial" w:hAnsi="Arial" w:cs="Arial"/>
          <w:color w:val="000000"/>
          <w:sz w:val="22"/>
          <w:szCs w:val="22"/>
        </w:rPr>
        <w:t>a certificación relativa al</w:t>
      </w:r>
      <w:r w:rsidR="00C91384">
        <w:rPr>
          <w:rFonts w:ascii="Arial" w:hAnsi="Arial" w:cs="Arial"/>
          <w:color w:val="000000"/>
          <w:sz w:val="22"/>
          <w:szCs w:val="22"/>
        </w:rPr>
        <w:t xml:space="preserve"> contenido de las cuentas anuales auditadas</w:t>
      </w:r>
      <w:r>
        <w:rPr>
          <w:rFonts w:ascii="Arial" w:hAnsi="Arial" w:cs="Arial"/>
          <w:color w:val="000000"/>
          <w:sz w:val="22"/>
          <w:szCs w:val="22"/>
        </w:rPr>
        <w:t xml:space="preserve">. </w:t>
      </w:r>
    </w:p>
    <w:p w14:paraId="7C554CC6" w14:textId="2294C87B" w:rsidR="00B52C03" w:rsidRPr="00B52C03" w:rsidRDefault="002C0862" w:rsidP="00D36680">
      <w:pPr>
        <w:pStyle w:val="parrafo2"/>
        <w:spacing w:before="360" w:beforeAutospacing="0" w:after="180" w:afterAutospacing="0"/>
        <w:jc w:val="both"/>
        <w:rPr>
          <w:rFonts w:ascii="Arial" w:hAnsi="Arial" w:cs="Arial"/>
          <w:i/>
          <w:color w:val="000000"/>
          <w:sz w:val="22"/>
          <w:szCs w:val="22"/>
        </w:rPr>
      </w:pPr>
      <w:r w:rsidRPr="00E619E6">
        <w:rPr>
          <w:rFonts w:ascii="Arial" w:hAnsi="Arial" w:cs="Arial"/>
          <w:sz w:val="22"/>
          <w:szCs w:val="22"/>
        </w:rPr>
        <w:t xml:space="preserve">Respecto a la certificación del auditor de las </w:t>
      </w:r>
      <w:r w:rsidR="00601F87" w:rsidRPr="00E619E6">
        <w:rPr>
          <w:rFonts w:ascii="Arial" w:hAnsi="Arial" w:cs="Arial"/>
          <w:sz w:val="22"/>
          <w:szCs w:val="22"/>
        </w:rPr>
        <w:t xml:space="preserve">últimas </w:t>
      </w:r>
      <w:r w:rsidRPr="00E619E6">
        <w:rPr>
          <w:rFonts w:ascii="Arial" w:hAnsi="Arial" w:cs="Arial"/>
          <w:sz w:val="22"/>
          <w:szCs w:val="22"/>
        </w:rPr>
        <w:t>cuentas anuales</w:t>
      </w:r>
      <w:r w:rsidR="00601F87" w:rsidRPr="00E619E6">
        <w:rPr>
          <w:rFonts w:ascii="Arial" w:hAnsi="Arial" w:cs="Arial"/>
          <w:sz w:val="22"/>
          <w:szCs w:val="22"/>
        </w:rPr>
        <w:t xml:space="preserve"> auditadas</w:t>
      </w:r>
      <w:r w:rsidR="00601F87" w:rsidRPr="00E619E6">
        <w:rPr>
          <w:rStyle w:val="Refdenotaalpie"/>
          <w:rFonts w:ascii="Arial" w:hAnsi="Arial" w:cs="Arial"/>
          <w:sz w:val="22"/>
          <w:szCs w:val="22"/>
        </w:rPr>
        <w:footnoteReference w:id="1"/>
      </w:r>
      <w:r w:rsidR="00601F87" w:rsidRPr="00E619E6">
        <w:rPr>
          <w:rFonts w:ascii="Arial" w:hAnsi="Arial" w:cs="Arial"/>
          <w:sz w:val="22"/>
          <w:szCs w:val="22"/>
        </w:rPr>
        <w:t xml:space="preserve"> </w:t>
      </w:r>
      <w:r w:rsidR="002D54E5" w:rsidRPr="00E619E6">
        <w:rPr>
          <w:rFonts w:ascii="Arial" w:hAnsi="Arial" w:cs="Arial"/>
          <w:sz w:val="22"/>
          <w:szCs w:val="22"/>
        </w:rPr>
        <w:t>que expresa</w:t>
      </w:r>
      <w:r w:rsidRPr="00E619E6">
        <w:rPr>
          <w:rFonts w:ascii="Arial" w:hAnsi="Arial" w:cs="Arial"/>
          <w:sz w:val="22"/>
          <w:szCs w:val="22"/>
        </w:rPr>
        <w:t xml:space="preserve"> que se alcanza el nivel de cumplimiento de los plazos de pago establecidos en la Ley 3/2004, de 29 de diciembre, se considera que solo podrá </w:t>
      </w:r>
      <w:r w:rsidR="00294209" w:rsidRPr="00E619E6">
        <w:rPr>
          <w:rFonts w:ascii="Arial" w:hAnsi="Arial" w:cs="Arial"/>
          <w:sz w:val="22"/>
          <w:szCs w:val="22"/>
        </w:rPr>
        <w:t>ser positivo</w:t>
      </w:r>
      <w:r w:rsidRPr="00E619E6">
        <w:rPr>
          <w:rFonts w:ascii="Arial" w:hAnsi="Arial" w:cs="Arial"/>
          <w:sz w:val="22"/>
          <w:szCs w:val="22"/>
        </w:rPr>
        <w:t xml:space="preserve"> si recoge un cumplimiento por parte de la entidad del 100% de los plazos de pago. En caso </w:t>
      </w:r>
      <w:r w:rsidRPr="00B52C03">
        <w:rPr>
          <w:rFonts w:ascii="Arial" w:hAnsi="Arial" w:cs="Arial"/>
          <w:color w:val="000000"/>
          <w:sz w:val="22"/>
          <w:szCs w:val="22"/>
        </w:rPr>
        <w:t xml:space="preserve">contrario, </w:t>
      </w:r>
      <w:r w:rsidR="00C57BA7" w:rsidRPr="00B52C03">
        <w:rPr>
          <w:rFonts w:ascii="Arial" w:hAnsi="Arial" w:cs="Arial"/>
          <w:color w:val="000000"/>
          <w:sz w:val="22"/>
          <w:szCs w:val="22"/>
        </w:rPr>
        <w:t xml:space="preserve">el interesado </w:t>
      </w:r>
      <w:r w:rsidR="002F4DD2">
        <w:rPr>
          <w:rFonts w:ascii="Arial" w:hAnsi="Arial" w:cs="Arial"/>
          <w:color w:val="000000"/>
          <w:sz w:val="22"/>
          <w:szCs w:val="22"/>
        </w:rPr>
        <w:t xml:space="preserve">para obtener la condición de beneficiario </w:t>
      </w:r>
      <w:r w:rsidR="00294209" w:rsidRPr="00B52C03">
        <w:rPr>
          <w:rFonts w:ascii="Arial" w:hAnsi="Arial" w:cs="Arial"/>
          <w:color w:val="000000"/>
          <w:sz w:val="22"/>
          <w:szCs w:val="22"/>
        </w:rPr>
        <w:t>podrá aportar el</w:t>
      </w:r>
      <w:r w:rsidR="00C0610D">
        <w:rPr>
          <w:rFonts w:ascii="Arial" w:hAnsi="Arial" w:cs="Arial"/>
          <w:color w:val="000000"/>
          <w:sz w:val="22"/>
          <w:szCs w:val="22"/>
        </w:rPr>
        <w:t xml:space="preserve"> “Informe de Procedimientos A</w:t>
      </w:r>
      <w:r w:rsidRPr="00B52C03">
        <w:rPr>
          <w:rFonts w:ascii="Arial" w:hAnsi="Arial" w:cs="Arial"/>
          <w:color w:val="000000"/>
          <w:sz w:val="22"/>
          <w:szCs w:val="22"/>
        </w:rPr>
        <w:t>cordados</w:t>
      </w:r>
      <w:r w:rsidR="00C0610D">
        <w:rPr>
          <w:rFonts w:ascii="Arial" w:hAnsi="Arial" w:cs="Arial"/>
          <w:color w:val="000000"/>
          <w:sz w:val="22"/>
          <w:szCs w:val="22"/>
        </w:rPr>
        <w:t>”</w:t>
      </w:r>
      <w:r w:rsidR="00C57BA7" w:rsidRPr="00B52C03">
        <w:rPr>
          <w:rFonts w:ascii="Arial" w:hAnsi="Arial" w:cs="Arial"/>
          <w:color w:val="000000"/>
          <w:sz w:val="22"/>
          <w:szCs w:val="22"/>
        </w:rPr>
        <w:t>.</w:t>
      </w:r>
      <w:r w:rsidRPr="00B52C03">
        <w:rPr>
          <w:rFonts w:ascii="Arial" w:hAnsi="Arial" w:cs="Arial"/>
          <w:color w:val="000000"/>
          <w:sz w:val="22"/>
          <w:szCs w:val="22"/>
        </w:rPr>
        <w:t xml:space="preserve"> A estos efectos, la transcripción del contenido </w:t>
      </w:r>
      <w:r w:rsidRPr="00B52C03">
        <w:rPr>
          <w:rFonts w:ascii="Arial" w:hAnsi="Arial" w:cs="Arial"/>
          <w:color w:val="000000"/>
          <w:sz w:val="22"/>
          <w:szCs w:val="22"/>
        </w:rPr>
        <w:lastRenderedPageBreak/>
        <w:t xml:space="preserve">de la memoria </w:t>
      </w:r>
      <w:r w:rsidR="00C57BA7" w:rsidRPr="00B52C03">
        <w:rPr>
          <w:rFonts w:ascii="Arial" w:hAnsi="Arial" w:cs="Arial"/>
          <w:color w:val="000000"/>
          <w:sz w:val="22"/>
          <w:szCs w:val="22"/>
        </w:rPr>
        <w:t xml:space="preserve">de las cuentas anuales </w:t>
      </w:r>
      <w:r w:rsidRPr="00B52C03">
        <w:rPr>
          <w:rFonts w:ascii="Arial" w:hAnsi="Arial" w:cs="Arial"/>
          <w:color w:val="000000"/>
          <w:sz w:val="22"/>
          <w:szCs w:val="22"/>
        </w:rPr>
        <w:t>en el certificado del auditor resulta necesaria, y así lo indica el artículo</w:t>
      </w:r>
      <w:r w:rsidR="00B52C03" w:rsidRPr="00B52C03">
        <w:rPr>
          <w:rFonts w:ascii="Arial" w:hAnsi="Arial" w:cs="Arial"/>
          <w:color w:val="000000"/>
          <w:sz w:val="22"/>
          <w:szCs w:val="22"/>
        </w:rPr>
        <w:t xml:space="preserve"> 13.3 bis b) 1.º </w:t>
      </w:r>
      <w:r w:rsidR="00B52C03">
        <w:rPr>
          <w:rFonts w:ascii="Arial" w:hAnsi="Arial" w:cs="Arial"/>
          <w:color w:val="000000"/>
          <w:sz w:val="22"/>
          <w:szCs w:val="22"/>
        </w:rPr>
        <w:t>“</w:t>
      </w:r>
      <w:r w:rsidR="00B52C03" w:rsidRPr="00B52C03">
        <w:rPr>
          <w:rFonts w:ascii="Arial" w:hAnsi="Arial" w:cs="Arial"/>
          <w:i/>
          <w:color w:val="000000"/>
          <w:sz w:val="22"/>
          <w:szCs w:val="22"/>
        </w:rPr>
        <w:t xml:space="preserve">Certificación emitida por auditor inscrito en el Registro Oficial de Auditores de Cuentas </w:t>
      </w:r>
      <w:r w:rsidR="00B52C03" w:rsidRPr="00B52C03">
        <w:rPr>
          <w:rFonts w:ascii="Arial" w:hAnsi="Arial" w:cs="Arial"/>
          <w:b/>
          <w:i/>
          <w:color w:val="000000"/>
          <w:sz w:val="22"/>
          <w:szCs w:val="22"/>
        </w:rPr>
        <w:t>que contenga una trascripción desglosada de la información en materia de pagos descrita en la memoria de las últimas cuentas anuales auditadas</w:t>
      </w:r>
      <w:r w:rsidR="00B52C03" w:rsidRPr="00B52C03">
        <w:rPr>
          <w:rFonts w:ascii="Arial" w:hAnsi="Arial" w:cs="Arial"/>
          <w:i/>
          <w:color w:val="000000"/>
          <w:sz w:val="22"/>
          <w:szCs w:val="22"/>
        </w:rPr>
        <w:t>, cuando de ellas se desprenda que se alcanza el nivel de cumplimiento de los plazos de pago establecidos en la Ley 3/2004, de 29 de diciembre, determinado en este apartado, en base a la información requerida por la disposición adicional tercera de la Ley 15/2010, de 5 de julio, de modificación de la Ley 3/2004, de 29 de diciembre.</w:t>
      </w:r>
    </w:p>
    <w:p w14:paraId="6F6F4E46" w14:textId="77777777" w:rsidR="002C0862" w:rsidRDefault="002C0862" w:rsidP="002C0862">
      <w:pPr>
        <w:pStyle w:val="Default"/>
        <w:jc w:val="both"/>
        <w:rPr>
          <w:rFonts w:eastAsia="Times New Roman"/>
          <w:sz w:val="22"/>
          <w:szCs w:val="22"/>
          <w:lang w:eastAsia="es-ES"/>
        </w:rPr>
      </w:pPr>
      <w:r>
        <w:rPr>
          <w:rFonts w:eastAsia="Times New Roman"/>
          <w:sz w:val="22"/>
          <w:szCs w:val="22"/>
          <w:lang w:eastAsia="es-ES"/>
        </w:rPr>
        <w:t>No obstante, este artículo no restringe la inclusión de otros contenidos que puedan resultar aclaratorios</w:t>
      </w:r>
      <w:r w:rsidR="003231A4">
        <w:rPr>
          <w:rFonts w:eastAsia="Times New Roman"/>
          <w:sz w:val="22"/>
          <w:szCs w:val="22"/>
          <w:lang w:eastAsia="es-ES"/>
        </w:rPr>
        <w:t xml:space="preserve"> respecto al alcance del cumplimiento que, como se indicaba, debiera ser completo para tener carácter positivo</w:t>
      </w:r>
      <w:r>
        <w:rPr>
          <w:rFonts w:eastAsia="Times New Roman"/>
          <w:sz w:val="22"/>
          <w:szCs w:val="22"/>
          <w:lang w:eastAsia="es-ES"/>
        </w:rPr>
        <w:t xml:space="preserve">. </w:t>
      </w:r>
    </w:p>
    <w:p w14:paraId="1C1AC77F" w14:textId="77777777" w:rsidR="004A1D66" w:rsidRPr="00C91384" w:rsidRDefault="002C0862" w:rsidP="00C82624">
      <w:pPr>
        <w:pStyle w:val="parrafo2"/>
        <w:spacing w:before="360" w:beforeAutospacing="0" w:after="180" w:afterAutospacing="0"/>
        <w:jc w:val="both"/>
        <w:rPr>
          <w:rFonts w:ascii="Arial" w:hAnsi="Arial" w:cs="Arial"/>
          <w:color w:val="000000"/>
          <w:sz w:val="22"/>
          <w:szCs w:val="22"/>
        </w:rPr>
      </w:pPr>
      <w:r>
        <w:rPr>
          <w:rFonts w:ascii="Arial" w:hAnsi="Arial" w:cs="Arial"/>
          <w:color w:val="000000"/>
          <w:sz w:val="22"/>
          <w:szCs w:val="22"/>
        </w:rPr>
        <w:t>E</w:t>
      </w:r>
      <w:r w:rsidR="00C91384">
        <w:rPr>
          <w:rFonts w:ascii="Arial" w:hAnsi="Arial" w:cs="Arial"/>
          <w:color w:val="000000"/>
          <w:sz w:val="22"/>
          <w:szCs w:val="22"/>
        </w:rPr>
        <w:t>n caso de acudir a la acreditación mediante “Informe de Procedimientos Acordados”</w:t>
      </w:r>
      <w:r w:rsidR="007C13C3">
        <w:rPr>
          <w:rFonts w:ascii="Arial" w:hAnsi="Arial" w:cs="Arial"/>
          <w:color w:val="000000"/>
          <w:sz w:val="22"/>
          <w:szCs w:val="22"/>
        </w:rPr>
        <w:t xml:space="preserve">, la norma </w:t>
      </w:r>
      <w:r w:rsidR="007D5C02">
        <w:rPr>
          <w:rFonts w:ascii="Arial" w:hAnsi="Arial" w:cs="Arial"/>
          <w:color w:val="000000"/>
          <w:sz w:val="22"/>
          <w:szCs w:val="22"/>
        </w:rPr>
        <w:t>(13.3 bis b)</w:t>
      </w:r>
      <w:r w:rsidR="007D5C02" w:rsidRPr="007D5C02">
        <w:rPr>
          <w:rFonts w:ascii="Arial" w:hAnsi="Arial" w:cs="Arial"/>
          <w:color w:val="000000"/>
          <w:sz w:val="22"/>
          <w:szCs w:val="22"/>
        </w:rPr>
        <w:t xml:space="preserve"> de la LGS) </w:t>
      </w:r>
      <w:r w:rsidR="007C13C3">
        <w:rPr>
          <w:rFonts w:ascii="Arial" w:hAnsi="Arial" w:cs="Arial"/>
          <w:color w:val="000000"/>
          <w:sz w:val="22"/>
          <w:szCs w:val="22"/>
        </w:rPr>
        <w:t>no alude a la certificación, concretando que</w:t>
      </w:r>
      <w:r w:rsidR="00C91384">
        <w:rPr>
          <w:rFonts w:ascii="Arial" w:hAnsi="Arial" w:cs="Arial"/>
          <w:color w:val="000000"/>
          <w:sz w:val="22"/>
          <w:szCs w:val="22"/>
        </w:rPr>
        <w:t xml:space="preserve"> se debe aportar </w:t>
      </w:r>
      <w:r w:rsidR="003231A4">
        <w:rPr>
          <w:rFonts w:ascii="Arial" w:hAnsi="Arial" w:cs="Arial"/>
          <w:color w:val="000000"/>
          <w:sz w:val="22"/>
          <w:szCs w:val="22"/>
        </w:rPr>
        <w:t>el propio informe</w:t>
      </w:r>
      <w:r w:rsidR="007D5C02">
        <w:rPr>
          <w:rFonts w:ascii="Arial" w:hAnsi="Arial" w:cs="Arial"/>
          <w:color w:val="000000"/>
          <w:sz w:val="22"/>
          <w:szCs w:val="22"/>
        </w:rPr>
        <w:t>:</w:t>
      </w:r>
      <w:r w:rsidR="004A1D66">
        <w:rPr>
          <w:rFonts w:ascii="Verdana" w:hAnsi="Verdana"/>
          <w:color w:val="000000"/>
        </w:rPr>
        <w:t xml:space="preserve"> </w:t>
      </w:r>
      <w:r w:rsidR="004A1D66" w:rsidRPr="00285737">
        <w:rPr>
          <w:rFonts w:ascii="Arial" w:hAnsi="Arial" w:cs="Arial"/>
          <w:i/>
          <w:color w:val="000000"/>
          <w:sz w:val="22"/>
          <w:szCs w:val="22"/>
        </w:rPr>
        <w:t>“En el caso de que no sea posible emitir el certificado al que se refiere el número anterior, «Informe de Procedimientos Acordados», elaborado por un auditor inscrito en el Registro Oficial de Auditores de Cuentas”</w:t>
      </w:r>
      <w:r w:rsidR="00C91384" w:rsidRPr="00285737">
        <w:rPr>
          <w:rFonts w:ascii="Arial" w:hAnsi="Arial" w:cs="Arial"/>
          <w:i/>
          <w:color w:val="000000"/>
          <w:sz w:val="22"/>
          <w:szCs w:val="22"/>
        </w:rPr>
        <w:t>.</w:t>
      </w:r>
      <w:r w:rsidR="00C91384" w:rsidRPr="002C0862">
        <w:rPr>
          <w:rFonts w:ascii="Arial" w:hAnsi="Arial" w:cs="Arial"/>
          <w:color w:val="000000"/>
          <w:sz w:val="22"/>
          <w:szCs w:val="22"/>
        </w:rPr>
        <w:t xml:space="preserve"> </w:t>
      </w:r>
      <w:r w:rsidR="00C91384">
        <w:rPr>
          <w:rFonts w:ascii="Arial" w:hAnsi="Arial" w:cs="Arial"/>
          <w:color w:val="000000"/>
          <w:sz w:val="22"/>
          <w:szCs w:val="22"/>
        </w:rPr>
        <w:t xml:space="preserve">Este informe será necesario </w:t>
      </w:r>
      <w:r w:rsidR="00A5547F">
        <w:rPr>
          <w:rFonts w:ascii="Arial" w:hAnsi="Arial" w:cs="Arial"/>
          <w:color w:val="000000"/>
          <w:sz w:val="22"/>
          <w:szCs w:val="22"/>
        </w:rPr>
        <w:t>a efectos de</w:t>
      </w:r>
      <w:r w:rsidR="00C91384">
        <w:rPr>
          <w:rFonts w:ascii="Arial" w:hAnsi="Arial" w:cs="Arial"/>
          <w:color w:val="000000"/>
          <w:sz w:val="22"/>
          <w:szCs w:val="22"/>
        </w:rPr>
        <w:t xml:space="preserve"> comprobar los requisitos recogidos en el artículo 22 bis </w:t>
      </w:r>
      <w:r w:rsidR="007D5C02">
        <w:rPr>
          <w:rFonts w:ascii="Arial" w:hAnsi="Arial" w:cs="Arial"/>
          <w:color w:val="000000"/>
          <w:sz w:val="22"/>
          <w:szCs w:val="22"/>
        </w:rPr>
        <w:t xml:space="preserve">del </w:t>
      </w:r>
      <w:r w:rsidR="00761E68" w:rsidRPr="00761E68">
        <w:rPr>
          <w:rFonts w:ascii="Arial" w:hAnsi="Arial" w:cs="Arial"/>
          <w:color w:val="000000"/>
          <w:sz w:val="22"/>
          <w:szCs w:val="22"/>
        </w:rPr>
        <w:t>Real Decreto 887/2006, por el que se aprueba el Reglamento de la Ley 38/2003 General de Su</w:t>
      </w:r>
      <w:r w:rsidR="00761E68" w:rsidRPr="002C0862">
        <w:rPr>
          <w:rFonts w:ascii="Arial" w:hAnsi="Arial" w:cs="Arial"/>
          <w:color w:val="000000"/>
          <w:sz w:val="22"/>
          <w:szCs w:val="22"/>
        </w:rPr>
        <w:t xml:space="preserve">bvenciones </w:t>
      </w:r>
      <w:r w:rsidR="00921B68">
        <w:rPr>
          <w:rFonts w:ascii="Arial" w:hAnsi="Arial" w:cs="Arial"/>
          <w:color w:val="000000"/>
          <w:sz w:val="22"/>
          <w:szCs w:val="22"/>
        </w:rPr>
        <w:t xml:space="preserve">(en adelante Reglamento de la LGS) </w:t>
      </w:r>
      <w:r w:rsidR="00C91384">
        <w:rPr>
          <w:rFonts w:ascii="Arial" w:hAnsi="Arial" w:cs="Arial"/>
          <w:color w:val="000000"/>
          <w:sz w:val="22"/>
          <w:szCs w:val="22"/>
        </w:rPr>
        <w:t xml:space="preserve">relativos </w:t>
      </w:r>
      <w:r w:rsidR="00644F51">
        <w:rPr>
          <w:rFonts w:ascii="Arial" w:hAnsi="Arial" w:cs="Arial"/>
          <w:color w:val="000000"/>
          <w:sz w:val="22"/>
          <w:szCs w:val="22"/>
        </w:rPr>
        <w:t xml:space="preserve">al </w:t>
      </w:r>
      <w:r w:rsidR="00C91384">
        <w:rPr>
          <w:rFonts w:ascii="Arial" w:hAnsi="Arial" w:cs="Arial"/>
          <w:color w:val="000000"/>
          <w:sz w:val="22"/>
          <w:szCs w:val="22"/>
        </w:rPr>
        <w:t>grado de cumplimiento, fecha de emisión, fecha de referencia y validez.</w:t>
      </w:r>
    </w:p>
    <w:p w14:paraId="4A64148C" w14:textId="77777777" w:rsidR="00C57BA7" w:rsidRDefault="00925D86" w:rsidP="00C57BA7">
      <w:pPr>
        <w:shd w:val="clear" w:color="auto" w:fill="FFFFFF"/>
        <w:spacing w:before="180" w:after="180" w:line="240" w:lineRule="auto"/>
        <w:jc w:val="both"/>
        <w:rPr>
          <w:rFonts w:ascii="Arial" w:eastAsia="Times New Roman" w:hAnsi="Arial" w:cs="Arial"/>
          <w:color w:val="000000"/>
          <w:lang w:eastAsia="es-ES"/>
        </w:rPr>
      </w:pPr>
      <w:r>
        <w:rPr>
          <w:rFonts w:ascii="Arial" w:eastAsia="Times New Roman" w:hAnsi="Arial" w:cs="Arial"/>
          <w:color w:val="000000"/>
          <w:lang w:eastAsia="es-ES"/>
        </w:rPr>
        <w:t>Respecto a la comprobación relativa a la fecha de emisión del informe, el referido artículo 22 bis del Reglamento de la LGS establece:</w:t>
      </w:r>
      <w:r w:rsidR="009A56C6">
        <w:rPr>
          <w:rFonts w:ascii="Arial" w:eastAsia="Times New Roman" w:hAnsi="Arial" w:cs="Arial"/>
          <w:color w:val="000000"/>
          <w:lang w:eastAsia="es-ES"/>
        </w:rPr>
        <w:t xml:space="preserve"> </w:t>
      </w:r>
      <w:r>
        <w:rPr>
          <w:rFonts w:ascii="Arial" w:eastAsia="Times New Roman" w:hAnsi="Arial" w:cs="Arial"/>
          <w:color w:val="000000"/>
          <w:lang w:eastAsia="es-ES"/>
        </w:rPr>
        <w:t>“</w:t>
      </w:r>
      <w:r w:rsidR="009A56C6" w:rsidRPr="00925D86">
        <w:rPr>
          <w:rFonts w:ascii="Arial" w:eastAsia="Times New Roman" w:hAnsi="Arial" w:cs="Arial"/>
          <w:i/>
          <w:color w:val="000000"/>
          <w:lang w:eastAsia="es-ES"/>
        </w:rPr>
        <w:t>El Informe de Procedimientos Acordados deberá realizarse sobre la documentación proporcionada por la sociedad auditada; en concreto, sobre el detalle de facturas pendientes de pago a proveedores, excluyendo las correspondientes a proveedores que formen parte del mismo grupo de sociedades en el sentido del artículo 42 del Código de Comercio, a una fecha de corte, que se considerará fecha de referencia y que, como máximo, deberá ser anterior en un mes a la emisión del informe</w:t>
      </w:r>
      <w:r w:rsidRPr="00925D86">
        <w:rPr>
          <w:rFonts w:ascii="Arial" w:eastAsia="Times New Roman" w:hAnsi="Arial" w:cs="Arial"/>
          <w:color w:val="000000"/>
          <w:lang w:eastAsia="es-ES"/>
        </w:rPr>
        <w:t>”</w:t>
      </w:r>
      <w:r w:rsidR="009A56C6" w:rsidRPr="00925D86">
        <w:rPr>
          <w:rFonts w:ascii="Arial" w:eastAsia="Times New Roman" w:hAnsi="Arial" w:cs="Arial"/>
          <w:color w:val="000000"/>
          <w:lang w:eastAsia="es-ES"/>
        </w:rPr>
        <w:t>.</w:t>
      </w:r>
      <w:r w:rsidR="00C57BA7">
        <w:rPr>
          <w:rFonts w:ascii="Arial" w:eastAsia="Times New Roman" w:hAnsi="Arial" w:cs="Arial"/>
          <w:color w:val="000000"/>
          <w:lang w:eastAsia="es-ES"/>
        </w:rPr>
        <w:t xml:space="preserve"> En él se expresa de forma rotunda que la fecha de referencia deberá ser como máximo anterior en un mes a la fecha de emisión del informe. Por lo tanto, la pregunta de la Dirección General</w:t>
      </w:r>
      <w:r w:rsidR="00B70E6C">
        <w:rPr>
          <w:rFonts w:ascii="Arial" w:eastAsia="Times New Roman" w:hAnsi="Arial" w:cs="Arial"/>
          <w:color w:val="000000"/>
          <w:lang w:eastAsia="es-ES"/>
        </w:rPr>
        <w:t>,</w:t>
      </w:r>
      <w:r w:rsidR="00C57BA7">
        <w:rPr>
          <w:rFonts w:ascii="Arial" w:eastAsia="Times New Roman" w:hAnsi="Arial" w:cs="Arial"/>
          <w:color w:val="000000"/>
          <w:lang w:eastAsia="es-ES"/>
        </w:rPr>
        <w:t xml:space="preserve"> que formula en los siguientes términos</w:t>
      </w:r>
      <w:r w:rsidR="00B70E6C">
        <w:rPr>
          <w:rFonts w:ascii="Arial" w:eastAsia="Times New Roman" w:hAnsi="Arial" w:cs="Arial"/>
          <w:color w:val="000000"/>
          <w:lang w:eastAsia="es-ES"/>
        </w:rPr>
        <w:t xml:space="preserve">, </w:t>
      </w:r>
      <w:r w:rsidR="00C57BA7">
        <w:rPr>
          <w:rFonts w:ascii="Arial" w:eastAsia="Times New Roman" w:hAnsi="Arial" w:cs="Arial"/>
          <w:color w:val="000000"/>
          <w:lang w:eastAsia="es-ES"/>
        </w:rPr>
        <w:t>“¿</w:t>
      </w:r>
      <w:r w:rsidR="00C57BA7" w:rsidRPr="00925D86">
        <w:rPr>
          <w:rFonts w:ascii="Arial" w:eastAsia="Times New Roman" w:hAnsi="Arial" w:cs="Arial"/>
          <w:i/>
          <w:color w:val="000000"/>
          <w:lang w:eastAsia="es-ES"/>
        </w:rPr>
        <w:t>La fecha de referencia que aparezca en el informe de procedimientos acordados debe ser obligatoriamente anterior en 1 mes a la fecha de emisión del informe?</w:t>
      </w:r>
      <w:r w:rsidR="00C57BA7">
        <w:rPr>
          <w:rFonts w:ascii="Arial" w:eastAsia="Times New Roman" w:hAnsi="Arial" w:cs="Arial"/>
          <w:i/>
          <w:color w:val="000000"/>
          <w:lang w:eastAsia="es-ES"/>
        </w:rPr>
        <w:t>”</w:t>
      </w:r>
      <w:r w:rsidR="00B70E6C">
        <w:t xml:space="preserve">, </w:t>
      </w:r>
      <w:r w:rsidR="00C57BA7">
        <w:rPr>
          <w:rFonts w:ascii="Arial" w:eastAsia="Times New Roman" w:hAnsi="Arial" w:cs="Arial"/>
          <w:color w:val="000000"/>
          <w:lang w:eastAsia="es-ES"/>
        </w:rPr>
        <w:t>se debe responder afirmativamente.</w:t>
      </w:r>
    </w:p>
    <w:p w14:paraId="7C752EA6" w14:textId="77777777" w:rsidR="004E2050" w:rsidRPr="00C57BA7" w:rsidRDefault="00C57BA7" w:rsidP="00C57BA7">
      <w:pPr>
        <w:shd w:val="clear" w:color="auto" w:fill="FFFFFF"/>
        <w:spacing w:before="180" w:after="180" w:line="240" w:lineRule="auto"/>
        <w:jc w:val="both"/>
        <w:rPr>
          <w:rFonts w:ascii="Arial" w:eastAsia="Times New Roman" w:hAnsi="Arial" w:cs="Arial"/>
          <w:color w:val="000000"/>
          <w:lang w:eastAsia="es-ES"/>
        </w:rPr>
      </w:pPr>
      <w:r>
        <w:rPr>
          <w:rFonts w:ascii="Arial" w:eastAsia="Times New Roman" w:hAnsi="Arial" w:cs="Arial"/>
          <w:color w:val="000000"/>
          <w:lang w:eastAsia="es-ES"/>
        </w:rPr>
        <w:t xml:space="preserve">Por otro lado, se debe </w:t>
      </w:r>
      <w:r w:rsidR="00B52C03">
        <w:rPr>
          <w:rFonts w:ascii="Arial" w:eastAsia="Times New Roman" w:hAnsi="Arial" w:cs="Arial"/>
          <w:color w:val="000000"/>
          <w:lang w:eastAsia="es-ES"/>
        </w:rPr>
        <w:t>comprobar</w:t>
      </w:r>
      <w:r>
        <w:rPr>
          <w:rFonts w:ascii="Arial" w:eastAsia="Times New Roman" w:hAnsi="Arial" w:cs="Arial"/>
          <w:color w:val="000000"/>
          <w:lang w:eastAsia="es-ES"/>
        </w:rPr>
        <w:t xml:space="preserve"> si el informe resulta válido conforme a lo estipulado en el</w:t>
      </w:r>
      <w:r w:rsidRPr="003231A4">
        <w:rPr>
          <w:rFonts w:ascii="Arial" w:eastAsia="Times New Roman" w:hAnsi="Arial" w:cs="Arial"/>
          <w:color w:val="000000"/>
          <w:lang w:eastAsia="es-ES"/>
        </w:rPr>
        <w:t xml:space="preserve"> </w:t>
      </w:r>
      <w:r>
        <w:rPr>
          <w:rFonts w:ascii="Arial" w:eastAsia="Times New Roman" w:hAnsi="Arial" w:cs="Arial"/>
          <w:color w:val="000000"/>
          <w:lang w:eastAsia="es-ES"/>
        </w:rPr>
        <w:t xml:space="preserve">primer párrafo del </w:t>
      </w:r>
      <w:r w:rsidRPr="003231A4">
        <w:rPr>
          <w:rFonts w:ascii="Arial" w:eastAsia="Times New Roman" w:hAnsi="Arial" w:cs="Arial"/>
          <w:color w:val="000000"/>
          <w:lang w:eastAsia="es-ES"/>
        </w:rPr>
        <w:t>art</w:t>
      </w:r>
      <w:r>
        <w:rPr>
          <w:rFonts w:ascii="Arial" w:eastAsia="Times New Roman" w:hAnsi="Arial" w:cs="Arial"/>
          <w:color w:val="000000"/>
          <w:lang w:eastAsia="es-ES"/>
        </w:rPr>
        <w:t>ículo 22 bis</w:t>
      </w:r>
      <w:r w:rsidRPr="003231A4">
        <w:rPr>
          <w:rFonts w:ascii="Arial" w:eastAsia="Times New Roman" w:hAnsi="Arial" w:cs="Arial"/>
          <w:color w:val="000000"/>
          <w:lang w:eastAsia="es-ES"/>
        </w:rPr>
        <w:t xml:space="preserve"> del Reglamento de la LGS: “</w:t>
      </w:r>
      <w:r w:rsidRPr="003231A4">
        <w:rPr>
          <w:rFonts w:ascii="Arial" w:eastAsia="Times New Roman" w:hAnsi="Arial" w:cs="Arial"/>
          <w:i/>
          <w:color w:val="000000"/>
          <w:lang w:eastAsia="es-ES"/>
        </w:rPr>
        <w:t>Este Informe de Procedimientos Acordados tendrá una validez de seis meses desde la fecha tomada como referencia</w:t>
      </w:r>
      <w:r w:rsidRPr="003231A4">
        <w:rPr>
          <w:rFonts w:ascii="Arial" w:eastAsia="Times New Roman" w:hAnsi="Arial" w:cs="Arial"/>
          <w:color w:val="000000"/>
          <w:lang w:eastAsia="es-ES"/>
        </w:rPr>
        <w:t>”.</w:t>
      </w:r>
    </w:p>
    <w:p w14:paraId="368B96CF" w14:textId="77777777" w:rsidR="00EE0250" w:rsidRDefault="00921B68" w:rsidP="00EE0250">
      <w:pPr>
        <w:shd w:val="clear" w:color="auto" w:fill="FFFFFF"/>
        <w:spacing w:before="180" w:after="180" w:line="240" w:lineRule="auto"/>
        <w:jc w:val="both"/>
        <w:rPr>
          <w:rFonts w:ascii="Arial" w:eastAsia="Times New Roman" w:hAnsi="Arial" w:cs="Arial"/>
          <w:color w:val="000000"/>
          <w:lang w:eastAsia="es-ES"/>
        </w:rPr>
      </w:pPr>
      <w:r>
        <w:rPr>
          <w:rFonts w:ascii="Arial" w:eastAsia="Times New Roman" w:hAnsi="Arial" w:cs="Arial"/>
          <w:color w:val="000000"/>
          <w:lang w:eastAsia="es-ES"/>
        </w:rPr>
        <w:t>Y el artículo 13.3 bis de la LGS</w:t>
      </w:r>
      <w:r w:rsidR="00EE0250">
        <w:rPr>
          <w:rFonts w:ascii="Arial" w:eastAsia="Times New Roman" w:hAnsi="Arial" w:cs="Arial"/>
          <w:color w:val="000000"/>
          <w:lang w:eastAsia="es-ES"/>
        </w:rPr>
        <w:t xml:space="preserve"> establece: </w:t>
      </w:r>
      <w:r w:rsidR="00EE0250" w:rsidRPr="0034449C">
        <w:rPr>
          <w:rFonts w:ascii="Arial" w:eastAsia="Times New Roman" w:hAnsi="Arial" w:cs="Arial"/>
          <w:color w:val="000000"/>
          <w:lang w:eastAsia="es-ES"/>
        </w:rPr>
        <w:t>“</w:t>
      </w:r>
      <w:r w:rsidR="00EE0250" w:rsidRPr="0034449C">
        <w:rPr>
          <w:rFonts w:ascii="Arial" w:eastAsia="Times New Roman" w:hAnsi="Arial" w:cs="Arial"/>
          <w:i/>
          <w:color w:val="000000"/>
          <w:lang w:eastAsia="es-ES"/>
        </w:rPr>
        <w:t>No obstante, si la certificación de auditor o el informe de procedimientos acordados no pudiere obtenerse antes de la terminación del plazo establecido para su presentación, se aportará justificante de haber solicitado dicho medio de acreditación y una vez obtenido se presentará inmediatamente y, en todo caso, antes de la resolución de concesión</w:t>
      </w:r>
      <w:r w:rsidR="00EE0250" w:rsidRPr="0034449C">
        <w:rPr>
          <w:rFonts w:ascii="Arial" w:eastAsia="Times New Roman" w:hAnsi="Arial" w:cs="Arial"/>
          <w:color w:val="000000"/>
          <w:lang w:eastAsia="es-ES"/>
        </w:rPr>
        <w:t>".</w:t>
      </w:r>
    </w:p>
    <w:p w14:paraId="24254A75" w14:textId="7491FDD7" w:rsidR="00AB5D3B" w:rsidRDefault="00D36680" w:rsidP="00EE0250">
      <w:pPr>
        <w:shd w:val="clear" w:color="auto" w:fill="FFFFFF"/>
        <w:spacing w:before="180" w:after="180" w:line="240" w:lineRule="auto"/>
        <w:jc w:val="both"/>
        <w:rPr>
          <w:rFonts w:ascii="Arial" w:eastAsia="Times New Roman" w:hAnsi="Arial" w:cs="Arial"/>
          <w:color w:val="000000"/>
          <w:lang w:eastAsia="es-ES"/>
        </w:rPr>
      </w:pPr>
      <w:r>
        <w:rPr>
          <w:rFonts w:ascii="Arial" w:eastAsia="Times New Roman" w:hAnsi="Arial" w:cs="Arial"/>
          <w:color w:val="000000"/>
          <w:lang w:eastAsia="es-ES"/>
        </w:rPr>
        <w:t>Por lo tanto, l</w:t>
      </w:r>
      <w:r w:rsidR="002F4DD2">
        <w:rPr>
          <w:rFonts w:ascii="Arial" w:eastAsia="Times New Roman" w:hAnsi="Arial" w:cs="Arial"/>
          <w:color w:val="000000"/>
          <w:lang w:eastAsia="es-ES"/>
        </w:rPr>
        <w:t>a pregunta que</w:t>
      </w:r>
      <w:r w:rsidR="00EE0250">
        <w:rPr>
          <w:rFonts w:ascii="Arial" w:eastAsia="Times New Roman" w:hAnsi="Arial" w:cs="Arial"/>
          <w:color w:val="000000"/>
          <w:lang w:eastAsia="es-ES"/>
        </w:rPr>
        <w:t xml:space="preserve"> la Dirección General formula en los siguientes términos</w:t>
      </w:r>
      <w:r w:rsidR="00B70E6C">
        <w:rPr>
          <w:rFonts w:ascii="Arial" w:eastAsia="Times New Roman" w:hAnsi="Arial" w:cs="Arial"/>
          <w:color w:val="000000"/>
          <w:lang w:eastAsia="es-ES"/>
        </w:rPr>
        <w:t xml:space="preserve">, </w:t>
      </w:r>
      <w:r w:rsidR="00EE0250" w:rsidRPr="004F560F">
        <w:rPr>
          <w:rFonts w:ascii="Arial" w:eastAsia="Times New Roman" w:hAnsi="Arial" w:cs="Arial"/>
          <w:i/>
          <w:color w:val="000000"/>
          <w:lang w:eastAsia="es-ES"/>
        </w:rPr>
        <w:t>“¿en estos casos, la fecha del informe debería tener una antigüedad inferior a 6 meses a fecha de resolución de concesión o a fecha de solicitud de subvención?”</w:t>
      </w:r>
      <w:r w:rsidR="00B70E6C">
        <w:rPr>
          <w:rFonts w:ascii="Arial" w:eastAsia="Times New Roman" w:hAnsi="Arial" w:cs="Arial"/>
          <w:color w:val="000000"/>
          <w:lang w:eastAsia="es-ES"/>
        </w:rPr>
        <w:t xml:space="preserve">, </w:t>
      </w:r>
      <w:r w:rsidR="00EE0250">
        <w:rPr>
          <w:rFonts w:ascii="Arial" w:eastAsia="Times New Roman" w:hAnsi="Arial" w:cs="Arial"/>
          <w:color w:val="000000"/>
          <w:lang w:eastAsia="es-ES"/>
        </w:rPr>
        <w:t xml:space="preserve">se tiene que responder negativamente, puesto que la validez del informe </w:t>
      </w:r>
      <w:r w:rsidR="00B70E6C">
        <w:rPr>
          <w:rFonts w:ascii="Arial" w:eastAsia="Times New Roman" w:hAnsi="Arial" w:cs="Arial"/>
          <w:color w:val="000000"/>
          <w:lang w:eastAsia="es-ES"/>
        </w:rPr>
        <w:t>viene condicionada por</w:t>
      </w:r>
      <w:r w:rsidR="00EE0250">
        <w:rPr>
          <w:rFonts w:ascii="Arial" w:eastAsia="Times New Roman" w:hAnsi="Arial" w:cs="Arial"/>
          <w:color w:val="000000"/>
          <w:lang w:eastAsia="es-ES"/>
        </w:rPr>
        <w:t xml:space="preserve"> la fecha de referenci</w:t>
      </w:r>
      <w:r w:rsidR="00B70E6C">
        <w:rPr>
          <w:rFonts w:ascii="Arial" w:eastAsia="Times New Roman" w:hAnsi="Arial" w:cs="Arial"/>
          <w:color w:val="000000"/>
          <w:lang w:eastAsia="es-ES"/>
        </w:rPr>
        <w:t xml:space="preserve">a recogida en el </w:t>
      </w:r>
      <w:r w:rsidR="00F57CD2">
        <w:rPr>
          <w:rFonts w:ascii="Arial" w:eastAsia="Times New Roman" w:hAnsi="Arial" w:cs="Arial"/>
          <w:color w:val="000000"/>
          <w:lang w:eastAsia="es-ES"/>
        </w:rPr>
        <w:t>mismo</w:t>
      </w:r>
      <w:r w:rsidR="00B70E6C">
        <w:rPr>
          <w:rFonts w:ascii="Arial" w:eastAsia="Times New Roman" w:hAnsi="Arial" w:cs="Arial"/>
          <w:color w:val="000000"/>
          <w:lang w:eastAsia="es-ES"/>
        </w:rPr>
        <w:t xml:space="preserve"> y no por</w:t>
      </w:r>
      <w:r w:rsidR="00F57CD2">
        <w:rPr>
          <w:rFonts w:ascii="Arial" w:eastAsia="Times New Roman" w:hAnsi="Arial" w:cs="Arial"/>
          <w:color w:val="000000"/>
          <w:lang w:eastAsia="es-ES"/>
        </w:rPr>
        <w:t xml:space="preserve"> su</w:t>
      </w:r>
      <w:r w:rsidR="00EE0250">
        <w:rPr>
          <w:rFonts w:ascii="Arial" w:eastAsia="Times New Roman" w:hAnsi="Arial" w:cs="Arial"/>
          <w:color w:val="000000"/>
          <w:lang w:eastAsia="es-ES"/>
        </w:rPr>
        <w:t xml:space="preserve"> fecha de expedición. Por otro lado,</w:t>
      </w:r>
      <w:r w:rsidR="002F4DD2">
        <w:rPr>
          <w:rFonts w:ascii="Arial" w:eastAsia="Times New Roman" w:hAnsi="Arial" w:cs="Arial"/>
          <w:color w:val="000000"/>
          <w:lang w:eastAsia="es-ES"/>
        </w:rPr>
        <w:t xml:space="preserve"> s</w:t>
      </w:r>
      <w:r w:rsidR="00F57CD2">
        <w:rPr>
          <w:rFonts w:ascii="Arial" w:eastAsia="Times New Roman" w:hAnsi="Arial" w:cs="Arial"/>
          <w:color w:val="000000"/>
          <w:lang w:eastAsia="es-ES"/>
        </w:rPr>
        <w:t>u</w:t>
      </w:r>
      <w:r w:rsidR="00EE0250">
        <w:rPr>
          <w:rFonts w:ascii="Arial" w:eastAsia="Times New Roman" w:hAnsi="Arial" w:cs="Arial"/>
          <w:color w:val="000000"/>
          <w:lang w:eastAsia="es-ES"/>
        </w:rPr>
        <w:t xml:space="preserve"> validez se debe comprobar siempre inmediatamente antes de la resolución de concesión</w:t>
      </w:r>
      <w:r w:rsidR="00B70E6C">
        <w:rPr>
          <w:rFonts w:ascii="Arial" w:eastAsia="Times New Roman" w:hAnsi="Arial" w:cs="Arial"/>
          <w:color w:val="000000"/>
          <w:lang w:eastAsia="es-ES"/>
        </w:rPr>
        <w:t xml:space="preserve">, no </w:t>
      </w:r>
      <w:r w:rsidR="005A1340">
        <w:rPr>
          <w:rFonts w:ascii="Arial" w:eastAsia="Times New Roman" w:hAnsi="Arial" w:cs="Arial"/>
          <w:color w:val="000000"/>
          <w:lang w:eastAsia="es-ES"/>
        </w:rPr>
        <w:t xml:space="preserve">solo </w:t>
      </w:r>
      <w:r w:rsidR="00B70E6C">
        <w:rPr>
          <w:rFonts w:ascii="Arial" w:eastAsia="Times New Roman" w:hAnsi="Arial" w:cs="Arial"/>
          <w:color w:val="000000"/>
          <w:lang w:eastAsia="es-ES"/>
        </w:rPr>
        <w:t>en</w:t>
      </w:r>
      <w:r w:rsidR="00EE0250">
        <w:rPr>
          <w:rFonts w:ascii="Arial" w:eastAsia="Times New Roman" w:hAnsi="Arial" w:cs="Arial"/>
          <w:color w:val="000000"/>
          <w:lang w:eastAsia="es-ES"/>
        </w:rPr>
        <w:t xml:space="preserve"> la fecha de solicitud, para que no obtengan la condición de </w:t>
      </w:r>
      <w:r w:rsidR="00EE0250">
        <w:rPr>
          <w:rFonts w:ascii="Arial" w:eastAsia="Times New Roman" w:hAnsi="Arial" w:cs="Arial"/>
          <w:color w:val="000000"/>
          <w:lang w:eastAsia="es-ES"/>
        </w:rPr>
        <w:lastRenderedPageBreak/>
        <w:t xml:space="preserve">beneficiarios aquellos interesados que no cumplan alguno de los requisitos recogidos en el artículo 13 de la LGS. </w:t>
      </w:r>
    </w:p>
    <w:p w14:paraId="45A63A61" w14:textId="77777777" w:rsidR="00EE0250" w:rsidRDefault="00EE0250" w:rsidP="00EE0250">
      <w:pPr>
        <w:shd w:val="clear" w:color="auto" w:fill="FFFFFF"/>
        <w:spacing w:before="180" w:after="180" w:line="240" w:lineRule="auto"/>
        <w:jc w:val="both"/>
        <w:rPr>
          <w:rFonts w:ascii="Arial" w:eastAsia="Times New Roman" w:hAnsi="Arial" w:cs="Arial"/>
          <w:color w:val="000000"/>
          <w:lang w:eastAsia="es-ES"/>
        </w:rPr>
      </w:pPr>
      <w:r>
        <w:rPr>
          <w:rFonts w:ascii="Arial" w:eastAsia="Times New Roman" w:hAnsi="Arial" w:cs="Arial"/>
          <w:color w:val="000000"/>
          <w:lang w:eastAsia="es-ES"/>
        </w:rPr>
        <w:t xml:space="preserve">Estas consideraciones no solo deben tenerse en cuenta en los casos en los que se aporta </w:t>
      </w:r>
      <w:r w:rsidR="00B70E6C">
        <w:rPr>
          <w:rFonts w:ascii="Arial" w:eastAsia="Times New Roman" w:hAnsi="Arial" w:cs="Arial"/>
          <w:color w:val="000000"/>
          <w:lang w:eastAsia="es-ES"/>
        </w:rPr>
        <w:t>un justificante de haber solicitado el certificado o el informe de cumplimiento en el plazo de acreditación</w:t>
      </w:r>
      <w:r w:rsidR="00F97D68">
        <w:rPr>
          <w:rFonts w:ascii="Arial" w:eastAsia="Times New Roman" w:hAnsi="Arial" w:cs="Arial"/>
          <w:color w:val="000000"/>
          <w:lang w:eastAsia="es-ES"/>
        </w:rPr>
        <w:t>,</w:t>
      </w:r>
      <w:r w:rsidR="00B52C03">
        <w:rPr>
          <w:rFonts w:ascii="Arial" w:eastAsia="Times New Roman" w:hAnsi="Arial" w:cs="Arial"/>
          <w:color w:val="000000"/>
          <w:lang w:eastAsia="es-ES"/>
        </w:rPr>
        <w:t xml:space="preserve"> </w:t>
      </w:r>
      <w:r>
        <w:rPr>
          <w:rFonts w:ascii="Arial" w:eastAsia="Times New Roman" w:hAnsi="Arial" w:cs="Arial"/>
          <w:color w:val="000000"/>
          <w:lang w:eastAsia="es-ES"/>
        </w:rPr>
        <w:t xml:space="preserve">sino </w:t>
      </w:r>
      <w:r w:rsidR="00F97D68">
        <w:rPr>
          <w:rFonts w:ascii="Arial" w:eastAsia="Times New Roman" w:hAnsi="Arial" w:cs="Arial"/>
          <w:color w:val="000000"/>
          <w:lang w:eastAsia="es-ES"/>
        </w:rPr>
        <w:t xml:space="preserve">también </w:t>
      </w:r>
      <w:r w:rsidR="00A402EF">
        <w:rPr>
          <w:rFonts w:ascii="Arial" w:eastAsia="Times New Roman" w:hAnsi="Arial" w:cs="Arial"/>
          <w:color w:val="000000"/>
          <w:lang w:eastAsia="es-ES"/>
        </w:rPr>
        <w:t>cuando</w:t>
      </w:r>
      <w:r w:rsidR="00EF07A7">
        <w:rPr>
          <w:rFonts w:ascii="Arial" w:eastAsia="Times New Roman" w:hAnsi="Arial" w:cs="Arial"/>
          <w:color w:val="000000"/>
          <w:lang w:eastAsia="es-ES"/>
        </w:rPr>
        <w:t xml:space="preserve"> estos</w:t>
      </w:r>
      <w:r w:rsidR="00A402EF">
        <w:rPr>
          <w:rFonts w:ascii="Arial" w:eastAsia="Times New Roman" w:hAnsi="Arial" w:cs="Arial"/>
          <w:color w:val="000000"/>
          <w:lang w:eastAsia="es-ES"/>
        </w:rPr>
        <w:t xml:space="preserve"> se aportan </w:t>
      </w:r>
      <w:r w:rsidR="00F97D68">
        <w:rPr>
          <w:rFonts w:ascii="Arial" w:eastAsia="Times New Roman" w:hAnsi="Arial" w:cs="Arial"/>
          <w:color w:val="000000"/>
          <w:lang w:eastAsia="es-ES"/>
        </w:rPr>
        <w:t>en el propio plazo</w:t>
      </w:r>
      <w:r>
        <w:rPr>
          <w:rFonts w:ascii="Arial" w:eastAsia="Times New Roman" w:hAnsi="Arial" w:cs="Arial"/>
          <w:color w:val="000000"/>
          <w:lang w:eastAsia="es-ES"/>
        </w:rPr>
        <w:t xml:space="preserve">. Así mismo, </w:t>
      </w:r>
      <w:r w:rsidR="00F97D68">
        <w:rPr>
          <w:rFonts w:ascii="Arial" w:eastAsia="Times New Roman" w:hAnsi="Arial" w:cs="Arial"/>
          <w:color w:val="000000"/>
          <w:lang w:eastAsia="es-ES"/>
        </w:rPr>
        <w:t xml:space="preserve">también deben tenerse en cuenta con relación al resto de </w:t>
      </w:r>
      <w:r w:rsidR="00C97137">
        <w:rPr>
          <w:rFonts w:ascii="Arial" w:eastAsia="Times New Roman" w:hAnsi="Arial" w:cs="Arial"/>
          <w:color w:val="000000"/>
          <w:lang w:eastAsia="es-ES"/>
        </w:rPr>
        <w:t xml:space="preserve">declaraciones y </w:t>
      </w:r>
      <w:r w:rsidR="00D36680">
        <w:rPr>
          <w:rFonts w:ascii="Arial" w:eastAsia="Times New Roman" w:hAnsi="Arial" w:cs="Arial"/>
          <w:color w:val="000000"/>
          <w:lang w:eastAsia="es-ES"/>
        </w:rPr>
        <w:t xml:space="preserve">acreditaciones de cumplimiento de </w:t>
      </w:r>
      <w:r>
        <w:rPr>
          <w:rFonts w:ascii="Arial" w:eastAsia="Times New Roman" w:hAnsi="Arial" w:cs="Arial"/>
          <w:color w:val="000000"/>
          <w:lang w:eastAsia="es-ES"/>
        </w:rPr>
        <w:t>requisitos del artículo 13</w:t>
      </w:r>
      <w:r w:rsidR="00D36680">
        <w:rPr>
          <w:rFonts w:ascii="Arial" w:eastAsia="Times New Roman" w:hAnsi="Arial" w:cs="Arial"/>
          <w:color w:val="000000"/>
          <w:lang w:eastAsia="es-ES"/>
        </w:rPr>
        <w:t xml:space="preserve"> de la LGS</w:t>
      </w:r>
      <w:r w:rsidR="00B70E6C">
        <w:rPr>
          <w:rFonts w:ascii="Arial" w:eastAsia="Times New Roman" w:hAnsi="Arial" w:cs="Arial"/>
          <w:color w:val="000000"/>
          <w:lang w:eastAsia="es-ES"/>
        </w:rPr>
        <w:t xml:space="preserve">, cuya validez, </w:t>
      </w:r>
      <w:r w:rsidR="00D36680">
        <w:rPr>
          <w:rFonts w:ascii="Arial" w:eastAsia="Times New Roman" w:hAnsi="Arial" w:cs="Arial"/>
          <w:color w:val="000000"/>
          <w:lang w:eastAsia="es-ES"/>
        </w:rPr>
        <w:t>e</w:t>
      </w:r>
      <w:r w:rsidR="008C5C84">
        <w:rPr>
          <w:rFonts w:ascii="Arial" w:eastAsia="Times New Roman" w:hAnsi="Arial" w:cs="Arial"/>
          <w:color w:val="000000"/>
          <w:lang w:eastAsia="es-ES"/>
        </w:rPr>
        <w:t>n</w:t>
      </w:r>
      <w:r w:rsidR="00D36680">
        <w:rPr>
          <w:rFonts w:ascii="Arial" w:eastAsia="Times New Roman" w:hAnsi="Arial" w:cs="Arial"/>
          <w:color w:val="000000"/>
          <w:lang w:eastAsia="es-ES"/>
        </w:rPr>
        <w:t xml:space="preserve"> todos los casos, </w:t>
      </w:r>
      <w:r>
        <w:rPr>
          <w:rFonts w:ascii="Arial" w:eastAsia="Times New Roman" w:hAnsi="Arial" w:cs="Arial"/>
          <w:color w:val="000000"/>
          <w:lang w:eastAsia="es-ES"/>
        </w:rPr>
        <w:t>se deber</w:t>
      </w:r>
      <w:r w:rsidR="00B70E6C">
        <w:rPr>
          <w:rFonts w:ascii="Arial" w:eastAsia="Times New Roman" w:hAnsi="Arial" w:cs="Arial"/>
          <w:color w:val="000000"/>
          <w:lang w:eastAsia="es-ES"/>
        </w:rPr>
        <w:t>á</w:t>
      </w:r>
      <w:r>
        <w:rPr>
          <w:rFonts w:ascii="Arial" w:eastAsia="Times New Roman" w:hAnsi="Arial" w:cs="Arial"/>
          <w:color w:val="000000"/>
          <w:lang w:eastAsia="es-ES"/>
        </w:rPr>
        <w:t xml:space="preserve"> comprobar inmediatamente antes de la resolución de concesión.</w:t>
      </w:r>
    </w:p>
    <w:p w14:paraId="151A66D8" w14:textId="77777777" w:rsidR="00EE0250" w:rsidRPr="007A4432" w:rsidRDefault="00EF07A7" w:rsidP="00EE0250">
      <w:pPr>
        <w:pStyle w:val="parrafo"/>
        <w:spacing w:before="180" w:beforeAutospacing="0" w:after="180" w:afterAutospacing="0"/>
        <w:jc w:val="both"/>
        <w:rPr>
          <w:rFonts w:ascii="Arial" w:hAnsi="Arial" w:cs="Arial"/>
          <w:i/>
          <w:color w:val="000000"/>
          <w:sz w:val="22"/>
          <w:szCs w:val="22"/>
        </w:rPr>
      </w:pPr>
      <w:r>
        <w:rPr>
          <w:rFonts w:ascii="Arial" w:hAnsi="Arial" w:cs="Arial"/>
          <w:color w:val="000000"/>
          <w:sz w:val="22"/>
          <w:szCs w:val="22"/>
        </w:rPr>
        <w:t>No obstante, es necesario observar que l</w:t>
      </w:r>
      <w:r w:rsidR="00AB5D3B">
        <w:rPr>
          <w:rFonts w:ascii="Arial" w:hAnsi="Arial" w:cs="Arial"/>
          <w:color w:val="000000"/>
          <w:sz w:val="22"/>
          <w:szCs w:val="22"/>
        </w:rPr>
        <w:t>os</w:t>
      </w:r>
      <w:r w:rsidR="00EE0250" w:rsidRPr="007A4432">
        <w:rPr>
          <w:rFonts w:ascii="Arial" w:hAnsi="Arial" w:cs="Arial"/>
          <w:color w:val="000000"/>
          <w:sz w:val="22"/>
          <w:szCs w:val="22"/>
        </w:rPr>
        <w:t xml:space="preserve"> requ</w:t>
      </w:r>
      <w:r w:rsidR="00B70E6C">
        <w:rPr>
          <w:rFonts w:ascii="Arial" w:hAnsi="Arial" w:cs="Arial"/>
          <w:color w:val="000000"/>
          <w:sz w:val="22"/>
          <w:szCs w:val="22"/>
        </w:rPr>
        <w:t>isitos</w:t>
      </w:r>
      <w:r w:rsidR="00EE0250">
        <w:rPr>
          <w:rFonts w:ascii="Arial" w:hAnsi="Arial" w:cs="Arial"/>
          <w:color w:val="000000"/>
          <w:sz w:val="22"/>
          <w:szCs w:val="22"/>
        </w:rPr>
        <w:t>,</w:t>
      </w:r>
      <w:r w:rsidR="00EE0250" w:rsidRPr="007A4432">
        <w:rPr>
          <w:rFonts w:ascii="Arial" w:hAnsi="Arial" w:cs="Arial"/>
          <w:color w:val="000000"/>
          <w:sz w:val="22"/>
          <w:szCs w:val="22"/>
        </w:rPr>
        <w:t xml:space="preserve"> que se </w:t>
      </w:r>
      <w:r w:rsidR="00EE0250">
        <w:rPr>
          <w:rFonts w:ascii="Arial" w:hAnsi="Arial" w:cs="Arial"/>
          <w:color w:val="000000"/>
          <w:sz w:val="22"/>
          <w:szCs w:val="22"/>
        </w:rPr>
        <w:t>pudieron haber acreditado</w:t>
      </w:r>
      <w:r w:rsidR="00EE0250" w:rsidRPr="007A4432">
        <w:rPr>
          <w:rFonts w:ascii="Arial" w:hAnsi="Arial" w:cs="Arial"/>
          <w:color w:val="000000"/>
          <w:sz w:val="22"/>
          <w:szCs w:val="22"/>
        </w:rPr>
        <w:t xml:space="preserve"> con certificados </w:t>
      </w:r>
      <w:r w:rsidR="00F97D68">
        <w:rPr>
          <w:rFonts w:ascii="Arial" w:hAnsi="Arial" w:cs="Arial"/>
          <w:color w:val="000000"/>
          <w:sz w:val="22"/>
          <w:szCs w:val="22"/>
        </w:rPr>
        <w:t xml:space="preserve">e informes </w:t>
      </w:r>
      <w:r w:rsidR="00EE0250" w:rsidRPr="007A4432">
        <w:rPr>
          <w:rFonts w:ascii="Arial" w:hAnsi="Arial" w:cs="Arial"/>
          <w:color w:val="000000"/>
          <w:sz w:val="22"/>
          <w:szCs w:val="22"/>
        </w:rPr>
        <w:t>válidos a la fecha de soli</w:t>
      </w:r>
      <w:r w:rsidR="00B70E6C">
        <w:rPr>
          <w:rFonts w:ascii="Arial" w:hAnsi="Arial" w:cs="Arial"/>
          <w:color w:val="000000"/>
          <w:sz w:val="22"/>
          <w:szCs w:val="22"/>
        </w:rPr>
        <w:t>ci</w:t>
      </w:r>
      <w:r w:rsidR="00EE0250" w:rsidRPr="007A4432">
        <w:rPr>
          <w:rFonts w:ascii="Arial" w:hAnsi="Arial" w:cs="Arial"/>
          <w:color w:val="000000"/>
          <w:sz w:val="22"/>
          <w:szCs w:val="22"/>
        </w:rPr>
        <w:t xml:space="preserve">tud, a la fecha de resolución de concesión pueden </w:t>
      </w:r>
      <w:r w:rsidR="00AB5D3B">
        <w:rPr>
          <w:rFonts w:ascii="Arial" w:hAnsi="Arial" w:cs="Arial"/>
          <w:color w:val="000000"/>
          <w:sz w:val="22"/>
          <w:szCs w:val="22"/>
        </w:rPr>
        <w:t>no serlo</w:t>
      </w:r>
      <w:r w:rsidR="00EE0250" w:rsidRPr="007A4432">
        <w:rPr>
          <w:rFonts w:ascii="Arial" w:hAnsi="Arial" w:cs="Arial"/>
          <w:color w:val="000000"/>
          <w:sz w:val="22"/>
          <w:szCs w:val="22"/>
        </w:rPr>
        <w:t xml:space="preserve">. Por esta razón, el artículo </w:t>
      </w:r>
      <w:r w:rsidR="00BE3BF3">
        <w:rPr>
          <w:rFonts w:ascii="Arial" w:hAnsi="Arial" w:cs="Arial"/>
          <w:color w:val="000000"/>
          <w:sz w:val="22"/>
          <w:szCs w:val="22"/>
        </w:rPr>
        <w:t>13.3 bis</w:t>
      </w:r>
      <w:r w:rsidR="00A402EF">
        <w:rPr>
          <w:rFonts w:ascii="Arial" w:hAnsi="Arial" w:cs="Arial"/>
          <w:color w:val="000000"/>
          <w:sz w:val="22"/>
          <w:szCs w:val="22"/>
        </w:rPr>
        <w:t xml:space="preserve"> de la LGS </w:t>
      </w:r>
      <w:r w:rsidR="00EE0250" w:rsidRPr="007A4432">
        <w:rPr>
          <w:rFonts w:ascii="Arial" w:hAnsi="Arial" w:cs="Arial"/>
          <w:color w:val="000000"/>
          <w:sz w:val="22"/>
          <w:szCs w:val="22"/>
        </w:rPr>
        <w:t xml:space="preserve">acerca la acreditación </w:t>
      </w:r>
      <w:r w:rsidR="00B70E6C">
        <w:rPr>
          <w:rFonts w:ascii="Arial" w:hAnsi="Arial" w:cs="Arial"/>
          <w:color w:val="000000"/>
          <w:sz w:val="22"/>
          <w:szCs w:val="22"/>
        </w:rPr>
        <w:t xml:space="preserve">del cumplimiento de los plazos de pago </w:t>
      </w:r>
      <w:r w:rsidR="00EE0250" w:rsidRPr="007A4432">
        <w:rPr>
          <w:rFonts w:ascii="Arial" w:hAnsi="Arial" w:cs="Arial"/>
          <w:color w:val="000000"/>
          <w:sz w:val="22"/>
          <w:szCs w:val="22"/>
        </w:rPr>
        <w:t xml:space="preserve">a </w:t>
      </w:r>
      <w:r w:rsidR="00B70E6C">
        <w:rPr>
          <w:rFonts w:ascii="Arial" w:hAnsi="Arial" w:cs="Arial"/>
          <w:color w:val="000000"/>
          <w:sz w:val="22"/>
          <w:szCs w:val="22"/>
        </w:rPr>
        <w:t>la fecha de la resolución de concesión</w:t>
      </w:r>
      <w:r w:rsidR="00EE0250" w:rsidRPr="007A4432">
        <w:rPr>
          <w:rFonts w:ascii="Arial" w:hAnsi="Arial" w:cs="Arial"/>
          <w:color w:val="000000"/>
          <w:sz w:val="22"/>
          <w:szCs w:val="22"/>
        </w:rPr>
        <w:t>, en caso de que no se establezca otro plazo de acreditación</w:t>
      </w:r>
      <w:r w:rsidR="00EE0250">
        <w:rPr>
          <w:rFonts w:ascii="Arial" w:hAnsi="Arial" w:cs="Arial"/>
          <w:color w:val="000000"/>
          <w:sz w:val="22"/>
          <w:szCs w:val="22"/>
        </w:rPr>
        <w:t xml:space="preserve"> en las bases reguladoras</w:t>
      </w:r>
      <w:r w:rsidR="00EE0250" w:rsidRPr="007A4432">
        <w:rPr>
          <w:rFonts w:ascii="Arial" w:hAnsi="Arial" w:cs="Arial"/>
          <w:color w:val="000000"/>
          <w:sz w:val="22"/>
          <w:szCs w:val="22"/>
        </w:rPr>
        <w:t>:</w:t>
      </w:r>
      <w:r w:rsidR="00EE0250">
        <w:rPr>
          <w:rFonts w:ascii="Arial" w:hAnsi="Arial" w:cs="Arial"/>
          <w:color w:val="000000"/>
        </w:rPr>
        <w:t xml:space="preserve"> “</w:t>
      </w:r>
      <w:r w:rsidR="00EE0250" w:rsidRPr="0034449C">
        <w:rPr>
          <w:rFonts w:ascii="Arial" w:hAnsi="Arial" w:cs="Arial"/>
          <w:i/>
          <w:color w:val="000000"/>
          <w:sz w:val="22"/>
          <w:szCs w:val="22"/>
        </w:rPr>
        <w:t>Salvo que las bases reguladoras prevean otro plazo o momento de acreditación, ésta se efectuará en el plazo de 10 días hábiles desde la notificación de la propuesta de resolución provisional a los interesados para los que se propone la concesión de la subvención.</w:t>
      </w:r>
      <w:r w:rsidR="00EE0250">
        <w:rPr>
          <w:rFonts w:ascii="Arial" w:hAnsi="Arial" w:cs="Arial"/>
          <w:i/>
          <w:color w:val="000000"/>
        </w:rPr>
        <w:t xml:space="preserve"> </w:t>
      </w:r>
      <w:r w:rsidR="00EE0250" w:rsidRPr="007A4432">
        <w:rPr>
          <w:rFonts w:ascii="Arial" w:hAnsi="Arial" w:cs="Arial"/>
          <w:i/>
          <w:color w:val="000000"/>
          <w:sz w:val="22"/>
          <w:szCs w:val="22"/>
        </w:rPr>
        <w:t>En el caso de que se prescinda del trámite de audiencia por no figurar en el procedimiento ni ser tenidos en cuenta otros hechos ni otras alegaciones y pruebas que las aducidas por los interesados, la acreditación se efectuará en el plazo de 10 días desde la notificación del requerimiento dirigido al efecto por el órgano instructor previo a la pro</w:t>
      </w:r>
      <w:r w:rsidR="00EE0250">
        <w:rPr>
          <w:rFonts w:ascii="Arial" w:hAnsi="Arial" w:cs="Arial"/>
          <w:i/>
          <w:color w:val="000000"/>
          <w:sz w:val="22"/>
          <w:szCs w:val="22"/>
        </w:rPr>
        <w:t>puesta de resolución definitiva</w:t>
      </w:r>
      <w:r w:rsidR="00EE0250">
        <w:rPr>
          <w:rFonts w:ascii="Arial" w:hAnsi="Arial" w:cs="Arial"/>
          <w:i/>
          <w:color w:val="000000"/>
        </w:rPr>
        <w:t>”</w:t>
      </w:r>
    </w:p>
    <w:p w14:paraId="30E82A83" w14:textId="77777777" w:rsidR="0002269F" w:rsidRDefault="00D36680" w:rsidP="008C5C84">
      <w:pPr>
        <w:pStyle w:val="NormalWeb"/>
        <w:shd w:val="clear" w:color="auto" w:fill="FFFFFF"/>
        <w:jc w:val="both"/>
        <w:rPr>
          <w:rFonts w:ascii="Arial" w:hAnsi="Arial" w:cs="Arial"/>
          <w:color w:val="000000"/>
          <w:sz w:val="22"/>
          <w:szCs w:val="22"/>
        </w:rPr>
      </w:pPr>
      <w:r>
        <w:rPr>
          <w:rFonts w:ascii="Arial" w:hAnsi="Arial" w:cs="Arial"/>
          <w:color w:val="000000"/>
          <w:sz w:val="22"/>
          <w:szCs w:val="22"/>
        </w:rPr>
        <w:t xml:space="preserve">La Dirección General de Formación debiera valorar, antes del establecimiento </w:t>
      </w:r>
      <w:r w:rsidR="00B70E6C">
        <w:rPr>
          <w:rFonts w:ascii="Arial" w:hAnsi="Arial" w:cs="Arial"/>
          <w:color w:val="000000"/>
          <w:sz w:val="22"/>
          <w:szCs w:val="22"/>
        </w:rPr>
        <w:t>del</w:t>
      </w:r>
      <w:r w:rsidR="00F97D68">
        <w:rPr>
          <w:rFonts w:ascii="Arial" w:hAnsi="Arial" w:cs="Arial"/>
          <w:color w:val="000000"/>
          <w:sz w:val="22"/>
          <w:szCs w:val="22"/>
        </w:rPr>
        <w:t xml:space="preserve"> plazo de </w:t>
      </w:r>
      <w:r w:rsidR="00881D45">
        <w:rPr>
          <w:rFonts w:ascii="Arial" w:hAnsi="Arial" w:cs="Arial"/>
          <w:color w:val="000000"/>
          <w:sz w:val="22"/>
          <w:szCs w:val="22"/>
        </w:rPr>
        <w:t>acreditación</w:t>
      </w:r>
      <w:r w:rsidR="00F97D68">
        <w:rPr>
          <w:rFonts w:ascii="Arial" w:hAnsi="Arial" w:cs="Arial"/>
          <w:color w:val="000000"/>
          <w:sz w:val="22"/>
          <w:szCs w:val="22"/>
        </w:rPr>
        <w:t xml:space="preserve"> </w:t>
      </w:r>
      <w:r w:rsidR="00881D45">
        <w:rPr>
          <w:rFonts w:ascii="Arial" w:hAnsi="Arial" w:cs="Arial"/>
          <w:color w:val="000000"/>
          <w:sz w:val="22"/>
          <w:szCs w:val="22"/>
        </w:rPr>
        <w:t>d</w:t>
      </w:r>
      <w:r w:rsidR="00F97D68">
        <w:rPr>
          <w:rFonts w:ascii="Arial" w:hAnsi="Arial" w:cs="Arial"/>
          <w:color w:val="000000"/>
          <w:sz w:val="22"/>
          <w:szCs w:val="22"/>
        </w:rPr>
        <w:t xml:space="preserve">el cumplimiento de los requisitos del artículo 13.3 bis de la LGS durante el </w:t>
      </w:r>
      <w:r w:rsidR="00B70E6C">
        <w:rPr>
          <w:rFonts w:ascii="Arial" w:hAnsi="Arial" w:cs="Arial"/>
          <w:color w:val="000000"/>
          <w:sz w:val="22"/>
          <w:szCs w:val="22"/>
        </w:rPr>
        <w:t xml:space="preserve">propio </w:t>
      </w:r>
      <w:r w:rsidR="00F97D68">
        <w:rPr>
          <w:rFonts w:ascii="Arial" w:hAnsi="Arial" w:cs="Arial"/>
          <w:color w:val="000000"/>
          <w:sz w:val="22"/>
          <w:szCs w:val="22"/>
        </w:rPr>
        <w:t>plazo de solicitud de la ayuda</w:t>
      </w:r>
      <w:r>
        <w:rPr>
          <w:rFonts w:ascii="Arial" w:hAnsi="Arial" w:cs="Arial"/>
          <w:color w:val="000000"/>
          <w:sz w:val="22"/>
          <w:szCs w:val="22"/>
        </w:rPr>
        <w:t xml:space="preserve">, </w:t>
      </w:r>
      <w:r w:rsidR="00F97D68">
        <w:rPr>
          <w:rFonts w:ascii="Arial" w:hAnsi="Arial" w:cs="Arial"/>
          <w:color w:val="000000"/>
          <w:sz w:val="22"/>
          <w:szCs w:val="22"/>
        </w:rPr>
        <w:t>la posibilidad de que determinados certificados e informes</w:t>
      </w:r>
      <w:r w:rsidR="00DB76C8">
        <w:rPr>
          <w:rFonts w:ascii="Arial" w:hAnsi="Arial" w:cs="Arial"/>
          <w:color w:val="000000"/>
          <w:sz w:val="22"/>
          <w:szCs w:val="22"/>
        </w:rPr>
        <w:t>,</w:t>
      </w:r>
      <w:r w:rsidR="00F97D68">
        <w:rPr>
          <w:rFonts w:ascii="Arial" w:hAnsi="Arial" w:cs="Arial"/>
          <w:color w:val="000000"/>
          <w:sz w:val="22"/>
          <w:szCs w:val="22"/>
        </w:rPr>
        <w:t xml:space="preserve"> que eran v</w:t>
      </w:r>
      <w:r w:rsidR="00DB76C8">
        <w:rPr>
          <w:rFonts w:ascii="Arial" w:hAnsi="Arial" w:cs="Arial"/>
          <w:color w:val="000000"/>
          <w:sz w:val="22"/>
          <w:szCs w:val="22"/>
        </w:rPr>
        <w:t xml:space="preserve">álidos a la fecha de solicitud, </w:t>
      </w:r>
      <w:r w:rsidR="00C63F3D">
        <w:rPr>
          <w:rFonts w:ascii="Arial" w:hAnsi="Arial" w:cs="Arial"/>
          <w:color w:val="000000"/>
          <w:sz w:val="22"/>
          <w:szCs w:val="22"/>
        </w:rPr>
        <w:t>pu</w:t>
      </w:r>
      <w:r w:rsidR="00C97137">
        <w:rPr>
          <w:rFonts w:ascii="Arial" w:hAnsi="Arial" w:cs="Arial"/>
          <w:color w:val="000000"/>
          <w:sz w:val="22"/>
          <w:szCs w:val="22"/>
        </w:rPr>
        <w:t>dieran</w:t>
      </w:r>
      <w:r w:rsidR="00F97D68">
        <w:rPr>
          <w:rFonts w:ascii="Arial" w:hAnsi="Arial" w:cs="Arial"/>
          <w:color w:val="000000"/>
          <w:sz w:val="22"/>
          <w:szCs w:val="22"/>
        </w:rPr>
        <w:t xml:space="preserve"> no serlo a la fecha de la resolución de concesi</w:t>
      </w:r>
      <w:r>
        <w:rPr>
          <w:rFonts w:ascii="Arial" w:hAnsi="Arial" w:cs="Arial"/>
          <w:color w:val="000000"/>
          <w:sz w:val="22"/>
          <w:szCs w:val="22"/>
        </w:rPr>
        <w:t>ón</w:t>
      </w:r>
      <w:r w:rsidR="008C5C84">
        <w:rPr>
          <w:rFonts w:ascii="Arial" w:hAnsi="Arial" w:cs="Arial"/>
          <w:color w:val="000000"/>
          <w:sz w:val="22"/>
          <w:szCs w:val="22"/>
        </w:rPr>
        <w:t>.</w:t>
      </w:r>
    </w:p>
    <w:p w14:paraId="55B3A65A" w14:textId="77777777" w:rsidR="008C5C84" w:rsidRDefault="008C5C84" w:rsidP="008C5C84">
      <w:pPr>
        <w:pStyle w:val="NormalWeb"/>
        <w:shd w:val="clear" w:color="auto" w:fill="FFFFFF"/>
        <w:jc w:val="both"/>
        <w:rPr>
          <w:rFonts w:ascii="Arial" w:hAnsi="Arial" w:cs="Arial"/>
          <w:color w:val="000000"/>
          <w:sz w:val="22"/>
          <w:szCs w:val="22"/>
        </w:rPr>
      </w:pPr>
      <w:r>
        <w:rPr>
          <w:rFonts w:ascii="Arial" w:hAnsi="Arial" w:cs="Arial"/>
          <w:color w:val="000000"/>
          <w:sz w:val="22"/>
          <w:szCs w:val="22"/>
        </w:rPr>
        <w:t xml:space="preserve">En cualquier caso, son las bases reguladoras las que deben establecer el plazo de </w:t>
      </w:r>
      <w:r w:rsidR="00A402EF">
        <w:rPr>
          <w:rFonts w:ascii="Arial" w:hAnsi="Arial" w:cs="Arial"/>
          <w:color w:val="000000"/>
          <w:sz w:val="22"/>
          <w:szCs w:val="22"/>
        </w:rPr>
        <w:t>acreditación de los requisitos estab</w:t>
      </w:r>
      <w:r w:rsidR="00407892">
        <w:rPr>
          <w:rFonts w:ascii="Arial" w:hAnsi="Arial" w:cs="Arial"/>
          <w:color w:val="000000"/>
          <w:sz w:val="22"/>
          <w:szCs w:val="22"/>
        </w:rPr>
        <w:t>lecidos en el artículo 13.3 bis. L</w:t>
      </w:r>
      <w:r>
        <w:rPr>
          <w:rFonts w:ascii="Arial" w:hAnsi="Arial" w:cs="Arial"/>
          <w:color w:val="000000"/>
          <w:sz w:val="22"/>
          <w:szCs w:val="22"/>
        </w:rPr>
        <w:t xml:space="preserve">a convocatoria no puede establecer otro distinto. </w:t>
      </w:r>
    </w:p>
    <w:p w14:paraId="68019E77" w14:textId="77777777" w:rsidR="00407892" w:rsidRDefault="008C5C84" w:rsidP="000B06D1">
      <w:pPr>
        <w:pStyle w:val="NormalWeb"/>
        <w:shd w:val="clear" w:color="auto" w:fill="FFFFFF"/>
        <w:jc w:val="both"/>
        <w:rPr>
          <w:rFonts w:ascii="Arial" w:hAnsi="Arial" w:cs="Arial"/>
          <w:b/>
          <w:i/>
          <w:color w:val="000000"/>
          <w:sz w:val="22"/>
          <w:szCs w:val="22"/>
        </w:rPr>
      </w:pPr>
      <w:r>
        <w:rPr>
          <w:rFonts w:ascii="Arial" w:hAnsi="Arial" w:cs="Arial"/>
          <w:color w:val="000000"/>
          <w:sz w:val="22"/>
          <w:szCs w:val="22"/>
        </w:rPr>
        <w:t>Si las bases reguladoras no establec</w:t>
      </w:r>
      <w:r w:rsidR="00C97137">
        <w:rPr>
          <w:rFonts w:ascii="Arial" w:hAnsi="Arial" w:cs="Arial"/>
          <w:color w:val="000000"/>
          <w:sz w:val="22"/>
          <w:szCs w:val="22"/>
        </w:rPr>
        <w:t>en</w:t>
      </w:r>
      <w:r>
        <w:rPr>
          <w:rFonts w:ascii="Arial" w:hAnsi="Arial" w:cs="Arial"/>
          <w:color w:val="000000"/>
          <w:sz w:val="22"/>
          <w:szCs w:val="22"/>
        </w:rPr>
        <w:t xml:space="preserve"> </w:t>
      </w:r>
      <w:r w:rsidR="00C97137">
        <w:rPr>
          <w:rFonts w:ascii="Arial" w:hAnsi="Arial" w:cs="Arial"/>
          <w:color w:val="000000"/>
          <w:sz w:val="22"/>
          <w:szCs w:val="22"/>
        </w:rPr>
        <w:t>ninguna estipulación</w:t>
      </w:r>
      <w:r>
        <w:rPr>
          <w:rFonts w:ascii="Arial" w:hAnsi="Arial" w:cs="Arial"/>
          <w:color w:val="000000"/>
          <w:sz w:val="22"/>
          <w:szCs w:val="22"/>
        </w:rPr>
        <w:t xml:space="preserve"> al respecto, se debiera considerar </w:t>
      </w:r>
      <w:r w:rsidR="00A402EF">
        <w:rPr>
          <w:rFonts w:ascii="Arial" w:hAnsi="Arial" w:cs="Arial"/>
          <w:color w:val="000000"/>
          <w:sz w:val="22"/>
          <w:szCs w:val="22"/>
        </w:rPr>
        <w:t xml:space="preserve">el plazo </w:t>
      </w:r>
      <w:r w:rsidR="007432D0">
        <w:rPr>
          <w:rFonts w:ascii="Arial" w:hAnsi="Arial" w:cs="Arial"/>
          <w:color w:val="000000"/>
          <w:sz w:val="22"/>
          <w:szCs w:val="22"/>
        </w:rPr>
        <w:t xml:space="preserve">de acreditación </w:t>
      </w:r>
      <w:r w:rsidR="00A402EF">
        <w:rPr>
          <w:rFonts w:ascii="Arial" w:hAnsi="Arial" w:cs="Arial"/>
          <w:color w:val="000000"/>
          <w:sz w:val="22"/>
          <w:szCs w:val="22"/>
        </w:rPr>
        <w:t xml:space="preserve">recogido en la propia LGS (artículo 13.3 bis) que </w:t>
      </w:r>
      <w:r w:rsidR="0023229D">
        <w:rPr>
          <w:rFonts w:ascii="Arial" w:hAnsi="Arial" w:cs="Arial"/>
          <w:color w:val="000000"/>
          <w:sz w:val="22"/>
          <w:szCs w:val="22"/>
        </w:rPr>
        <w:t>opera</w:t>
      </w:r>
      <w:r w:rsidR="00A402EF" w:rsidRPr="004100AC">
        <w:rPr>
          <w:rFonts w:ascii="Arial" w:hAnsi="Arial" w:cs="Arial"/>
          <w:b/>
          <w:color w:val="000000"/>
          <w:sz w:val="22"/>
          <w:szCs w:val="22"/>
        </w:rPr>
        <w:t xml:space="preserve"> “</w:t>
      </w:r>
      <w:r w:rsidR="00A402EF" w:rsidRPr="004100AC">
        <w:rPr>
          <w:rFonts w:ascii="Arial" w:hAnsi="Arial" w:cs="Arial"/>
          <w:b/>
          <w:i/>
          <w:color w:val="000000"/>
          <w:sz w:val="22"/>
          <w:szCs w:val="22"/>
        </w:rPr>
        <w:t>salvo</w:t>
      </w:r>
      <w:r w:rsidR="00A402EF" w:rsidRPr="004100AC">
        <w:rPr>
          <w:rFonts w:ascii="Arial" w:hAnsi="Arial" w:cs="Arial"/>
          <w:b/>
          <w:color w:val="000000"/>
          <w:sz w:val="22"/>
          <w:szCs w:val="22"/>
        </w:rPr>
        <w:t xml:space="preserve"> </w:t>
      </w:r>
      <w:r w:rsidR="00A402EF" w:rsidRPr="004100AC">
        <w:rPr>
          <w:rFonts w:ascii="Arial" w:hAnsi="Arial" w:cs="Arial"/>
          <w:b/>
          <w:i/>
          <w:color w:val="000000"/>
          <w:sz w:val="22"/>
          <w:szCs w:val="22"/>
        </w:rPr>
        <w:t>que las bases reguladoras prevean otro plazo o momento de acreditación</w:t>
      </w:r>
      <w:r w:rsidR="00407892">
        <w:rPr>
          <w:rFonts w:ascii="Arial" w:hAnsi="Arial" w:cs="Arial"/>
          <w:b/>
          <w:i/>
          <w:color w:val="000000"/>
          <w:sz w:val="22"/>
          <w:szCs w:val="22"/>
        </w:rPr>
        <w:t>.</w:t>
      </w:r>
    </w:p>
    <w:p w14:paraId="212917EB" w14:textId="77777777" w:rsidR="004100AC" w:rsidRPr="008152CE" w:rsidRDefault="00A402EF" w:rsidP="000B06D1">
      <w:pPr>
        <w:pStyle w:val="NormalWeb"/>
        <w:shd w:val="clear" w:color="auto" w:fill="FFFFFF"/>
        <w:jc w:val="both"/>
        <w:rPr>
          <w:rFonts w:ascii="Arial" w:hAnsi="Arial" w:cs="Arial"/>
          <w:color w:val="000000"/>
          <w:sz w:val="22"/>
          <w:szCs w:val="22"/>
        </w:rPr>
      </w:pPr>
      <w:r w:rsidRPr="004100AC">
        <w:rPr>
          <w:rFonts w:ascii="Arial" w:hAnsi="Arial" w:cs="Arial"/>
          <w:color w:val="000000"/>
          <w:sz w:val="22"/>
          <w:szCs w:val="22"/>
        </w:rPr>
        <w:t xml:space="preserve">A estos efectos, la ausencia de disposición </w:t>
      </w:r>
      <w:r w:rsidR="00881D45">
        <w:rPr>
          <w:rFonts w:ascii="Arial" w:hAnsi="Arial" w:cs="Arial"/>
          <w:color w:val="000000"/>
          <w:sz w:val="22"/>
          <w:szCs w:val="22"/>
        </w:rPr>
        <w:t>relativa a la acreditación del requisito del artículo 13.3 bis</w:t>
      </w:r>
      <w:r w:rsidRPr="004100AC">
        <w:rPr>
          <w:rFonts w:ascii="Arial" w:hAnsi="Arial" w:cs="Arial"/>
          <w:color w:val="000000"/>
          <w:sz w:val="22"/>
          <w:szCs w:val="22"/>
        </w:rPr>
        <w:t xml:space="preserve"> en las bases reguladoras no es obstáculo para la aplicación del artículo 13.3 bis</w:t>
      </w:r>
      <w:r w:rsidR="000B06D1" w:rsidRPr="008152CE">
        <w:rPr>
          <w:rFonts w:ascii="Arial" w:hAnsi="Arial" w:cs="Arial"/>
          <w:color w:val="000000"/>
          <w:sz w:val="22"/>
          <w:szCs w:val="22"/>
        </w:rPr>
        <w:t xml:space="preserve"> en las convocatorias posteriores a 19 de octubre de 2022,</w:t>
      </w:r>
      <w:r w:rsidRPr="004100AC">
        <w:rPr>
          <w:rFonts w:ascii="Arial" w:hAnsi="Arial" w:cs="Arial"/>
          <w:color w:val="000000"/>
          <w:sz w:val="22"/>
          <w:szCs w:val="22"/>
        </w:rPr>
        <w:t xml:space="preserve"> ya que </w:t>
      </w:r>
      <w:r w:rsidR="004100AC" w:rsidRPr="008152CE">
        <w:rPr>
          <w:rFonts w:ascii="Arial" w:hAnsi="Arial" w:cs="Arial"/>
          <w:color w:val="000000"/>
          <w:sz w:val="22"/>
          <w:szCs w:val="22"/>
        </w:rPr>
        <w:t xml:space="preserve">la </w:t>
      </w:r>
      <w:r w:rsidR="004100AC" w:rsidRPr="004100AC">
        <w:rPr>
          <w:rFonts w:ascii="Arial" w:hAnsi="Arial" w:cs="Arial"/>
          <w:color w:val="000000"/>
          <w:sz w:val="22"/>
          <w:szCs w:val="22"/>
        </w:rPr>
        <w:t xml:space="preserve">Disposición transitoria séptima. </w:t>
      </w:r>
      <w:r w:rsidR="004100AC" w:rsidRPr="00C97137">
        <w:rPr>
          <w:rFonts w:ascii="Arial" w:hAnsi="Arial" w:cs="Arial"/>
          <w:i/>
          <w:color w:val="000000"/>
          <w:sz w:val="22"/>
          <w:szCs w:val="22"/>
        </w:rPr>
        <w:t>Régimen de aplicación del artículo 13.3 bis de la Ley 38/2003, de 17 de noviembre, General de Subvenciones</w:t>
      </w:r>
      <w:r w:rsidR="004100AC" w:rsidRPr="004100AC">
        <w:rPr>
          <w:rFonts w:ascii="Arial" w:hAnsi="Arial" w:cs="Arial"/>
          <w:color w:val="000000"/>
          <w:sz w:val="22"/>
          <w:szCs w:val="22"/>
        </w:rPr>
        <w:t xml:space="preserve">, del </w:t>
      </w:r>
      <w:r w:rsidR="004100AC" w:rsidRPr="008152CE">
        <w:rPr>
          <w:rFonts w:ascii="Arial" w:hAnsi="Arial" w:cs="Arial"/>
          <w:color w:val="000000"/>
          <w:sz w:val="22"/>
          <w:szCs w:val="22"/>
        </w:rPr>
        <w:t>Real Decreto-ley 5/2023, de 28 de junio, por el que se adoptan y prorrogan determinadas medidas de respuesta a las consecuencias económicas y sociales de la Guerra de Ucrania, de apoyo a la reconstrucción de la isla de La Palma y a otras situaciones de vulnerabilidad; de transposición de Directivas de la Unión Europea en materia de modificaciones estructurales de sociedades mercantiles y conciliación de la vida familiar y la vida profesional de los progenitores y los cuidadores; y de ejecución y cumplimiento del Derecho de la Unión Europea, establece:</w:t>
      </w:r>
    </w:p>
    <w:p w14:paraId="5C4A65A1" w14:textId="65560E76" w:rsidR="00A5005C" w:rsidRDefault="004100AC" w:rsidP="00683D5E">
      <w:pPr>
        <w:spacing w:before="180" w:after="180" w:line="240" w:lineRule="auto"/>
        <w:ind w:firstLine="360"/>
        <w:jc w:val="both"/>
        <w:rPr>
          <w:rFonts w:ascii="Arial" w:eastAsia="Times New Roman" w:hAnsi="Arial" w:cs="Arial"/>
          <w:i/>
          <w:color w:val="000000"/>
          <w:lang w:eastAsia="es-ES"/>
        </w:rPr>
      </w:pPr>
      <w:r>
        <w:rPr>
          <w:rFonts w:ascii="Arial" w:eastAsia="Times New Roman" w:hAnsi="Arial" w:cs="Arial"/>
          <w:i/>
          <w:color w:val="000000"/>
          <w:lang w:eastAsia="es-ES"/>
        </w:rPr>
        <w:t>“</w:t>
      </w:r>
      <w:r w:rsidRPr="004100AC">
        <w:rPr>
          <w:rFonts w:ascii="Arial" w:eastAsia="Times New Roman" w:hAnsi="Arial" w:cs="Arial"/>
          <w:i/>
          <w:color w:val="000000"/>
          <w:lang w:eastAsia="es-ES"/>
        </w:rPr>
        <w:t xml:space="preserve">1. La modificación del artículo 13.3 bis de la Ley 38/2003, de 17 de noviembre, General de Subvenciones, realizada por el presente real decreto-ley </w:t>
      </w:r>
      <w:r w:rsidRPr="000B06D1">
        <w:rPr>
          <w:rFonts w:ascii="Arial" w:eastAsia="Times New Roman" w:hAnsi="Arial" w:cs="Arial"/>
          <w:b/>
          <w:i/>
          <w:color w:val="000000"/>
          <w:lang w:eastAsia="es-ES"/>
        </w:rPr>
        <w:t xml:space="preserve">será de aplicación </w:t>
      </w:r>
      <w:r w:rsidRPr="000B06D1">
        <w:rPr>
          <w:rFonts w:ascii="Arial" w:eastAsia="Times New Roman" w:hAnsi="Arial" w:cs="Arial"/>
          <w:b/>
          <w:i/>
          <w:color w:val="000000"/>
          <w:lang w:eastAsia="es-ES"/>
        </w:rPr>
        <w:lastRenderedPageBreak/>
        <w:t xml:space="preserve">a los procedimientos de concesión de subvenciones públicas iniciados a partir del 19 de octubre de 2022 y pendientes de resolución, </w:t>
      </w:r>
      <w:r w:rsidRPr="004100AC">
        <w:rPr>
          <w:rFonts w:ascii="Arial" w:eastAsia="Times New Roman" w:hAnsi="Arial" w:cs="Arial"/>
          <w:b/>
          <w:i/>
          <w:color w:val="000000"/>
          <w:lang w:eastAsia="es-ES"/>
        </w:rPr>
        <w:t>sin necesidad de cambiar las correspondientes bases reguladoras de la concesión</w:t>
      </w:r>
      <w:r>
        <w:rPr>
          <w:rFonts w:ascii="Arial" w:eastAsia="Times New Roman" w:hAnsi="Arial" w:cs="Arial"/>
          <w:i/>
          <w:color w:val="000000"/>
          <w:lang w:eastAsia="es-ES"/>
        </w:rPr>
        <w:t>.”</w:t>
      </w:r>
    </w:p>
    <w:p w14:paraId="2ED19F83" w14:textId="7D0FCBA6" w:rsidR="00A5005C" w:rsidRDefault="00A5005C" w:rsidP="004100AC">
      <w:pPr>
        <w:spacing w:before="180" w:after="180" w:line="240" w:lineRule="auto"/>
        <w:ind w:firstLine="360"/>
        <w:jc w:val="both"/>
        <w:rPr>
          <w:rFonts w:ascii="Arial" w:eastAsia="Times New Roman" w:hAnsi="Arial" w:cs="Arial"/>
          <w:i/>
          <w:color w:val="000000"/>
          <w:lang w:eastAsia="es-ES"/>
        </w:rPr>
      </w:pPr>
    </w:p>
    <w:p w14:paraId="62048A86" w14:textId="20C91D65" w:rsidR="00A5005C" w:rsidRDefault="00A5005C" w:rsidP="004100AC">
      <w:pPr>
        <w:spacing w:before="180" w:after="180" w:line="240" w:lineRule="auto"/>
        <w:ind w:firstLine="360"/>
        <w:jc w:val="both"/>
        <w:rPr>
          <w:rFonts w:ascii="Arial" w:eastAsia="Times New Roman" w:hAnsi="Arial" w:cs="Arial"/>
          <w:lang w:eastAsia="es-ES"/>
        </w:rPr>
      </w:pPr>
      <w:r w:rsidRPr="008A1737">
        <w:rPr>
          <w:rFonts w:ascii="Arial" w:eastAsia="Times New Roman" w:hAnsi="Arial" w:cs="Arial"/>
          <w:lang w:eastAsia="es-ES"/>
        </w:rPr>
        <w:t>Con</w:t>
      </w:r>
      <w:r w:rsidR="005C5E7D" w:rsidRPr="008A1737">
        <w:rPr>
          <w:rFonts w:ascii="Arial" w:eastAsia="Times New Roman" w:hAnsi="Arial" w:cs="Arial"/>
          <w:lang w:eastAsia="es-ES"/>
        </w:rPr>
        <w:t xml:space="preserve"> base en</w:t>
      </w:r>
      <w:r w:rsidRPr="008A1737">
        <w:rPr>
          <w:rFonts w:ascii="Arial" w:eastAsia="Times New Roman" w:hAnsi="Arial" w:cs="Arial"/>
          <w:lang w:eastAsia="es-ES"/>
        </w:rPr>
        <w:t xml:space="preserve"> las consideraciones anteriores, se formulan las siguientes </w:t>
      </w:r>
    </w:p>
    <w:p w14:paraId="5E798275" w14:textId="77777777" w:rsidR="00FB4E3E" w:rsidRPr="008A1737" w:rsidRDefault="00FB4E3E" w:rsidP="004100AC">
      <w:pPr>
        <w:spacing w:before="180" w:after="180" w:line="240" w:lineRule="auto"/>
        <w:ind w:firstLine="360"/>
        <w:jc w:val="both"/>
        <w:rPr>
          <w:rFonts w:ascii="Arial" w:eastAsia="Times New Roman" w:hAnsi="Arial" w:cs="Arial"/>
          <w:lang w:eastAsia="es-ES"/>
        </w:rPr>
      </w:pPr>
    </w:p>
    <w:p w14:paraId="248619DB" w14:textId="61CDF8E4" w:rsidR="000B06D1" w:rsidRPr="008A1737" w:rsidRDefault="000B06D1" w:rsidP="000B06D1">
      <w:pPr>
        <w:pStyle w:val="NormalWeb"/>
        <w:shd w:val="clear" w:color="auto" w:fill="FFFFFF"/>
        <w:jc w:val="center"/>
        <w:rPr>
          <w:rFonts w:ascii="Arial" w:hAnsi="Arial" w:cs="Arial"/>
          <w:b/>
          <w:sz w:val="22"/>
          <w:szCs w:val="22"/>
        </w:rPr>
      </w:pPr>
      <w:r w:rsidRPr="008A1737">
        <w:rPr>
          <w:rFonts w:ascii="Arial" w:hAnsi="Arial" w:cs="Arial"/>
          <w:b/>
          <w:sz w:val="22"/>
          <w:szCs w:val="22"/>
        </w:rPr>
        <w:t>CONCLUSI</w:t>
      </w:r>
      <w:r w:rsidR="00A5005C" w:rsidRPr="008A1737">
        <w:rPr>
          <w:rFonts w:ascii="Arial" w:hAnsi="Arial" w:cs="Arial"/>
          <w:b/>
          <w:sz w:val="22"/>
          <w:szCs w:val="22"/>
        </w:rPr>
        <w:t>O</w:t>
      </w:r>
      <w:r w:rsidRPr="008A1737">
        <w:rPr>
          <w:rFonts w:ascii="Arial" w:hAnsi="Arial" w:cs="Arial"/>
          <w:b/>
          <w:sz w:val="22"/>
          <w:szCs w:val="22"/>
        </w:rPr>
        <w:t>N</w:t>
      </w:r>
      <w:r w:rsidR="00A5005C" w:rsidRPr="008A1737">
        <w:rPr>
          <w:rFonts w:ascii="Arial" w:hAnsi="Arial" w:cs="Arial"/>
          <w:b/>
          <w:sz w:val="22"/>
          <w:szCs w:val="22"/>
        </w:rPr>
        <w:t>ES</w:t>
      </w:r>
    </w:p>
    <w:p w14:paraId="479A9CA8" w14:textId="0EC1AF3A" w:rsidR="00E02EAE" w:rsidRDefault="00E02EAE" w:rsidP="00E02EAE">
      <w:pPr>
        <w:pStyle w:val="Default"/>
        <w:jc w:val="both"/>
        <w:rPr>
          <w:rFonts w:eastAsia="Times New Roman"/>
          <w:sz w:val="22"/>
          <w:szCs w:val="22"/>
          <w:lang w:eastAsia="es-ES"/>
        </w:rPr>
      </w:pPr>
      <w:r w:rsidRPr="00FB4E3E">
        <w:rPr>
          <w:rFonts w:eastAsia="Times New Roman"/>
          <w:b/>
          <w:sz w:val="22"/>
          <w:szCs w:val="22"/>
          <w:lang w:eastAsia="es-ES"/>
        </w:rPr>
        <w:t>1</w:t>
      </w:r>
      <w:r w:rsidR="00FB4E3E" w:rsidRPr="00FB4E3E">
        <w:rPr>
          <w:rFonts w:eastAsia="Times New Roman"/>
          <w:b/>
          <w:sz w:val="22"/>
          <w:szCs w:val="22"/>
          <w:lang w:eastAsia="es-ES"/>
        </w:rPr>
        <w:t>.</w:t>
      </w:r>
      <w:r w:rsidRPr="00FB4E3E">
        <w:rPr>
          <w:rFonts w:eastAsia="Times New Roman"/>
          <w:b/>
          <w:sz w:val="22"/>
          <w:szCs w:val="22"/>
          <w:lang w:eastAsia="es-ES"/>
        </w:rPr>
        <w:t>-</w:t>
      </w:r>
      <w:r w:rsidRPr="00E02EAE">
        <w:rPr>
          <w:rFonts w:eastAsia="Times New Roman"/>
          <w:sz w:val="22"/>
          <w:szCs w:val="22"/>
          <w:lang w:eastAsia="es-ES"/>
        </w:rPr>
        <w:t xml:space="preserve"> </w:t>
      </w:r>
      <w:r>
        <w:rPr>
          <w:rFonts w:eastAsia="Times New Roman"/>
          <w:sz w:val="22"/>
          <w:szCs w:val="22"/>
          <w:lang w:eastAsia="es-ES"/>
        </w:rPr>
        <w:t>Teniendo en cuenta que el artículo 13.3 bis de la LGS expresa que no ser</w:t>
      </w:r>
      <w:r w:rsidR="00407892">
        <w:rPr>
          <w:rFonts w:eastAsia="Times New Roman"/>
          <w:sz w:val="22"/>
          <w:szCs w:val="22"/>
          <w:lang w:eastAsia="es-ES"/>
        </w:rPr>
        <w:t>á de aplicación a entidades de D</w:t>
      </w:r>
      <w:r>
        <w:rPr>
          <w:rFonts w:eastAsia="Times New Roman"/>
          <w:sz w:val="22"/>
          <w:szCs w:val="22"/>
          <w:lang w:eastAsia="es-ES"/>
        </w:rPr>
        <w:t xml:space="preserve">erecho público, sin especificar aspectos de su régimen jurídico recogidos en su norma de creación (público o privado), todos los entes </w:t>
      </w:r>
      <w:r w:rsidR="00407892">
        <w:rPr>
          <w:rFonts w:eastAsia="Times New Roman"/>
          <w:sz w:val="22"/>
          <w:szCs w:val="22"/>
          <w:lang w:eastAsia="es-ES"/>
        </w:rPr>
        <w:t>de D</w:t>
      </w:r>
      <w:r>
        <w:rPr>
          <w:rFonts w:eastAsia="Times New Roman"/>
          <w:sz w:val="22"/>
          <w:szCs w:val="22"/>
          <w:lang w:eastAsia="es-ES"/>
        </w:rPr>
        <w:t>erecho público estarían excluidos sin excepciones de la acreditación del cumplimiento de los plazos de pago</w:t>
      </w:r>
      <w:r w:rsidR="00AD00F6">
        <w:rPr>
          <w:rFonts w:eastAsia="Times New Roman"/>
          <w:sz w:val="22"/>
          <w:szCs w:val="22"/>
          <w:lang w:eastAsia="es-ES"/>
        </w:rPr>
        <w:t xml:space="preserve"> recogidos en el citado artículo</w:t>
      </w:r>
      <w:r>
        <w:rPr>
          <w:rFonts w:eastAsia="Times New Roman"/>
          <w:sz w:val="22"/>
          <w:szCs w:val="22"/>
          <w:lang w:eastAsia="es-ES"/>
        </w:rPr>
        <w:t xml:space="preserve">. </w:t>
      </w:r>
    </w:p>
    <w:p w14:paraId="1178B86B" w14:textId="77777777" w:rsidR="00E02EAE" w:rsidRDefault="00E02EAE" w:rsidP="00E02EAE">
      <w:pPr>
        <w:pStyle w:val="Default"/>
        <w:jc w:val="both"/>
        <w:rPr>
          <w:rFonts w:eastAsia="Times New Roman"/>
          <w:sz w:val="22"/>
          <w:szCs w:val="22"/>
          <w:lang w:eastAsia="es-ES"/>
        </w:rPr>
      </w:pPr>
    </w:p>
    <w:p w14:paraId="3BF363C4" w14:textId="527D7F32" w:rsidR="00FB4E3E" w:rsidRPr="00E619E6" w:rsidRDefault="00E02EAE" w:rsidP="00FB4E3E">
      <w:pPr>
        <w:pStyle w:val="Default"/>
        <w:jc w:val="both"/>
        <w:rPr>
          <w:rFonts w:eastAsia="Times New Roman"/>
          <w:color w:val="auto"/>
          <w:sz w:val="22"/>
          <w:szCs w:val="22"/>
          <w:lang w:eastAsia="es-ES"/>
        </w:rPr>
      </w:pPr>
      <w:r>
        <w:rPr>
          <w:rFonts w:eastAsia="Times New Roman"/>
          <w:sz w:val="22"/>
          <w:szCs w:val="22"/>
          <w:lang w:eastAsia="es-ES"/>
        </w:rPr>
        <w:t>Por otro lado, siendo siempre las socied</w:t>
      </w:r>
      <w:r w:rsidR="00407892">
        <w:rPr>
          <w:rFonts w:eastAsia="Times New Roman"/>
          <w:sz w:val="22"/>
          <w:szCs w:val="22"/>
          <w:lang w:eastAsia="es-ES"/>
        </w:rPr>
        <w:t>ades mercantiles, entidades de D</w:t>
      </w:r>
      <w:r>
        <w:rPr>
          <w:rFonts w:eastAsia="Times New Roman"/>
          <w:sz w:val="22"/>
          <w:szCs w:val="22"/>
          <w:lang w:eastAsia="es-ES"/>
        </w:rPr>
        <w:t>erecho privado, estarían en todo caso dentro del ámbito de aplicación del referido artículo, pertenezcan o no al sector público.</w:t>
      </w:r>
      <w:r w:rsidR="006F2BAB">
        <w:rPr>
          <w:rFonts w:eastAsia="Times New Roman"/>
          <w:sz w:val="22"/>
          <w:szCs w:val="22"/>
          <w:lang w:eastAsia="es-ES"/>
        </w:rPr>
        <w:t xml:space="preserve"> </w:t>
      </w:r>
      <w:r w:rsidR="00FB4E3E" w:rsidRPr="00E619E6">
        <w:rPr>
          <w:rFonts w:eastAsia="Times New Roman"/>
          <w:color w:val="auto"/>
          <w:sz w:val="22"/>
          <w:szCs w:val="22"/>
          <w:lang w:eastAsia="es-ES"/>
        </w:rPr>
        <w:t>Sin embargo, en el caso de otras entidades Derecho privado (por ejemplo, las fundaciones) debe tenerse en cuenta que las mismas no tienen por definición, ánimo de lucro, siendo esta condición necesaria para la aplicación de la obligación de acreditación del cumplimiento de los plazos de pago recogida en el artículo 13.3 bis.</w:t>
      </w:r>
    </w:p>
    <w:p w14:paraId="59633CDF" w14:textId="4CC384E3" w:rsidR="00E02EAE" w:rsidRDefault="00E02EAE" w:rsidP="00E02EAE">
      <w:pPr>
        <w:pStyle w:val="Default"/>
        <w:jc w:val="both"/>
        <w:rPr>
          <w:rFonts w:eastAsia="Times New Roman"/>
          <w:sz w:val="22"/>
          <w:szCs w:val="22"/>
          <w:lang w:eastAsia="es-ES"/>
        </w:rPr>
      </w:pPr>
    </w:p>
    <w:p w14:paraId="4F2320F6" w14:textId="22187B8B" w:rsidR="00E02EAE" w:rsidRDefault="00FB4E3E" w:rsidP="00E02EAE">
      <w:pPr>
        <w:pStyle w:val="Default"/>
        <w:jc w:val="both"/>
        <w:rPr>
          <w:rFonts w:eastAsia="Times New Roman"/>
          <w:sz w:val="22"/>
          <w:szCs w:val="22"/>
          <w:lang w:eastAsia="es-ES"/>
        </w:rPr>
      </w:pPr>
      <w:r w:rsidRPr="00FB4E3E">
        <w:rPr>
          <w:rFonts w:eastAsia="Times New Roman"/>
          <w:b/>
          <w:sz w:val="22"/>
          <w:szCs w:val="22"/>
          <w:lang w:eastAsia="es-ES"/>
        </w:rPr>
        <w:t xml:space="preserve">2.- </w:t>
      </w:r>
      <w:r w:rsidR="00E02EAE" w:rsidRPr="008152CE">
        <w:rPr>
          <w:rFonts w:eastAsia="Times New Roman"/>
          <w:sz w:val="22"/>
          <w:szCs w:val="22"/>
          <w:lang w:eastAsia="es-ES"/>
        </w:rPr>
        <w:t xml:space="preserve">La </w:t>
      </w:r>
      <w:r w:rsidR="00E02EAE" w:rsidRPr="00B52C03">
        <w:rPr>
          <w:rFonts w:eastAsia="Times New Roman"/>
          <w:sz w:val="22"/>
          <w:szCs w:val="22"/>
          <w:lang w:eastAsia="es-ES"/>
        </w:rPr>
        <w:t xml:space="preserve">transcripción del contenido de la memoria de las cuentas anuales en el certificado del auditor </w:t>
      </w:r>
      <w:r w:rsidR="00AD00F6">
        <w:rPr>
          <w:rFonts w:eastAsia="Times New Roman"/>
          <w:sz w:val="22"/>
          <w:szCs w:val="22"/>
          <w:lang w:eastAsia="es-ES"/>
        </w:rPr>
        <w:t xml:space="preserve">de cuentas </w:t>
      </w:r>
      <w:r w:rsidR="00E02EAE" w:rsidRPr="00B52C03">
        <w:rPr>
          <w:rFonts w:eastAsia="Times New Roman"/>
          <w:sz w:val="22"/>
          <w:szCs w:val="22"/>
          <w:lang w:eastAsia="es-ES"/>
        </w:rPr>
        <w:t>resulta necesaria</w:t>
      </w:r>
      <w:r w:rsidR="00AD00F6">
        <w:rPr>
          <w:rFonts w:eastAsia="Times New Roman"/>
          <w:sz w:val="22"/>
          <w:szCs w:val="22"/>
          <w:lang w:eastAsia="es-ES"/>
        </w:rPr>
        <w:t xml:space="preserve"> teniendo en cuenta las estipulaciones del artículo 13.3 b) 1º, sin perjuicio de la posible inclusión de otros contenidos que resulten aclaratorios respecto al alcance del cumplimiento total en los plazos de pago en los casos en los que el certificado tenga carácter positivo.</w:t>
      </w:r>
    </w:p>
    <w:p w14:paraId="11B45111" w14:textId="77777777" w:rsidR="00AD00F6" w:rsidRDefault="00AD00F6" w:rsidP="00E02EAE">
      <w:pPr>
        <w:pStyle w:val="Default"/>
        <w:jc w:val="both"/>
        <w:rPr>
          <w:rFonts w:eastAsia="Times New Roman"/>
          <w:sz w:val="22"/>
          <w:szCs w:val="22"/>
          <w:lang w:eastAsia="es-ES"/>
        </w:rPr>
      </w:pPr>
    </w:p>
    <w:p w14:paraId="4D96A888" w14:textId="7F356A7D" w:rsidR="00B55C25" w:rsidRDefault="00AD00F6" w:rsidP="00E02EAE">
      <w:pPr>
        <w:pStyle w:val="Default"/>
        <w:jc w:val="both"/>
        <w:rPr>
          <w:rFonts w:eastAsia="Times New Roman"/>
          <w:sz w:val="22"/>
          <w:szCs w:val="22"/>
          <w:lang w:eastAsia="es-ES"/>
        </w:rPr>
      </w:pPr>
      <w:r w:rsidRPr="00FB4E3E">
        <w:rPr>
          <w:rFonts w:eastAsia="Times New Roman"/>
          <w:b/>
          <w:sz w:val="22"/>
          <w:szCs w:val="22"/>
          <w:lang w:eastAsia="es-ES"/>
        </w:rPr>
        <w:t>3</w:t>
      </w:r>
      <w:r w:rsidR="00FB4E3E">
        <w:rPr>
          <w:rFonts w:eastAsia="Times New Roman"/>
          <w:b/>
          <w:sz w:val="22"/>
          <w:szCs w:val="22"/>
          <w:lang w:eastAsia="es-ES"/>
        </w:rPr>
        <w:t>.</w:t>
      </w:r>
      <w:r w:rsidRPr="00FB4E3E">
        <w:rPr>
          <w:rFonts w:eastAsia="Times New Roman"/>
          <w:b/>
          <w:sz w:val="22"/>
          <w:szCs w:val="22"/>
          <w:lang w:eastAsia="es-ES"/>
        </w:rPr>
        <w:t>-</w:t>
      </w:r>
      <w:r>
        <w:rPr>
          <w:rFonts w:eastAsia="Times New Roman"/>
          <w:sz w:val="22"/>
          <w:szCs w:val="22"/>
          <w:lang w:eastAsia="es-ES"/>
        </w:rPr>
        <w:t xml:space="preserve"> En todos los expedientes que acrediten el cumplimiento </w:t>
      </w:r>
      <w:r w:rsidR="00B64298">
        <w:rPr>
          <w:rFonts w:eastAsia="Times New Roman"/>
          <w:sz w:val="22"/>
          <w:szCs w:val="22"/>
          <w:lang w:eastAsia="es-ES"/>
        </w:rPr>
        <w:t xml:space="preserve">de los plazos de pago mediante </w:t>
      </w:r>
      <w:r>
        <w:rPr>
          <w:rFonts w:eastAsia="Times New Roman"/>
          <w:sz w:val="22"/>
          <w:szCs w:val="22"/>
          <w:lang w:eastAsia="es-ES"/>
        </w:rPr>
        <w:t>“Informe de Procedimientos Acordado”</w:t>
      </w:r>
      <w:r w:rsidR="003267F3">
        <w:rPr>
          <w:rFonts w:eastAsia="Times New Roman"/>
          <w:sz w:val="22"/>
          <w:szCs w:val="22"/>
          <w:lang w:eastAsia="es-ES"/>
        </w:rPr>
        <w:t>,</w:t>
      </w:r>
      <w:r w:rsidR="00781B25">
        <w:rPr>
          <w:rFonts w:eastAsia="Times New Roman"/>
          <w:sz w:val="22"/>
          <w:szCs w:val="22"/>
          <w:lang w:eastAsia="es-ES"/>
        </w:rPr>
        <w:t xml:space="preserve"> </w:t>
      </w:r>
      <w:r w:rsidR="00B64298" w:rsidRPr="00B64298">
        <w:rPr>
          <w:rFonts w:eastAsia="Times New Roman"/>
          <w:sz w:val="22"/>
          <w:szCs w:val="22"/>
          <w:lang w:eastAsia="es-ES"/>
        </w:rPr>
        <w:t xml:space="preserve">la fecha de referencia </w:t>
      </w:r>
      <w:r w:rsidR="00B64298">
        <w:rPr>
          <w:rFonts w:eastAsia="Times New Roman"/>
          <w:sz w:val="22"/>
          <w:szCs w:val="22"/>
          <w:lang w:eastAsia="es-ES"/>
        </w:rPr>
        <w:t>en la que se base</w:t>
      </w:r>
      <w:r w:rsidR="00B64298" w:rsidRPr="00B64298">
        <w:rPr>
          <w:rFonts w:eastAsia="Times New Roman"/>
          <w:sz w:val="22"/>
          <w:szCs w:val="22"/>
          <w:lang w:eastAsia="es-ES"/>
        </w:rPr>
        <w:t xml:space="preserve"> </w:t>
      </w:r>
      <w:r w:rsidR="007432D0">
        <w:rPr>
          <w:rFonts w:eastAsia="Times New Roman"/>
          <w:sz w:val="22"/>
          <w:szCs w:val="22"/>
          <w:lang w:eastAsia="es-ES"/>
        </w:rPr>
        <w:t xml:space="preserve">el informe </w:t>
      </w:r>
      <w:r w:rsidR="00B64298" w:rsidRPr="00B64298">
        <w:rPr>
          <w:rFonts w:eastAsia="Times New Roman"/>
          <w:sz w:val="22"/>
          <w:szCs w:val="22"/>
          <w:lang w:eastAsia="es-ES"/>
        </w:rPr>
        <w:t xml:space="preserve">deberá ser como máximo anterior en </w:t>
      </w:r>
      <w:r w:rsidR="00B64298">
        <w:rPr>
          <w:rFonts w:eastAsia="Times New Roman"/>
          <w:sz w:val="22"/>
          <w:szCs w:val="22"/>
          <w:lang w:eastAsia="es-ES"/>
        </w:rPr>
        <w:t>un mes a su</w:t>
      </w:r>
      <w:r w:rsidR="00B64298" w:rsidRPr="00B64298">
        <w:rPr>
          <w:rFonts w:eastAsia="Times New Roman"/>
          <w:sz w:val="22"/>
          <w:szCs w:val="22"/>
          <w:lang w:eastAsia="es-ES"/>
        </w:rPr>
        <w:t xml:space="preserve"> fecha de emisión. Por otro lado, </w:t>
      </w:r>
      <w:r w:rsidR="00781B25">
        <w:rPr>
          <w:rFonts w:eastAsia="Times New Roman"/>
          <w:sz w:val="22"/>
          <w:szCs w:val="22"/>
          <w:lang w:eastAsia="es-ES"/>
        </w:rPr>
        <w:t>sea cual sea el momento en que se realice la acreditación,</w:t>
      </w:r>
      <w:r w:rsidR="00B64298" w:rsidRPr="00B64298">
        <w:rPr>
          <w:rFonts w:eastAsia="Times New Roman"/>
          <w:sz w:val="22"/>
          <w:szCs w:val="22"/>
          <w:lang w:eastAsia="es-ES"/>
        </w:rPr>
        <w:t xml:space="preserve"> la fecha de validez del informe ser</w:t>
      </w:r>
      <w:r w:rsidR="00B64298">
        <w:rPr>
          <w:rFonts w:eastAsia="Times New Roman"/>
          <w:sz w:val="22"/>
          <w:szCs w:val="22"/>
          <w:lang w:eastAsia="es-ES"/>
        </w:rPr>
        <w:t>á de seis meses desde su</w:t>
      </w:r>
      <w:r w:rsidR="00B64298" w:rsidRPr="00B64298">
        <w:rPr>
          <w:rFonts w:eastAsia="Times New Roman"/>
          <w:sz w:val="22"/>
          <w:szCs w:val="22"/>
          <w:lang w:eastAsia="es-ES"/>
        </w:rPr>
        <w:t xml:space="preserve"> fecha de referencia</w:t>
      </w:r>
      <w:r w:rsidR="00B64298">
        <w:rPr>
          <w:rFonts w:eastAsia="Times New Roman"/>
          <w:sz w:val="22"/>
          <w:szCs w:val="22"/>
          <w:lang w:eastAsia="es-ES"/>
        </w:rPr>
        <w:t>.</w:t>
      </w:r>
    </w:p>
    <w:p w14:paraId="27CC3B74" w14:textId="0540C992" w:rsidR="00B55C25" w:rsidRDefault="00B55C25" w:rsidP="00B55C25">
      <w:pPr>
        <w:shd w:val="clear" w:color="auto" w:fill="FFFFFF"/>
        <w:spacing w:before="180" w:after="180" w:line="240" w:lineRule="auto"/>
        <w:jc w:val="both"/>
        <w:rPr>
          <w:rFonts w:ascii="Arial" w:eastAsia="Times New Roman" w:hAnsi="Arial" w:cs="Arial"/>
          <w:color w:val="000000"/>
          <w:lang w:eastAsia="es-ES"/>
        </w:rPr>
      </w:pPr>
      <w:r w:rsidRPr="00FB4E3E">
        <w:rPr>
          <w:rFonts w:ascii="Arial" w:eastAsia="Times New Roman" w:hAnsi="Arial" w:cs="Arial"/>
          <w:b/>
          <w:color w:val="000000"/>
          <w:lang w:eastAsia="es-ES"/>
        </w:rPr>
        <w:t>4</w:t>
      </w:r>
      <w:r w:rsidR="00FB4E3E">
        <w:rPr>
          <w:rFonts w:ascii="Arial" w:eastAsia="Times New Roman" w:hAnsi="Arial" w:cs="Arial"/>
          <w:b/>
          <w:color w:val="000000"/>
          <w:lang w:eastAsia="es-ES"/>
        </w:rPr>
        <w:t>.</w:t>
      </w:r>
      <w:r w:rsidRPr="00FB4E3E">
        <w:rPr>
          <w:rFonts w:ascii="Arial" w:eastAsia="Times New Roman" w:hAnsi="Arial" w:cs="Arial"/>
          <w:b/>
          <w:color w:val="000000"/>
          <w:lang w:eastAsia="es-ES"/>
        </w:rPr>
        <w:t>-</w:t>
      </w:r>
      <w:r w:rsidRPr="007432D0">
        <w:rPr>
          <w:rFonts w:ascii="Arial" w:eastAsia="Times New Roman" w:hAnsi="Arial" w:cs="Arial"/>
          <w:color w:val="000000"/>
          <w:lang w:eastAsia="es-ES"/>
        </w:rPr>
        <w:t xml:space="preserve"> El órgano gestor deberá comprobar </w:t>
      </w:r>
      <w:r>
        <w:rPr>
          <w:rFonts w:ascii="Arial" w:eastAsia="Times New Roman" w:hAnsi="Arial" w:cs="Arial"/>
          <w:color w:val="000000"/>
          <w:lang w:eastAsia="es-ES"/>
        </w:rPr>
        <w:t>inmediatamente antes de la resolución de concesión</w:t>
      </w:r>
      <w:r w:rsidR="007432D0">
        <w:rPr>
          <w:rFonts w:ascii="Arial" w:eastAsia="Times New Roman" w:hAnsi="Arial" w:cs="Arial"/>
          <w:color w:val="000000"/>
          <w:lang w:eastAsia="es-ES"/>
        </w:rPr>
        <w:t>,</w:t>
      </w:r>
      <w:r>
        <w:rPr>
          <w:rFonts w:ascii="Arial" w:eastAsia="Times New Roman" w:hAnsi="Arial" w:cs="Arial"/>
          <w:color w:val="000000"/>
          <w:lang w:eastAsia="es-ES"/>
        </w:rPr>
        <w:t xml:space="preserve"> el cumplimiento de </w:t>
      </w:r>
      <w:r w:rsidR="007432D0">
        <w:rPr>
          <w:rFonts w:ascii="Arial" w:eastAsia="Times New Roman" w:hAnsi="Arial" w:cs="Arial"/>
          <w:color w:val="000000"/>
          <w:lang w:eastAsia="es-ES"/>
        </w:rPr>
        <w:t xml:space="preserve">todos los </w:t>
      </w:r>
      <w:r>
        <w:rPr>
          <w:rFonts w:ascii="Arial" w:eastAsia="Times New Roman" w:hAnsi="Arial" w:cs="Arial"/>
          <w:color w:val="000000"/>
          <w:lang w:eastAsia="es-ES"/>
        </w:rPr>
        <w:t xml:space="preserve">requisitos del artículo 13 de la LGS </w:t>
      </w:r>
      <w:r w:rsidR="007432D0">
        <w:rPr>
          <w:rFonts w:ascii="Arial" w:eastAsia="Times New Roman" w:hAnsi="Arial" w:cs="Arial"/>
          <w:color w:val="000000"/>
          <w:lang w:eastAsia="es-ES"/>
        </w:rPr>
        <w:t>y la validez de todas las declaraciones,</w:t>
      </w:r>
      <w:r>
        <w:rPr>
          <w:rFonts w:ascii="Arial" w:eastAsia="Times New Roman" w:hAnsi="Arial" w:cs="Arial"/>
          <w:color w:val="000000"/>
          <w:lang w:eastAsia="es-ES"/>
        </w:rPr>
        <w:t xml:space="preserve"> certificados</w:t>
      </w:r>
      <w:r w:rsidR="007432D0">
        <w:rPr>
          <w:rFonts w:ascii="Arial" w:eastAsia="Times New Roman" w:hAnsi="Arial" w:cs="Arial"/>
          <w:color w:val="000000"/>
          <w:lang w:eastAsia="es-ES"/>
        </w:rPr>
        <w:t xml:space="preserve"> e informes acreditativos de los requisitos para la obtención de la condición de beneficiario de la subvención</w:t>
      </w:r>
      <w:r w:rsidR="00781B25">
        <w:rPr>
          <w:rFonts w:ascii="Arial" w:eastAsia="Times New Roman" w:hAnsi="Arial" w:cs="Arial"/>
          <w:color w:val="000000"/>
          <w:lang w:eastAsia="es-ES"/>
        </w:rPr>
        <w:t>, incluido el establecido en su apartado 3</w:t>
      </w:r>
      <w:r w:rsidR="007432D0">
        <w:rPr>
          <w:rFonts w:ascii="Arial" w:eastAsia="Times New Roman" w:hAnsi="Arial" w:cs="Arial"/>
          <w:color w:val="000000"/>
          <w:lang w:eastAsia="es-ES"/>
        </w:rPr>
        <w:t>.</w:t>
      </w:r>
      <w:r>
        <w:rPr>
          <w:rFonts w:ascii="Arial" w:eastAsia="Times New Roman" w:hAnsi="Arial" w:cs="Arial"/>
          <w:color w:val="000000"/>
          <w:lang w:eastAsia="es-ES"/>
        </w:rPr>
        <w:t xml:space="preserve"> </w:t>
      </w:r>
    </w:p>
    <w:p w14:paraId="6111A702" w14:textId="75D24F85" w:rsidR="00AC4537" w:rsidRDefault="007432D0" w:rsidP="007432D0">
      <w:pPr>
        <w:pStyle w:val="NormalWeb"/>
        <w:shd w:val="clear" w:color="auto" w:fill="FFFFFF"/>
        <w:jc w:val="both"/>
        <w:rPr>
          <w:rFonts w:ascii="Arial" w:hAnsi="Arial" w:cs="Arial"/>
          <w:color w:val="000000"/>
          <w:sz w:val="22"/>
          <w:szCs w:val="22"/>
        </w:rPr>
      </w:pPr>
      <w:r w:rsidRPr="00FB4E3E">
        <w:rPr>
          <w:rFonts w:ascii="Arial" w:hAnsi="Arial" w:cs="Arial"/>
          <w:b/>
          <w:color w:val="000000"/>
          <w:sz w:val="22"/>
          <w:szCs w:val="22"/>
        </w:rPr>
        <w:t>5</w:t>
      </w:r>
      <w:r w:rsidR="00FB4E3E">
        <w:rPr>
          <w:rFonts w:ascii="Arial" w:hAnsi="Arial" w:cs="Arial"/>
          <w:b/>
          <w:color w:val="000000"/>
          <w:sz w:val="22"/>
          <w:szCs w:val="22"/>
        </w:rPr>
        <w:t>.</w:t>
      </w:r>
      <w:r w:rsidRPr="00FB4E3E">
        <w:rPr>
          <w:rFonts w:ascii="Arial" w:hAnsi="Arial" w:cs="Arial"/>
          <w:b/>
          <w:color w:val="000000"/>
          <w:sz w:val="22"/>
          <w:szCs w:val="22"/>
        </w:rPr>
        <w:t>-</w:t>
      </w:r>
      <w:r w:rsidRPr="008152CE">
        <w:rPr>
          <w:rFonts w:ascii="Arial" w:hAnsi="Arial" w:cs="Arial"/>
          <w:color w:val="000000"/>
          <w:sz w:val="22"/>
          <w:szCs w:val="22"/>
        </w:rPr>
        <w:t xml:space="preserve"> </w:t>
      </w:r>
      <w:r w:rsidR="00AC4537">
        <w:rPr>
          <w:rFonts w:ascii="Arial" w:hAnsi="Arial" w:cs="Arial"/>
          <w:color w:val="000000"/>
          <w:sz w:val="22"/>
          <w:szCs w:val="22"/>
        </w:rPr>
        <w:t xml:space="preserve">El órgano </w:t>
      </w:r>
      <w:r w:rsidR="00A22D4C">
        <w:rPr>
          <w:rFonts w:ascii="Arial" w:hAnsi="Arial" w:cs="Arial"/>
          <w:color w:val="000000"/>
          <w:sz w:val="22"/>
          <w:szCs w:val="22"/>
        </w:rPr>
        <w:t>instructor del procedimiento de concesión de la ayuda</w:t>
      </w:r>
      <w:r>
        <w:rPr>
          <w:rFonts w:ascii="Arial" w:hAnsi="Arial" w:cs="Arial"/>
          <w:color w:val="000000"/>
          <w:sz w:val="22"/>
          <w:szCs w:val="22"/>
        </w:rPr>
        <w:t xml:space="preserve"> </w:t>
      </w:r>
      <w:r w:rsidR="002D54E5">
        <w:rPr>
          <w:rFonts w:ascii="Arial" w:hAnsi="Arial" w:cs="Arial"/>
          <w:color w:val="000000"/>
          <w:sz w:val="22"/>
          <w:szCs w:val="22"/>
        </w:rPr>
        <w:t>debe</w:t>
      </w:r>
      <w:r>
        <w:rPr>
          <w:rFonts w:ascii="Arial" w:hAnsi="Arial" w:cs="Arial"/>
          <w:color w:val="000000"/>
          <w:sz w:val="22"/>
          <w:szCs w:val="22"/>
        </w:rPr>
        <w:t xml:space="preserve"> valorar</w:t>
      </w:r>
      <w:r w:rsidR="002D54E5">
        <w:rPr>
          <w:rFonts w:ascii="Arial" w:hAnsi="Arial" w:cs="Arial"/>
          <w:color w:val="000000"/>
          <w:sz w:val="22"/>
          <w:szCs w:val="22"/>
        </w:rPr>
        <w:t xml:space="preserve"> el riesgo de que certificados e informes que puedan ser válidos a la fecha de solicitud, puedan no serlo a la fecha de la resolución de concesión. Por lo tanto, deberá tener en cuenta los plazos estimados de resolución de las convocatorias</w:t>
      </w:r>
      <w:r w:rsidR="00A22D4C">
        <w:rPr>
          <w:rFonts w:ascii="Arial" w:hAnsi="Arial" w:cs="Arial"/>
          <w:color w:val="000000"/>
          <w:sz w:val="22"/>
          <w:szCs w:val="22"/>
        </w:rPr>
        <w:t xml:space="preserve">, antes del establecimiento </w:t>
      </w:r>
      <w:r w:rsidR="002D54E5">
        <w:rPr>
          <w:rFonts w:ascii="Arial" w:hAnsi="Arial" w:cs="Arial"/>
          <w:color w:val="000000"/>
          <w:sz w:val="22"/>
          <w:szCs w:val="22"/>
        </w:rPr>
        <w:t>de un</w:t>
      </w:r>
      <w:r>
        <w:rPr>
          <w:rFonts w:ascii="Arial" w:hAnsi="Arial" w:cs="Arial"/>
          <w:color w:val="000000"/>
          <w:sz w:val="22"/>
          <w:szCs w:val="22"/>
        </w:rPr>
        <w:t xml:space="preserve"> plazo de </w:t>
      </w:r>
      <w:r w:rsidR="002D54E5">
        <w:rPr>
          <w:rFonts w:ascii="Arial" w:hAnsi="Arial" w:cs="Arial"/>
          <w:color w:val="000000"/>
          <w:sz w:val="22"/>
          <w:szCs w:val="22"/>
        </w:rPr>
        <w:t xml:space="preserve">acreditación </w:t>
      </w:r>
      <w:r>
        <w:rPr>
          <w:rFonts w:ascii="Arial" w:hAnsi="Arial" w:cs="Arial"/>
          <w:color w:val="000000"/>
          <w:sz w:val="22"/>
          <w:szCs w:val="22"/>
        </w:rPr>
        <w:t>de los requisitos del artículo 13.3 bis de la LGS durante el propio plazo de solicitud de la ayuda</w:t>
      </w:r>
      <w:r w:rsidR="002D54E5">
        <w:rPr>
          <w:rFonts w:ascii="Arial" w:hAnsi="Arial" w:cs="Arial"/>
          <w:color w:val="000000"/>
          <w:sz w:val="22"/>
          <w:szCs w:val="22"/>
        </w:rPr>
        <w:t>.</w:t>
      </w:r>
      <w:r w:rsidR="00A22D4C" w:rsidRPr="00A22D4C">
        <w:rPr>
          <w:rFonts w:ascii="Arial" w:hAnsi="Arial" w:cs="Arial"/>
          <w:color w:val="000000"/>
          <w:sz w:val="22"/>
          <w:szCs w:val="22"/>
        </w:rPr>
        <w:t xml:space="preserve"> </w:t>
      </w:r>
      <w:r w:rsidR="00A22D4C">
        <w:rPr>
          <w:rFonts w:ascii="Arial" w:hAnsi="Arial" w:cs="Arial"/>
          <w:color w:val="000000"/>
          <w:sz w:val="22"/>
          <w:szCs w:val="22"/>
        </w:rPr>
        <w:t>Así mismo, deberá considerar que este plazo, en cualquier caso, solo se puede establecer en las bases reguladoras.</w:t>
      </w:r>
    </w:p>
    <w:p w14:paraId="7D40D7B5" w14:textId="77777777" w:rsidR="007432D0" w:rsidRDefault="00A22D4C" w:rsidP="007432D0">
      <w:pPr>
        <w:pStyle w:val="NormalWeb"/>
        <w:shd w:val="clear" w:color="auto" w:fill="FFFFFF"/>
        <w:jc w:val="both"/>
        <w:rPr>
          <w:rFonts w:ascii="Arial" w:hAnsi="Arial" w:cs="Arial"/>
          <w:color w:val="000000"/>
          <w:sz w:val="22"/>
          <w:szCs w:val="22"/>
        </w:rPr>
      </w:pPr>
      <w:r>
        <w:rPr>
          <w:rFonts w:ascii="Arial" w:hAnsi="Arial" w:cs="Arial"/>
          <w:color w:val="000000"/>
          <w:sz w:val="22"/>
          <w:szCs w:val="22"/>
        </w:rPr>
        <w:t>Por tanto,</w:t>
      </w:r>
      <w:r w:rsidR="007432D0">
        <w:rPr>
          <w:rFonts w:ascii="Arial" w:hAnsi="Arial" w:cs="Arial"/>
          <w:color w:val="000000"/>
          <w:sz w:val="22"/>
          <w:szCs w:val="22"/>
        </w:rPr>
        <w:t xml:space="preserve"> </w:t>
      </w:r>
      <w:r w:rsidR="0023229D">
        <w:rPr>
          <w:rFonts w:ascii="Arial" w:hAnsi="Arial" w:cs="Arial"/>
          <w:color w:val="000000"/>
          <w:sz w:val="22"/>
          <w:szCs w:val="22"/>
        </w:rPr>
        <w:t xml:space="preserve">debiera analizar </w:t>
      </w:r>
      <w:r w:rsidR="007432D0">
        <w:rPr>
          <w:rFonts w:ascii="Arial" w:hAnsi="Arial" w:cs="Arial"/>
          <w:color w:val="000000"/>
          <w:sz w:val="22"/>
          <w:szCs w:val="22"/>
        </w:rPr>
        <w:t xml:space="preserve">las dificultades de gestión que se pudieran generar a la propia Administración y a los </w:t>
      </w:r>
      <w:r w:rsidR="008152CE">
        <w:rPr>
          <w:rFonts w:ascii="Arial" w:hAnsi="Arial" w:cs="Arial"/>
          <w:color w:val="000000"/>
          <w:sz w:val="22"/>
          <w:szCs w:val="22"/>
        </w:rPr>
        <w:t xml:space="preserve">propios </w:t>
      </w:r>
      <w:r w:rsidR="007432D0">
        <w:rPr>
          <w:rFonts w:ascii="Arial" w:hAnsi="Arial" w:cs="Arial"/>
          <w:color w:val="000000"/>
          <w:sz w:val="22"/>
          <w:szCs w:val="22"/>
        </w:rPr>
        <w:t xml:space="preserve">interesados </w:t>
      </w:r>
      <w:r w:rsidR="00AC4537">
        <w:rPr>
          <w:rFonts w:ascii="Arial" w:hAnsi="Arial" w:cs="Arial"/>
          <w:color w:val="000000"/>
          <w:sz w:val="22"/>
          <w:szCs w:val="22"/>
        </w:rPr>
        <w:t xml:space="preserve">si resultara necesario requerir </w:t>
      </w:r>
      <w:r w:rsidR="008152CE">
        <w:rPr>
          <w:rFonts w:ascii="Arial" w:hAnsi="Arial" w:cs="Arial"/>
          <w:color w:val="000000"/>
          <w:sz w:val="22"/>
          <w:szCs w:val="22"/>
        </w:rPr>
        <w:t xml:space="preserve">la aportación </w:t>
      </w:r>
      <w:r w:rsidR="0023229D">
        <w:rPr>
          <w:rFonts w:ascii="Arial" w:hAnsi="Arial" w:cs="Arial"/>
          <w:color w:val="000000"/>
          <w:sz w:val="22"/>
          <w:szCs w:val="22"/>
        </w:rPr>
        <w:t xml:space="preserve">posterior </w:t>
      </w:r>
      <w:r>
        <w:rPr>
          <w:rFonts w:ascii="Arial" w:hAnsi="Arial" w:cs="Arial"/>
          <w:color w:val="000000"/>
          <w:sz w:val="22"/>
          <w:szCs w:val="22"/>
        </w:rPr>
        <w:t>de nueva</w:t>
      </w:r>
      <w:r w:rsidR="00AC4537">
        <w:rPr>
          <w:rFonts w:ascii="Arial" w:hAnsi="Arial" w:cs="Arial"/>
          <w:color w:val="000000"/>
          <w:sz w:val="22"/>
          <w:szCs w:val="22"/>
        </w:rPr>
        <w:t>s</w:t>
      </w:r>
      <w:r>
        <w:rPr>
          <w:rFonts w:ascii="Arial" w:hAnsi="Arial" w:cs="Arial"/>
          <w:color w:val="000000"/>
          <w:sz w:val="22"/>
          <w:szCs w:val="22"/>
        </w:rPr>
        <w:t xml:space="preserve"> declaraciones,</w:t>
      </w:r>
      <w:r w:rsidR="00AC4537">
        <w:rPr>
          <w:rFonts w:ascii="Arial" w:hAnsi="Arial" w:cs="Arial"/>
          <w:color w:val="000000"/>
          <w:sz w:val="22"/>
          <w:szCs w:val="22"/>
        </w:rPr>
        <w:t xml:space="preserve"> certificados e informes </w:t>
      </w:r>
      <w:r w:rsidR="007432D0">
        <w:rPr>
          <w:rFonts w:ascii="Arial" w:hAnsi="Arial" w:cs="Arial"/>
          <w:color w:val="000000"/>
          <w:sz w:val="22"/>
          <w:szCs w:val="22"/>
        </w:rPr>
        <w:t>a los efectos de comprobar</w:t>
      </w:r>
      <w:r>
        <w:rPr>
          <w:rFonts w:ascii="Arial" w:hAnsi="Arial" w:cs="Arial"/>
          <w:color w:val="000000"/>
          <w:sz w:val="22"/>
          <w:szCs w:val="22"/>
        </w:rPr>
        <w:t xml:space="preserve"> </w:t>
      </w:r>
      <w:r>
        <w:rPr>
          <w:rFonts w:ascii="Arial" w:hAnsi="Arial" w:cs="Arial"/>
          <w:color w:val="000000"/>
          <w:sz w:val="22"/>
          <w:szCs w:val="22"/>
        </w:rPr>
        <w:lastRenderedPageBreak/>
        <w:t>nuevamente</w:t>
      </w:r>
      <w:r w:rsidR="007432D0">
        <w:rPr>
          <w:rFonts w:ascii="Arial" w:hAnsi="Arial" w:cs="Arial"/>
          <w:color w:val="000000"/>
          <w:sz w:val="22"/>
          <w:szCs w:val="22"/>
        </w:rPr>
        <w:t xml:space="preserve"> el cumplimiento de estos requisitos</w:t>
      </w:r>
      <w:r w:rsidR="002D54E5">
        <w:rPr>
          <w:rFonts w:ascii="Arial" w:hAnsi="Arial" w:cs="Arial"/>
          <w:color w:val="000000"/>
          <w:sz w:val="22"/>
          <w:szCs w:val="22"/>
        </w:rPr>
        <w:t xml:space="preserve"> inmediatamente antes de la resolución de concesión</w:t>
      </w:r>
      <w:r w:rsidR="007432D0">
        <w:rPr>
          <w:rFonts w:ascii="Arial" w:hAnsi="Arial" w:cs="Arial"/>
          <w:color w:val="000000"/>
          <w:sz w:val="22"/>
          <w:szCs w:val="22"/>
        </w:rPr>
        <w:t>.</w:t>
      </w:r>
    </w:p>
    <w:p w14:paraId="3BA02EBE" w14:textId="69D388E9" w:rsidR="008152CE" w:rsidRPr="0023229D" w:rsidRDefault="007432D0" w:rsidP="0023229D">
      <w:pPr>
        <w:pStyle w:val="NormalWeb"/>
        <w:shd w:val="clear" w:color="auto" w:fill="FFFFFF"/>
        <w:jc w:val="both"/>
        <w:rPr>
          <w:rFonts w:ascii="Arial" w:hAnsi="Arial" w:cs="Arial"/>
          <w:i/>
          <w:color w:val="000000"/>
          <w:sz w:val="22"/>
          <w:szCs w:val="22"/>
        </w:rPr>
      </w:pPr>
      <w:r w:rsidRPr="00491C5A">
        <w:rPr>
          <w:rFonts w:ascii="Arial" w:hAnsi="Arial" w:cs="Arial"/>
          <w:b/>
          <w:color w:val="000000"/>
          <w:sz w:val="22"/>
          <w:szCs w:val="22"/>
        </w:rPr>
        <w:t>6</w:t>
      </w:r>
      <w:r w:rsidR="00FB4E3E" w:rsidRPr="00491C5A">
        <w:rPr>
          <w:rFonts w:ascii="Arial" w:hAnsi="Arial" w:cs="Arial"/>
          <w:b/>
          <w:color w:val="000000"/>
          <w:sz w:val="22"/>
          <w:szCs w:val="22"/>
        </w:rPr>
        <w:t>.</w:t>
      </w:r>
      <w:r w:rsidRPr="00491C5A">
        <w:rPr>
          <w:rFonts w:ascii="Arial" w:hAnsi="Arial" w:cs="Arial"/>
          <w:b/>
          <w:color w:val="000000"/>
          <w:sz w:val="22"/>
          <w:szCs w:val="22"/>
        </w:rPr>
        <w:t>-</w:t>
      </w:r>
      <w:r w:rsidRPr="00491C5A">
        <w:rPr>
          <w:rFonts w:ascii="Arial" w:hAnsi="Arial" w:cs="Arial"/>
          <w:color w:val="000000"/>
          <w:sz w:val="22"/>
          <w:szCs w:val="22"/>
        </w:rPr>
        <w:t xml:space="preserve"> </w:t>
      </w:r>
      <w:r w:rsidR="00FB4E3E" w:rsidRPr="00491C5A">
        <w:rPr>
          <w:rFonts w:ascii="Arial" w:hAnsi="Arial" w:cs="Arial"/>
          <w:sz w:val="22"/>
          <w:szCs w:val="22"/>
        </w:rPr>
        <w:t>Las bases reguladoras son las que deben establecer el plazo de acreditación de los requisitos establecidos en el artículo 13.3 bis y las convocatorias no pueden recoger otro distinto.</w:t>
      </w:r>
      <w:r w:rsidR="00FB4E3E" w:rsidRPr="00FB4E3E">
        <w:rPr>
          <w:rFonts w:ascii="Arial" w:hAnsi="Arial" w:cs="Arial"/>
        </w:rPr>
        <w:t xml:space="preserve"> </w:t>
      </w:r>
      <w:r w:rsidRPr="00FB4E3E">
        <w:rPr>
          <w:rFonts w:ascii="Arial" w:hAnsi="Arial" w:cs="Arial"/>
          <w:sz w:val="22"/>
          <w:szCs w:val="22"/>
        </w:rPr>
        <w:t>Si las bases reguladoras no establec</w:t>
      </w:r>
      <w:r w:rsidR="002D54E5" w:rsidRPr="00FB4E3E">
        <w:rPr>
          <w:rFonts w:ascii="Arial" w:hAnsi="Arial" w:cs="Arial"/>
          <w:sz w:val="22"/>
          <w:szCs w:val="22"/>
        </w:rPr>
        <w:t>en</w:t>
      </w:r>
      <w:r w:rsidRPr="00FB4E3E">
        <w:rPr>
          <w:rFonts w:ascii="Arial" w:hAnsi="Arial" w:cs="Arial"/>
          <w:sz w:val="22"/>
          <w:szCs w:val="22"/>
        </w:rPr>
        <w:t xml:space="preserve"> </w:t>
      </w:r>
      <w:r w:rsidR="008152CE" w:rsidRPr="00FB4E3E">
        <w:rPr>
          <w:rFonts w:ascii="Arial" w:hAnsi="Arial" w:cs="Arial"/>
          <w:sz w:val="22"/>
          <w:szCs w:val="22"/>
        </w:rPr>
        <w:t>estipulación alguna</w:t>
      </w:r>
      <w:r w:rsidRPr="00FB4E3E">
        <w:rPr>
          <w:rFonts w:ascii="Arial" w:hAnsi="Arial" w:cs="Arial"/>
          <w:sz w:val="22"/>
          <w:szCs w:val="22"/>
        </w:rPr>
        <w:t xml:space="preserve"> respecto</w:t>
      </w:r>
      <w:r w:rsidR="008152CE" w:rsidRPr="00FB4E3E">
        <w:rPr>
          <w:rFonts w:ascii="Arial" w:hAnsi="Arial" w:cs="Arial"/>
          <w:sz w:val="22"/>
          <w:szCs w:val="22"/>
        </w:rPr>
        <w:t xml:space="preserve"> al plazo </w:t>
      </w:r>
      <w:r w:rsidR="008152CE" w:rsidRPr="008152CE">
        <w:rPr>
          <w:rFonts w:ascii="Arial" w:hAnsi="Arial" w:cs="Arial"/>
          <w:color w:val="000000"/>
          <w:sz w:val="22"/>
          <w:szCs w:val="22"/>
        </w:rPr>
        <w:t>de acreditación</w:t>
      </w:r>
      <w:r w:rsidR="008152CE" w:rsidRPr="0023229D">
        <w:rPr>
          <w:rFonts w:ascii="Arial" w:hAnsi="Arial" w:cs="Arial"/>
          <w:color w:val="000000"/>
          <w:sz w:val="22"/>
          <w:szCs w:val="22"/>
        </w:rPr>
        <w:t xml:space="preserve"> del cumplimiento de los plazos de pago establecido en el </w:t>
      </w:r>
      <w:r w:rsidR="008152CE" w:rsidRPr="008152CE">
        <w:rPr>
          <w:rFonts w:ascii="Arial" w:hAnsi="Arial" w:cs="Arial"/>
          <w:color w:val="000000"/>
          <w:sz w:val="22"/>
          <w:szCs w:val="22"/>
        </w:rPr>
        <w:t>artículo 13.3 bis</w:t>
      </w:r>
      <w:r w:rsidRPr="008152CE">
        <w:rPr>
          <w:rFonts w:ascii="Arial" w:hAnsi="Arial" w:cs="Arial"/>
          <w:color w:val="000000"/>
          <w:sz w:val="22"/>
          <w:szCs w:val="22"/>
        </w:rPr>
        <w:t xml:space="preserve">, se debiera considerar </w:t>
      </w:r>
      <w:r w:rsidR="002D54E5">
        <w:rPr>
          <w:rFonts w:ascii="Arial" w:hAnsi="Arial" w:cs="Arial"/>
          <w:color w:val="000000"/>
          <w:sz w:val="22"/>
          <w:szCs w:val="22"/>
        </w:rPr>
        <w:t xml:space="preserve">el </w:t>
      </w:r>
      <w:r w:rsidRPr="008152CE">
        <w:rPr>
          <w:rFonts w:ascii="Arial" w:hAnsi="Arial" w:cs="Arial"/>
          <w:color w:val="000000"/>
          <w:sz w:val="22"/>
          <w:szCs w:val="22"/>
        </w:rPr>
        <w:t>recogido en la propia LGS</w:t>
      </w:r>
      <w:r w:rsidR="008152CE" w:rsidRPr="0023229D">
        <w:rPr>
          <w:rFonts w:ascii="Arial" w:hAnsi="Arial" w:cs="Arial"/>
          <w:color w:val="000000"/>
          <w:sz w:val="22"/>
          <w:szCs w:val="22"/>
        </w:rPr>
        <w:t>, que no es coincidente con el plazo de solicitud</w:t>
      </w:r>
      <w:r w:rsidR="0023229D">
        <w:rPr>
          <w:rFonts w:ascii="Arial" w:hAnsi="Arial" w:cs="Arial"/>
          <w:color w:val="000000"/>
          <w:sz w:val="22"/>
          <w:szCs w:val="22"/>
        </w:rPr>
        <w:t>. Conforme a esta norma l</w:t>
      </w:r>
      <w:r w:rsidR="0023229D" w:rsidRPr="0023229D">
        <w:rPr>
          <w:rFonts w:ascii="Arial" w:hAnsi="Arial" w:cs="Arial"/>
          <w:color w:val="000000"/>
          <w:sz w:val="22"/>
          <w:szCs w:val="22"/>
        </w:rPr>
        <w:t>a acreditación</w:t>
      </w:r>
      <w:r w:rsidR="0023229D">
        <w:rPr>
          <w:rFonts w:ascii="Arial" w:hAnsi="Arial" w:cs="Arial"/>
          <w:color w:val="000000"/>
        </w:rPr>
        <w:t xml:space="preserve"> </w:t>
      </w:r>
      <w:r w:rsidR="0023229D">
        <w:rPr>
          <w:rFonts w:ascii="Arial" w:hAnsi="Arial" w:cs="Arial"/>
          <w:color w:val="000000"/>
          <w:sz w:val="22"/>
          <w:szCs w:val="22"/>
        </w:rPr>
        <w:t>“</w:t>
      </w:r>
      <w:r w:rsidR="0023229D" w:rsidRPr="0034449C">
        <w:rPr>
          <w:rFonts w:ascii="Arial" w:hAnsi="Arial" w:cs="Arial"/>
          <w:i/>
          <w:color w:val="000000"/>
          <w:sz w:val="22"/>
          <w:szCs w:val="22"/>
        </w:rPr>
        <w:t>se efectuará en el plazo de 10 días hábiles desde la notificación de la propuesta de resolución provisional a los interesados para los que se propone la concesión de la subvención.</w:t>
      </w:r>
      <w:r w:rsidR="0023229D">
        <w:rPr>
          <w:rFonts w:ascii="Arial" w:hAnsi="Arial" w:cs="Arial"/>
          <w:i/>
          <w:color w:val="000000"/>
        </w:rPr>
        <w:t xml:space="preserve"> </w:t>
      </w:r>
      <w:r w:rsidR="0023229D" w:rsidRPr="007A4432">
        <w:rPr>
          <w:rFonts w:ascii="Arial" w:hAnsi="Arial" w:cs="Arial"/>
          <w:i/>
          <w:color w:val="000000"/>
          <w:sz w:val="22"/>
          <w:szCs w:val="22"/>
        </w:rPr>
        <w:t>En el caso de que se prescinda del trámite de audiencia por no figurar en el procedimiento ni ser tenidos en cuenta otros hechos ni otras alegaciones y pruebas que las aducidas por los interesados, la acreditación se efectuará en el plazo de 10 días desde la notificación del requerimiento dirigido al efecto por el órgano instructor previo a la pro</w:t>
      </w:r>
      <w:r w:rsidR="0023229D">
        <w:rPr>
          <w:rFonts w:ascii="Arial" w:hAnsi="Arial" w:cs="Arial"/>
          <w:i/>
          <w:color w:val="000000"/>
          <w:sz w:val="22"/>
          <w:szCs w:val="22"/>
        </w:rPr>
        <w:t>puesta de resolución definitiva”</w:t>
      </w:r>
    </w:p>
    <w:p w14:paraId="0B2E0FC2" w14:textId="77777777" w:rsidR="007432D0" w:rsidRDefault="008152CE" w:rsidP="00B55C25">
      <w:pPr>
        <w:shd w:val="clear" w:color="auto" w:fill="FFFFFF"/>
        <w:spacing w:before="180" w:after="180" w:line="240" w:lineRule="auto"/>
        <w:jc w:val="both"/>
        <w:rPr>
          <w:rFonts w:ascii="Arial" w:eastAsia="Times New Roman" w:hAnsi="Arial" w:cs="Arial"/>
          <w:color w:val="000000"/>
          <w:lang w:eastAsia="es-ES"/>
        </w:rPr>
      </w:pPr>
      <w:r w:rsidRPr="008152CE">
        <w:rPr>
          <w:rFonts w:ascii="Arial" w:eastAsia="Times New Roman" w:hAnsi="Arial" w:cs="Arial"/>
          <w:color w:val="000000"/>
          <w:lang w:eastAsia="es-ES"/>
        </w:rPr>
        <w:t>E</w:t>
      </w:r>
      <w:r>
        <w:rPr>
          <w:rFonts w:ascii="Arial" w:eastAsia="Times New Roman" w:hAnsi="Arial" w:cs="Arial"/>
          <w:color w:val="000000"/>
          <w:lang w:eastAsia="es-ES"/>
        </w:rPr>
        <w:t>ste</w:t>
      </w:r>
      <w:r w:rsidRPr="008152CE">
        <w:rPr>
          <w:rFonts w:ascii="Arial" w:eastAsia="Times New Roman" w:hAnsi="Arial" w:cs="Arial"/>
          <w:color w:val="000000"/>
          <w:lang w:eastAsia="es-ES"/>
        </w:rPr>
        <w:t xml:space="preserve"> plazo</w:t>
      </w:r>
      <w:r w:rsidR="007432D0" w:rsidRPr="008152CE">
        <w:rPr>
          <w:rFonts w:ascii="Arial" w:eastAsia="Times New Roman" w:hAnsi="Arial" w:cs="Arial"/>
          <w:color w:val="000000"/>
          <w:lang w:eastAsia="es-ES"/>
        </w:rPr>
        <w:t xml:space="preserve"> </w:t>
      </w:r>
      <w:r w:rsidR="0023229D">
        <w:rPr>
          <w:rFonts w:ascii="Arial" w:eastAsia="Times New Roman" w:hAnsi="Arial" w:cs="Arial"/>
          <w:color w:val="000000"/>
          <w:lang w:eastAsia="es-ES"/>
        </w:rPr>
        <w:t>opera</w:t>
      </w:r>
      <w:r w:rsidR="007432D0" w:rsidRPr="008152CE">
        <w:rPr>
          <w:rFonts w:ascii="Arial" w:eastAsia="Times New Roman" w:hAnsi="Arial" w:cs="Arial"/>
          <w:color w:val="000000"/>
          <w:lang w:eastAsia="es-ES"/>
        </w:rPr>
        <w:t xml:space="preserve"> “</w:t>
      </w:r>
      <w:r w:rsidR="007432D0" w:rsidRPr="00AC4537">
        <w:rPr>
          <w:rFonts w:ascii="Arial" w:eastAsia="Times New Roman" w:hAnsi="Arial" w:cs="Arial"/>
          <w:i/>
          <w:color w:val="000000"/>
          <w:lang w:eastAsia="es-ES"/>
        </w:rPr>
        <w:t>salvo que las bases reguladoras prevean otro plazo o momento de acreditación</w:t>
      </w:r>
      <w:r w:rsidR="007432D0" w:rsidRPr="008152CE">
        <w:rPr>
          <w:rFonts w:ascii="Arial" w:eastAsia="Times New Roman" w:hAnsi="Arial" w:cs="Arial"/>
          <w:color w:val="000000"/>
          <w:lang w:eastAsia="es-ES"/>
        </w:rPr>
        <w:t xml:space="preserve">”. </w:t>
      </w:r>
      <w:r w:rsidR="007432D0" w:rsidRPr="004100AC">
        <w:rPr>
          <w:rFonts w:ascii="Arial" w:eastAsia="Times New Roman" w:hAnsi="Arial" w:cs="Arial"/>
          <w:color w:val="000000"/>
          <w:lang w:eastAsia="es-ES"/>
        </w:rPr>
        <w:t>A estos efectos, la ausencia de disposición al respecto en las bases reguladoras no es obstáculo para la aplicación del artículo 13.3 bis</w:t>
      </w:r>
      <w:r w:rsidR="007432D0">
        <w:rPr>
          <w:rFonts w:ascii="Arial" w:eastAsia="Times New Roman" w:hAnsi="Arial" w:cs="Arial"/>
          <w:color w:val="000000"/>
          <w:lang w:eastAsia="es-ES"/>
        </w:rPr>
        <w:t xml:space="preserve"> en las convocatorias posteriores a 19 de octubre de 2022</w:t>
      </w:r>
      <w:r>
        <w:rPr>
          <w:rFonts w:ascii="Arial" w:eastAsia="Times New Roman" w:hAnsi="Arial" w:cs="Arial"/>
          <w:color w:val="000000"/>
          <w:lang w:eastAsia="es-ES"/>
        </w:rPr>
        <w:t>.</w:t>
      </w:r>
    </w:p>
    <w:p w14:paraId="28B5B956" w14:textId="77777777" w:rsidR="00A402EF" w:rsidRPr="004100AC" w:rsidRDefault="00A402EF" w:rsidP="00A402EF">
      <w:pPr>
        <w:pStyle w:val="NormalWeb"/>
        <w:shd w:val="clear" w:color="auto" w:fill="FFFFFF"/>
        <w:jc w:val="both"/>
        <w:rPr>
          <w:rFonts w:ascii="Arial" w:hAnsi="Arial" w:cs="Arial"/>
          <w:color w:val="000000"/>
          <w:sz w:val="22"/>
          <w:szCs w:val="22"/>
        </w:rPr>
      </w:pPr>
    </w:p>
    <w:p w14:paraId="5E93E292" w14:textId="77777777" w:rsidR="00A157AD" w:rsidRPr="00A157AD" w:rsidRDefault="00AD2CF9" w:rsidP="00A157AD">
      <w:pPr>
        <w:pStyle w:val="NormalWeb"/>
        <w:shd w:val="clear" w:color="auto" w:fill="FFFFFF"/>
        <w:ind w:left="708"/>
        <w:jc w:val="center"/>
        <w:rPr>
          <w:rFonts w:ascii="Arial" w:hAnsi="Arial" w:cs="Arial"/>
          <w:b/>
          <w:color w:val="000000"/>
          <w:sz w:val="22"/>
          <w:szCs w:val="22"/>
        </w:rPr>
      </w:pPr>
      <w:r>
        <w:rPr>
          <w:rFonts w:ascii="Arial" w:hAnsi="Arial" w:cs="Arial"/>
          <w:b/>
          <w:color w:val="000000"/>
          <w:sz w:val="22"/>
          <w:szCs w:val="22"/>
        </w:rPr>
        <w:t>EL INTERVENTOR GENERAL,</w:t>
      </w:r>
    </w:p>
    <w:p w14:paraId="6A67E792" w14:textId="77777777" w:rsidR="003A17B6" w:rsidRDefault="003A17B6" w:rsidP="00A157AD">
      <w:pPr>
        <w:jc w:val="both"/>
        <w:rPr>
          <w:rFonts w:ascii="Arial" w:hAnsi="Arial" w:cs="Arial"/>
          <w:sz w:val="16"/>
          <w:szCs w:val="16"/>
        </w:rPr>
      </w:pPr>
    </w:p>
    <w:p w14:paraId="2F2BBD2F" w14:textId="77777777" w:rsidR="00AE7DA1" w:rsidRDefault="00AE7DA1" w:rsidP="00B42570">
      <w:pPr>
        <w:pStyle w:val="Piedepgina"/>
        <w:rPr>
          <w:rFonts w:ascii="Arial" w:hAnsi="Arial" w:cs="Arial"/>
          <w:sz w:val="16"/>
          <w:szCs w:val="16"/>
        </w:rPr>
      </w:pPr>
    </w:p>
    <w:p w14:paraId="3C057231" w14:textId="77777777" w:rsidR="00664A41" w:rsidRDefault="00664A41" w:rsidP="00B42570">
      <w:pPr>
        <w:pStyle w:val="Piedepgina"/>
        <w:rPr>
          <w:rFonts w:ascii="Arial" w:hAnsi="Arial" w:cs="Arial"/>
          <w:sz w:val="16"/>
          <w:szCs w:val="16"/>
        </w:rPr>
      </w:pPr>
    </w:p>
    <w:p w14:paraId="37FA8B88" w14:textId="77777777" w:rsidR="00664A41" w:rsidRDefault="00664A41" w:rsidP="00B42570">
      <w:pPr>
        <w:pStyle w:val="Piedepgina"/>
        <w:rPr>
          <w:rFonts w:ascii="Arial" w:hAnsi="Arial" w:cs="Arial"/>
          <w:b/>
        </w:rPr>
      </w:pPr>
    </w:p>
    <w:p w14:paraId="21C7B00F" w14:textId="77777777" w:rsidR="00AE7DA1" w:rsidRDefault="00AE7DA1" w:rsidP="00B42570">
      <w:pPr>
        <w:pStyle w:val="Piedepgina"/>
        <w:rPr>
          <w:rFonts w:ascii="Arial" w:hAnsi="Arial" w:cs="Arial"/>
          <w:b/>
        </w:rPr>
      </w:pPr>
    </w:p>
    <w:p w14:paraId="04B9E627" w14:textId="77777777" w:rsidR="00AE7DA1" w:rsidRDefault="00AE7DA1" w:rsidP="00B42570">
      <w:pPr>
        <w:pStyle w:val="Piedepgina"/>
        <w:rPr>
          <w:rFonts w:ascii="Arial" w:hAnsi="Arial" w:cs="Arial"/>
          <w:b/>
        </w:rPr>
      </w:pPr>
    </w:p>
    <w:p w14:paraId="6ABF0A35" w14:textId="77777777" w:rsidR="00AE7DA1" w:rsidRDefault="00AE7DA1" w:rsidP="00B42570">
      <w:pPr>
        <w:pStyle w:val="Piedepgina"/>
        <w:rPr>
          <w:rFonts w:ascii="Arial" w:hAnsi="Arial" w:cs="Arial"/>
          <w:b/>
        </w:rPr>
      </w:pPr>
    </w:p>
    <w:p w14:paraId="10521AEA" w14:textId="77777777" w:rsidR="008E5433" w:rsidRDefault="008E5433" w:rsidP="00B42570">
      <w:pPr>
        <w:pStyle w:val="Piedepgina"/>
        <w:rPr>
          <w:rFonts w:ascii="Arial" w:hAnsi="Arial" w:cs="Arial"/>
          <w:b/>
        </w:rPr>
      </w:pPr>
    </w:p>
    <w:p w14:paraId="36964C87" w14:textId="77777777" w:rsidR="008E5433" w:rsidRDefault="008E5433" w:rsidP="00B42570">
      <w:pPr>
        <w:pStyle w:val="Piedepgina"/>
        <w:rPr>
          <w:rFonts w:ascii="Arial" w:hAnsi="Arial" w:cs="Arial"/>
          <w:b/>
        </w:rPr>
      </w:pPr>
    </w:p>
    <w:p w14:paraId="59E416A1" w14:textId="77777777" w:rsidR="008E5433" w:rsidRDefault="008E5433" w:rsidP="00B42570">
      <w:pPr>
        <w:pStyle w:val="Piedepgina"/>
        <w:rPr>
          <w:rFonts w:ascii="Arial" w:hAnsi="Arial" w:cs="Arial"/>
          <w:b/>
        </w:rPr>
      </w:pPr>
    </w:p>
    <w:p w14:paraId="276D2D2D" w14:textId="77777777" w:rsidR="008E5433" w:rsidRDefault="008E5433" w:rsidP="00B42570">
      <w:pPr>
        <w:pStyle w:val="Piedepgina"/>
        <w:rPr>
          <w:rFonts w:ascii="Arial" w:hAnsi="Arial" w:cs="Arial"/>
          <w:b/>
        </w:rPr>
      </w:pPr>
    </w:p>
    <w:p w14:paraId="6B36DBD2" w14:textId="77777777" w:rsidR="008E5433" w:rsidRDefault="008E5433" w:rsidP="00B42570">
      <w:pPr>
        <w:pStyle w:val="Piedepgina"/>
        <w:rPr>
          <w:rFonts w:ascii="Arial" w:hAnsi="Arial" w:cs="Arial"/>
          <w:b/>
        </w:rPr>
      </w:pPr>
    </w:p>
    <w:p w14:paraId="28C23278" w14:textId="77777777" w:rsidR="008E5433" w:rsidRDefault="008E5433" w:rsidP="00B42570">
      <w:pPr>
        <w:pStyle w:val="Piedepgina"/>
        <w:rPr>
          <w:rFonts w:ascii="Arial" w:hAnsi="Arial" w:cs="Arial"/>
          <w:b/>
        </w:rPr>
      </w:pPr>
    </w:p>
    <w:p w14:paraId="7DD14D9F" w14:textId="77777777" w:rsidR="008E5433" w:rsidRDefault="008E5433" w:rsidP="00B42570">
      <w:pPr>
        <w:pStyle w:val="Piedepgina"/>
        <w:rPr>
          <w:rFonts w:ascii="Arial" w:hAnsi="Arial" w:cs="Arial"/>
          <w:b/>
        </w:rPr>
      </w:pPr>
    </w:p>
    <w:p w14:paraId="7A87FA3A" w14:textId="77777777" w:rsidR="008E5433" w:rsidRDefault="008E5433" w:rsidP="00B42570">
      <w:pPr>
        <w:pStyle w:val="Piedepgina"/>
        <w:rPr>
          <w:rFonts w:ascii="Arial" w:hAnsi="Arial" w:cs="Arial"/>
          <w:b/>
        </w:rPr>
      </w:pPr>
    </w:p>
    <w:p w14:paraId="053CD436" w14:textId="77777777" w:rsidR="008E5433" w:rsidRDefault="008E5433" w:rsidP="00B42570">
      <w:pPr>
        <w:pStyle w:val="Piedepgina"/>
        <w:rPr>
          <w:rFonts w:ascii="Arial" w:hAnsi="Arial" w:cs="Arial"/>
          <w:b/>
        </w:rPr>
      </w:pPr>
    </w:p>
    <w:p w14:paraId="03FF662E" w14:textId="77777777" w:rsidR="008E5433" w:rsidRDefault="008E5433" w:rsidP="00B42570">
      <w:pPr>
        <w:pStyle w:val="Piedepgina"/>
        <w:rPr>
          <w:rFonts w:ascii="Arial" w:hAnsi="Arial" w:cs="Arial"/>
          <w:b/>
        </w:rPr>
      </w:pPr>
    </w:p>
    <w:p w14:paraId="07037858" w14:textId="77777777" w:rsidR="008E5433" w:rsidRDefault="008E5433" w:rsidP="00B42570">
      <w:pPr>
        <w:pStyle w:val="Piedepgina"/>
        <w:rPr>
          <w:rFonts w:ascii="Arial" w:hAnsi="Arial" w:cs="Arial"/>
          <w:b/>
        </w:rPr>
      </w:pPr>
    </w:p>
    <w:p w14:paraId="55A9CCBC" w14:textId="77777777" w:rsidR="008E5433" w:rsidRDefault="008E5433" w:rsidP="00B42570">
      <w:pPr>
        <w:pStyle w:val="Piedepgina"/>
        <w:rPr>
          <w:rFonts w:ascii="Arial" w:hAnsi="Arial" w:cs="Arial"/>
          <w:b/>
        </w:rPr>
      </w:pPr>
    </w:p>
    <w:p w14:paraId="6C2EA8C0" w14:textId="77777777" w:rsidR="008E5433" w:rsidRDefault="008E5433" w:rsidP="00B42570">
      <w:pPr>
        <w:pStyle w:val="Piedepgina"/>
        <w:rPr>
          <w:rFonts w:ascii="Arial" w:hAnsi="Arial" w:cs="Arial"/>
          <w:b/>
        </w:rPr>
      </w:pPr>
    </w:p>
    <w:p w14:paraId="368FF0EF" w14:textId="77777777" w:rsidR="008E5433" w:rsidRDefault="008E5433" w:rsidP="00B42570">
      <w:pPr>
        <w:pStyle w:val="Piedepgina"/>
        <w:rPr>
          <w:rFonts w:ascii="Arial" w:hAnsi="Arial" w:cs="Arial"/>
          <w:b/>
        </w:rPr>
      </w:pPr>
    </w:p>
    <w:p w14:paraId="4100255F" w14:textId="77777777" w:rsidR="008E5433" w:rsidRDefault="008E5433" w:rsidP="00B42570">
      <w:pPr>
        <w:pStyle w:val="Piedepgina"/>
        <w:rPr>
          <w:rFonts w:ascii="Arial" w:hAnsi="Arial" w:cs="Arial"/>
          <w:b/>
        </w:rPr>
      </w:pPr>
    </w:p>
    <w:p w14:paraId="1E09ED77" w14:textId="77777777" w:rsidR="008E5433" w:rsidRDefault="008E5433" w:rsidP="00B42570">
      <w:pPr>
        <w:pStyle w:val="Piedepgina"/>
        <w:rPr>
          <w:rFonts w:ascii="Arial" w:hAnsi="Arial" w:cs="Arial"/>
          <w:b/>
        </w:rPr>
      </w:pPr>
    </w:p>
    <w:p w14:paraId="44029DE9" w14:textId="77777777" w:rsidR="008E5433" w:rsidRDefault="008E5433" w:rsidP="00B42570">
      <w:pPr>
        <w:pStyle w:val="Piedepgina"/>
        <w:rPr>
          <w:rFonts w:ascii="Arial" w:hAnsi="Arial" w:cs="Arial"/>
          <w:b/>
        </w:rPr>
      </w:pPr>
    </w:p>
    <w:p w14:paraId="121235A5" w14:textId="77777777" w:rsidR="008E5433" w:rsidRDefault="008E5433" w:rsidP="00B42570">
      <w:pPr>
        <w:pStyle w:val="Piedepgina"/>
        <w:rPr>
          <w:rFonts w:ascii="Arial" w:hAnsi="Arial" w:cs="Arial"/>
          <w:b/>
        </w:rPr>
      </w:pPr>
    </w:p>
    <w:p w14:paraId="3D9ECD2A" w14:textId="77777777" w:rsidR="008E5433" w:rsidRDefault="008E5433" w:rsidP="00B42570">
      <w:pPr>
        <w:pStyle w:val="Piedepgina"/>
        <w:rPr>
          <w:rFonts w:ascii="Arial" w:hAnsi="Arial" w:cs="Arial"/>
          <w:b/>
        </w:rPr>
      </w:pPr>
    </w:p>
    <w:p w14:paraId="62F9F3E7" w14:textId="77777777" w:rsidR="008E5433" w:rsidRDefault="008E5433" w:rsidP="00B42570">
      <w:pPr>
        <w:pStyle w:val="Piedepgina"/>
        <w:rPr>
          <w:rFonts w:ascii="Arial" w:hAnsi="Arial" w:cs="Arial"/>
          <w:b/>
        </w:rPr>
      </w:pPr>
    </w:p>
    <w:p w14:paraId="0432DA98" w14:textId="1626A0F7" w:rsidR="00B42570" w:rsidRPr="00B42570" w:rsidRDefault="00AE7DA1" w:rsidP="00B42570">
      <w:pPr>
        <w:pStyle w:val="Piedepgina"/>
        <w:rPr>
          <w:rFonts w:ascii="Arial" w:hAnsi="Arial" w:cs="Arial"/>
          <w:b/>
        </w:rPr>
      </w:pPr>
      <w:r>
        <w:rPr>
          <w:rFonts w:ascii="Arial" w:hAnsi="Arial" w:cs="Arial"/>
          <w:b/>
        </w:rPr>
        <w:t>I</w:t>
      </w:r>
      <w:r w:rsidR="00B42570" w:rsidRPr="00A157AD">
        <w:rPr>
          <w:rFonts w:ascii="Arial" w:hAnsi="Arial" w:cs="Arial"/>
          <w:b/>
        </w:rPr>
        <w:t xml:space="preserve">LMA. SRA. DIRECTORA GENERAL </w:t>
      </w:r>
      <w:r w:rsidR="003F6B08">
        <w:rPr>
          <w:rFonts w:ascii="Arial" w:hAnsi="Arial" w:cs="Arial"/>
          <w:b/>
        </w:rPr>
        <w:t>DE FORMACIÓN DE LA CONSEJERÍA DE ECONOMÍA, HACIENDA Y EMPLEO</w:t>
      </w:r>
    </w:p>
    <w:sectPr w:rsidR="00B42570" w:rsidRPr="00B42570" w:rsidSect="00491C5A">
      <w:footerReference w:type="default" r:id="rId8"/>
      <w:pgSz w:w="11906" w:h="16838"/>
      <w:pgMar w:top="1418" w:right="1701" w:bottom="1135" w:left="1701"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219BE" w14:textId="77777777" w:rsidR="00E61618" w:rsidRDefault="00E61618" w:rsidP="00BE58C2">
      <w:pPr>
        <w:spacing w:after="0" w:line="240" w:lineRule="auto"/>
      </w:pPr>
      <w:r>
        <w:separator/>
      </w:r>
    </w:p>
  </w:endnote>
  <w:endnote w:type="continuationSeparator" w:id="0">
    <w:p w14:paraId="0FB8BF8B" w14:textId="77777777" w:rsidR="00E61618" w:rsidRDefault="00E61618" w:rsidP="00BE5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8129462"/>
      <w:docPartObj>
        <w:docPartGallery w:val="Page Numbers (Bottom of Page)"/>
        <w:docPartUnique/>
      </w:docPartObj>
    </w:sdtPr>
    <w:sdtEndPr/>
    <w:sdtContent>
      <w:p w14:paraId="7D72DD92" w14:textId="3B476DE8" w:rsidR="00B42570" w:rsidRDefault="00B42570">
        <w:pPr>
          <w:pStyle w:val="Piedepgina"/>
          <w:jc w:val="center"/>
        </w:pPr>
        <w:r>
          <w:fldChar w:fldCharType="begin"/>
        </w:r>
        <w:r>
          <w:instrText>PAGE   \* MERGEFORMAT</w:instrText>
        </w:r>
        <w:r>
          <w:fldChar w:fldCharType="separate"/>
        </w:r>
        <w:r w:rsidR="00FF507C">
          <w:rPr>
            <w:noProof/>
          </w:rPr>
          <w:t>1</w:t>
        </w:r>
        <w:r>
          <w:fldChar w:fldCharType="end"/>
        </w:r>
      </w:p>
    </w:sdtContent>
  </w:sdt>
  <w:p w14:paraId="3AAB193C" w14:textId="77777777" w:rsidR="00B42570" w:rsidRDefault="00B4257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CB673E" w14:textId="77777777" w:rsidR="00E61618" w:rsidRDefault="00E61618" w:rsidP="00BE58C2">
      <w:pPr>
        <w:spacing w:after="0" w:line="240" w:lineRule="auto"/>
      </w:pPr>
      <w:r>
        <w:separator/>
      </w:r>
    </w:p>
  </w:footnote>
  <w:footnote w:type="continuationSeparator" w:id="0">
    <w:p w14:paraId="1AC0EE83" w14:textId="77777777" w:rsidR="00E61618" w:rsidRDefault="00E61618" w:rsidP="00BE58C2">
      <w:pPr>
        <w:spacing w:after="0" w:line="240" w:lineRule="auto"/>
      </w:pPr>
      <w:r>
        <w:continuationSeparator/>
      </w:r>
    </w:p>
  </w:footnote>
  <w:footnote w:id="1">
    <w:p w14:paraId="657EC40F" w14:textId="54750154" w:rsidR="00601F87" w:rsidRPr="00E619E6" w:rsidRDefault="00601F87">
      <w:pPr>
        <w:pStyle w:val="Textonotapie"/>
        <w:rPr>
          <w:rFonts w:ascii="Arial" w:hAnsi="Arial" w:cs="Arial"/>
        </w:rPr>
      </w:pPr>
      <w:r w:rsidRPr="00E619E6">
        <w:rPr>
          <w:rStyle w:val="Refdenotaalpie"/>
          <w:rFonts w:ascii="Arial" w:hAnsi="Arial" w:cs="Arial"/>
        </w:rPr>
        <w:footnoteRef/>
      </w:r>
      <w:r w:rsidRPr="00E619E6">
        <w:rPr>
          <w:rFonts w:ascii="Arial" w:hAnsi="Arial" w:cs="Arial"/>
        </w:rPr>
        <w:t xml:space="preserve"> Por tanto, el certificado debe corresponder a las últimas cuent</w:t>
      </w:r>
      <w:r w:rsidR="00137007">
        <w:rPr>
          <w:rFonts w:ascii="Arial" w:hAnsi="Arial" w:cs="Arial"/>
        </w:rPr>
        <w:t>as auditadas (si se presenta por ejemplo en febrero</w:t>
      </w:r>
      <w:r w:rsidRPr="00E619E6">
        <w:rPr>
          <w:rFonts w:ascii="Arial" w:hAnsi="Arial" w:cs="Arial"/>
        </w:rPr>
        <w:t xml:space="preserve"> de 2024, en principio valdría el certificado correspondiente a las cuentas de 20</w:t>
      </w:r>
      <w:r w:rsidR="00137007">
        <w:rPr>
          <w:rFonts w:ascii="Arial" w:hAnsi="Arial" w:cs="Arial"/>
        </w:rPr>
        <w:t>22). Pero si se presenta por ejemplo en septiembre</w:t>
      </w:r>
      <w:r w:rsidRPr="00E619E6">
        <w:rPr>
          <w:rFonts w:ascii="Arial" w:hAnsi="Arial" w:cs="Arial"/>
        </w:rPr>
        <w:t xml:space="preserve"> de 2024 tendría que ser </w:t>
      </w:r>
      <w:r w:rsidR="008A1737">
        <w:rPr>
          <w:rFonts w:ascii="Arial" w:hAnsi="Arial" w:cs="Arial"/>
        </w:rPr>
        <w:t xml:space="preserve">el de las </w:t>
      </w:r>
      <w:r w:rsidRPr="00E619E6">
        <w:rPr>
          <w:rFonts w:ascii="Arial" w:hAnsi="Arial" w:cs="Arial"/>
        </w:rPr>
        <w:t>cuentas de 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4E0A3F"/>
    <w:multiLevelType w:val="hybridMultilevel"/>
    <w:tmpl w:val="25989904"/>
    <w:lvl w:ilvl="0" w:tplc="1EA869E0">
      <w:start w:val="1"/>
      <w:numFmt w:val="decimal"/>
      <w:lvlText w:val="%1-"/>
      <w:lvlJc w:val="left"/>
      <w:pPr>
        <w:ind w:left="720" w:hanging="360"/>
      </w:pPr>
      <w:rPr>
        <w:rFonts w:ascii="Arial" w:hAnsi="Arial" w:cs="Arial"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B6D"/>
    <w:rsid w:val="000016EE"/>
    <w:rsid w:val="00015091"/>
    <w:rsid w:val="00016499"/>
    <w:rsid w:val="000202F1"/>
    <w:rsid w:val="00021D75"/>
    <w:rsid w:val="00022105"/>
    <w:rsid w:val="0002269F"/>
    <w:rsid w:val="00023CF2"/>
    <w:rsid w:val="00057B6D"/>
    <w:rsid w:val="000866ED"/>
    <w:rsid w:val="000B06D1"/>
    <w:rsid w:val="000B684C"/>
    <w:rsid w:val="00137007"/>
    <w:rsid w:val="00142D1C"/>
    <w:rsid w:val="00175C55"/>
    <w:rsid w:val="001812B1"/>
    <w:rsid w:val="0019734A"/>
    <w:rsid w:val="001A778C"/>
    <w:rsid w:val="001C2800"/>
    <w:rsid w:val="001C43F7"/>
    <w:rsid w:val="001C6A62"/>
    <w:rsid w:val="001D7ED5"/>
    <w:rsid w:val="001F6BAC"/>
    <w:rsid w:val="0023229D"/>
    <w:rsid w:val="002376C1"/>
    <w:rsid w:val="00244A6C"/>
    <w:rsid w:val="002730CE"/>
    <w:rsid w:val="00280BCC"/>
    <w:rsid w:val="00281C16"/>
    <w:rsid w:val="00285737"/>
    <w:rsid w:val="00294209"/>
    <w:rsid w:val="002A1553"/>
    <w:rsid w:val="002A556C"/>
    <w:rsid w:val="002B23EB"/>
    <w:rsid w:val="002B647B"/>
    <w:rsid w:val="002C0862"/>
    <w:rsid w:val="002D54E5"/>
    <w:rsid w:val="002F2F8C"/>
    <w:rsid w:val="002F4B2A"/>
    <w:rsid w:val="002F4DD2"/>
    <w:rsid w:val="003026DA"/>
    <w:rsid w:val="00321E15"/>
    <w:rsid w:val="00321E6F"/>
    <w:rsid w:val="003231A4"/>
    <w:rsid w:val="003267F3"/>
    <w:rsid w:val="00335D4E"/>
    <w:rsid w:val="0034449C"/>
    <w:rsid w:val="00354E23"/>
    <w:rsid w:val="003600A2"/>
    <w:rsid w:val="0036265E"/>
    <w:rsid w:val="00373F24"/>
    <w:rsid w:val="00376F94"/>
    <w:rsid w:val="00391FF5"/>
    <w:rsid w:val="003A17B6"/>
    <w:rsid w:val="003D1408"/>
    <w:rsid w:val="003E3D0F"/>
    <w:rsid w:val="003F6B08"/>
    <w:rsid w:val="00407892"/>
    <w:rsid w:val="004100AC"/>
    <w:rsid w:val="00422484"/>
    <w:rsid w:val="004316EF"/>
    <w:rsid w:val="00431B14"/>
    <w:rsid w:val="0043651B"/>
    <w:rsid w:val="00436F2B"/>
    <w:rsid w:val="004442CA"/>
    <w:rsid w:val="00487915"/>
    <w:rsid w:val="00491C5A"/>
    <w:rsid w:val="004A1D66"/>
    <w:rsid w:val="004A4604"/>
    <w:rsid w:val="004A57DA"/>
    <w:rsid w:val="004C2C96"/>
    <w:rsid w:val="004D4796"/>
    <w:rsid w:val="004D4CD3"/>
    <w:rsid w:val="004E2050"/>
    <w:rsid w:val="004F28CA"/>
    <w:rsid w:val="004F560F"/>
    <w:rsid w:val="004F66A6"/>
    <w:rsid w:val="00511DEA"/>
    <w:rsid w:val="0051671B"/>
    <w:rsid w:val="005366D9"/>
    <w:rsid w:val="00540D5F"/>
    <w:rsid w:val="00581EB3"/>
    <w:rsid w:val="0059118F"/>
    <w:rsid w:val="005A1340"/>
    <w:rsid w:val="005A7358"/>
    <w:rsid w:val="005A7A32"/>
    <w:rsid w:val="005C2AF0"/>
    <w:rsid w:val="005C5E7D"/>
    <w:rsid w:val="005D71A0"/>
    <w:rsid w:val="005F32FB"/>
    <w:rsid w:val="00601F87"/>
    <w:rsid w:val="00604AEE"/>
    <w:rsid w:val="00644F51"/>
    <w:rsid w:val="00664A41"/>
    <w:rsid w:val="00667E91"/>
    <w:rsid w:val="00672105"/>
    <w:rsid w:val="00675A66"/>
    <w:rsid w:val="00677A67"/>
    <w:rsid w:val="00683D5E"/>
    <w:rsid w:val="006915B9"/>
    <w:rsid w:val="0069338B"/>
    <w:rsid w:val="006A456F"/>
    <w:rsid w:val="006A7603"/>
    <w:rsid w:val="006C0929"/>
    <w:rsid w:val="006E1C74"/>
    <w:rsid w:val="006F2BAB"/>
    <w:rsid w:val="007030F8"/>
    <w:rsid w:val="00704648"/>
    <w:rsid w:val="007075FA"/>
    <w:rsid w:val="00716AC7"/>
    <w:rsid w:val="007216AF"/>
    <w:rsid w:val="007432D0"/>
    <w:rsid w:val="00761E68"/>
    <w:rsid w:val="00767435"/>
    <w:rsid w:val="00772F0E"/>
    <w:rsid w:val="00781B25"/>
    <w:rsid w:val="007834FD"/>
    <w:rsid w:val="00785A89"/>
    <w:rsid w:val="007918F6"/>
    <w:rsid w:val="00795C7D"/>
    <w:rsid w:val="007970F2"/>
    <w:rsid w:val="007A4432"/>
    <w:rsid w:val="007C13C3"/>
    <w:rsid w:val="007D5C02"/>
    <w:rsid w:val="007D7338"/>
    <w:rsid w:val="007D7C5C"/>
    <w:rsid w:val="007F2D4E"/>
    <w:rsid w:val="007F3281"/>
    <w:rsid w:val="008005D1"/>
    <w:rsid w:val="0080266F"/>
    <w:rsid w:val="008152CE"/>
    <w:rsid w:val="00821EA6"/>
    <w:rsid w:val="00832EAB"/>
    <w:rsid w:val="00867BF3"/>
    <w:rsid w:val="00871635"/>
    <w:rsid w:val="00876CAF"/>
    <w:rsid w:val="00881D45"/>
    <w:rsid w:val="008A1737"/>
    <w:rsid w:val="008B06F2"/>
    <w:rsid w:val="008C1907"/>
    <w:rsid w:val="008C5AB2"/>
    <w:rsid w:val="008C5C84"/>
    <w:rsid w:val="008E5433"/>
    <w:rsid w:val="008E5F99"/>
    <w:rsid w:val="008F027B"/>
    <w:rsid w:val="008F11B3"/>
    <w:rsid w:val="0090599D"/>
    <w:rsid w:val="00921B68"/>
    <w:rsid w:val="00925D86"/>
    <w:rsid w:val="009338F7"/>
    <w:rsid w:val="00940C01"/>
    <w:rsid w:val="00980943"/>
    <w:rsid w:val="0099565F"/>
    <w:rsid w:val="009A56C6"/>
    <w:rsid w:val="009E4B43"/>
    <w:rsid w:val="009E513C"/>
    <w:rsid w:val="009F4473"/>
    <w:rsid w:val="00A1012D"/>
    <w:rsid w:val="00A157AD"/>
    <w:rsid w:val="00A22D4C"/>
    <w:rsid w:val="00A25992"/>
    <w:rsid w:val="00A402EF"/>
    <w:rsid w:val="00A5005C"/>
    <w:rsid w:val="00A51D8B"/>
    <w:rsid w:val="00A5417B"/>
    <w:rsid w:val="00A5547F"/>
    <w:rsid w:val="00A65789"/>
    <w:rsid w:val="00AB147B"/>
    <w:rsid w:val="00AB5D3B"/>
    <w:rsid w:val="00AB6C98"/>
    <w:rsid w:val="00AB7406"/>
    <w:rsid w:val="00AC1968"/>
    <w:rsid w:val="00AC4537"/>
    <w:rsid w:val="00AC4DB3"/>
    <w:rsid w:val="00AD00F6"/>
    <w:rsid w:val="00AD2CF9"/>
    <w:rsid w:val="00AD3644"/>
    <w:rsid w:val="00AE7DA1"/>
    <w:rsid w:val="00B065EC"/>
    <w:rsid w:val="00B15144"/>
    <w:rsid w:val="00B162EB"/>
    <w:rsid w:val="00B23199"/>
    <w:rsid w:val="00B42570"/>
    <w:rsid w:val="00B46893"/>
    <w:rsid w:val="00B47B0D"/>
    <w:rsid w:val="00B52C03"/>
    <w:rsid w:val="00B55C25"/>
    <w:rsid w:val="00B64298"/>
    <w:rsid w:val="00B70E6C"/>
    <w:rsid w:val="00BE3BF3"/>
    <w:rsid w:val="00BE58C2"/>
    <w:rsid w:val="00BE697C"/>
    <w:rsid w:val="00BE7B50"/>
    <w:rsid w:val="00C02B09"/>
    <w:rsid w:val="00C0610D"/>
    <w:rsid w:val="00C146BB"/>
    <w:rsid w:val="00C519D9"/>
    <w:rsid w:val="00C54569"/>
    <w:rsid w:val="00C57BA7"/>
    <w:rsid w:val="00C57BDF"/>
    <w:rsid w:val="00C63F3D"/>
    <w:rsid w:val="00C82624"/>
    <w:rsid w:val="00C911A8"/>
    <w:rsid w:val="00C91384"/>
    <w:rsid w:val="00C97137"/>
    <w:rsid w:val="00CA0A36"/>
    <w:rsid w:val="00CB1A8E"/>
    <w:rsid w:val="00D23CA0"/>
    <w:rsid w:val="00D27E5C"/>
    <w:rsid w:val="00D340B1"/>
    <w:rsid w:val="00D36680"/>
    <w:rsid w:val="00D42710"/>
    <w:rsid w:val="00D44D25"/>
    <w:rsid w:val="00D45586"/>
    <w:rsid w:val="00D66965"/>
    <w:rsid w:val="00D827F2"/>
    <w:rsid w:val="00DB76C8"/>
    <w:rsid w:val="00DC33FC"/>
    <w:rsid w:val="00DC724B"/>
    <w:rsid w:val="00DE0A88"/>
    <w:rsid w:val="00E02EAE"/>
    <w:rsid w:val="00E17393"/>
    <w:rsid w:val="00E30111"/>
    <w:rsid w:val="00E61618"/>
    <w:rsid w:val="00E619E6"/>
    <w:rsid w:val="00E63C19"/>
    <w:rsid w:val="00E63FC3"/>
    <w:rsid w:val="00E83DC5"/>
    <w:rsid w:val="00EB6083"/>
    <w:rsid w:val="00EC2049"/>
    <w:rsid w:val="00ED1553"/>
    <w:rsid w:val="00ED39A6"/>
    <w:rsid w:val="00ED3A46"/>
    <w:rsid w:val="00ED7F0D"/>
    <w:rsid w:val="00EE0250"/>
    <w:rsid w:val="00EF07A7"/>
    <w:rsid w:val="00EF2D94"/>
    <w:rsid w:val="00F03D2F"/>
    <w:rsid w:val="00F1304C"/>
    <w:rsid w:val="00F15AFE"/>
    <w:rsid w:val="00F200C3"/>
    <w:rsid w:val="00F2355A"/>
    <w:rsid w:val="00F57CD2"/>
    <w:rsid w:val="00F719FB"/>
    <w:rsid w:val="00F77C30"/>
    <w:rsid w:val="00F97D68"/>
    <w:rsid w:val="00FA3DF5"/>
    <w:rsid w:val="00FB3B6A"/>
    <w:rsid w:val="00FB4E3E"/>
    <w:rsid w:val="00FC3708"/>
    <w:rsid w:val="00FD6FC8"/>
    <w:rsid w:val="00FE230E"/>
    <w:rsid w:val="00FF0DF8"/>
    <w:rsid w:val="00FF50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FAC30B4"/>
  <w15:chartTrackingRefBased/>
  <w15:docId w15:val="{31640738-54F6-4A95-BBBD-AA60A2B6A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D340B1"/>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next w:val="Normal"/>
    <w:link w:val="Ttulo4Car"/>
    <w:uiPriority w:val="9"/>
    <w:semiHidden/>
    <w:unhideWhenUsed/>
    <w:qFormat/>
    <w:rsid w:val="0002269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C2AF0"/>
    <w:rPr>
      <w:color w:val="0563C1" w:themeColor="hyperlink"/>
      <w:u w:val="single"/>
    </w:rPr>
  </w:style>
  <w:style w:type="table" w:styleId="Tablaconcuadrcula">
    <w:name w:val="Table Grid"/>
    <w:basedOn w:val="Tablanormal"/>
    <w:uiPriority w:val="39"/>
    <w:rsid w:val="003D1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BE58C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E58C2"/>
    <w:rPr>
      <w:sz w:val="20"/>
      <w:szCs w:val="20"/>
    </w:rPr>
  </w:style>
  <w:style w:type="character" w:styleId="Refdenotaalpie">
    <w:name w:val="footnote reference"/>
    <w:basedOn w:val="Fuentedeprrafopredeter"/>
    <w:uiPriority w:val="99"/>
    <w:semiHidden/>
    <w:unhideWhenUsed/>
    <w:rsid w:val="00BE58C2"/>
    <w:rPr>
      <w:vertAlign w:val="superscript"/>
    </w:rPr>
  </w:style>
  <w:style w:type="paragraph" w:styleId="Encabezado">
    <w:name w:val="header"/>
    <w:basedOn w:val="Normal"/>
    <w:link w:val="EncabezadoCar"/>
    <w:uiPriority w:val="99"/>
    <w:unhideWhenUsed/>
    <w:rsid w:val="000016E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016EE"/>
  </w:style>
  <w:style w:type="paragraph" w:styleId="Piedepgina">
    <w:name w:val="footer"/>
    <w:basedOn w:val="Normal"/>
    <w:link w:val="PiedepginaCar"/>
    <w:uiPriority w:val="99"/>
    <w:unhideWhenUsed/>
    <w:rsid w:val="000016E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016EE"/>
  </w:style>
  <w:style w:type="paragraph" w:styleId="NormalWeb">
    <w:name w:val="Normal (Web)"/>
    <w:basedOn w:val="Normal"/>
    <w:uiPriority w:val="99"/>
    <w:unhideWhenUsed/>
    <w:rsid w:val="00354E2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354E23"/>
    <w:rPr>
      <w:b/>
      <w:bCs/>
    </w:rPr>
  </w:style>
  <w:style w:type="paragraph" w:customStyle="1" w:styleId="Default">
    <w:name w:val="Default"/>
    <w:rsid w:val="00FA3DF5"/>
    <w:pPr>
      <w:autoSpaceDE w:val="0"/>
      <w:autoSpaceDN w:val="0"/>
      <w:adjustRightInd w:val="0"/>
      <w:spacing w:after="0" w:line="240" w:lineRule="auto"/>
    </w:pPr>
    <w:rPr>
      <w:rFonts w:ascii="Arial" w:hAnsi="Arial" w:cs="Arial"/>
      <w:color w:val="000000"/>
      <w:sz w:val="24"/>
      <w:szCs w:val="24"/>
    </w:rPr>
  </w:style>
  <w:style w:type="character" w:customStyle="1" w:styleId="Ttulo3Car">
    <w:name w:val="Título 3 Car"/>
    <w:basedOn w:val="Fuentedeprrafopredeter"/>
    <w:link w:val="Ttulo3"/>
    <w:uiPriority w:val="9"/>
    <w:rsid w:val="00D340B1"/>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semiHidden/>
    <w:rsid w:val="0002269F"/>
    <w:rPr>
      <w:rFonts w:asciiTheme="majorHAnsi" w:eastAsiaTheme="majorEastAsia" w:hAnsiTheme="majorHAnsi" w:cstheme="majorBidi"/>
      <w:i/>
      <w:iCs/>
      <w:color w:val="2E74B5" w:themeColor="accent1" w:themeShade="BF"/>
    </w:rPr>
  </w:style>
  <w:style w:type="paragraph" w:styleId="Textodeglobo">
    <w:name w:val="Balloon Text"/>
    <w:basedOn w:val="Normal"/>
    <w:link w:val="TextodegloboCar"/>
    <w:uiPriority w:val="99"/>
    <w:semiHidden/>
    <w:unhideWhenUsed/>
    <w:rsid w:val="0002269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2269F"/>
    <w:rPr>
      <w:rFonts w:ascii="Segoe UI" w:hAnsi="Segoe UI" w:cs="Segoe UI"/>
      <w:sz w:val="18"/>
      <w:szCs w:val="18"/>
    </w:rPr>
  </w:style>
  <w:style w:type="paragraph" w:customStyle="1" w:styleId="parrafo2">
    <w:name w:val="parrafo_2"/>
    <w:basedOn w:val="Normal"/>
    <w:rsid w:val="00C8262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rafo">
    <w:name w:val="parrafo"/>
    <w:basedOn w:val="Normal"/>
    <w:rsid w:val="007A443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5D71A0"/>
    <w:rPr>
      <w:sz w:val="16"/>
      <w:szCs w:val="16"/>
    </w:rPr>
  </w:style>
  <w:style w:type="paragraph" w:styleId="Textocomentario">
    <w:name w:val="annotation text"/>
    <w:basedOn w:val="Normal"/>
    <w:link w:val="TextocomentarioCar"/>
    <w:uiPriority w:val="99"/>
    <w:semiHidden/>
    <w:unhideWhenUsed/>
    <w:rsid w:val="005D71A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D71A0"/>
    <w:rPr>
      <w:sz w:val="20"/>
      <w:szCs w:val="20"/>
    </w:rPr>
  </w:style>
  <w:style w:type="paragraph" w:styleId="Asuntodelcomentario">
    <w:name w:val="annotation subject"/>
    <w:basedOn w:val="Textocomentario"/>
    <w:next w:val="Textocomentario"/>
    <w:link w:val="AsuntodelcomentarioCar"/>
    <w:uiPriority w:val="99"/>
    <w:semiHidden/>
    <w:unhideWhenUsed/>
    <w:rsid w:val="005D71A0"/>
    <w:rPr>
      <w:b/>
      <w:bCs/>
    </w:rPr>
  </w:style>
  <w:style w:type="character" w:customStyle="1" w:styleId="AsuntodelcomentarioCar">
    <w:name w:val="Asunto del comentario Car"/>
    <w:basedOn w:val="TextocomentarioCar"/>
    <w:link w:val="Asuntodelcomentario"/>
    <w:uiPriority w:val="99"/>
    <w:semiHidden/>
    <w:rsid w:val="005D71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36204">
      <w:bodyDiv w:val="1"/>
      <w:marLeft w:val="0"/>
      <w:marRight w:val="0"/>
      <w:marTop w:val="0"/>
      <w:marBottom w:val="0"/>
      <w:divBdr>
        <w:top w:val="none" w:sz="0" w:space="0" w:color="auto"/>
        <w:left w:val="none" w:sz="0" w:space="0" w:color="auto"/>
        <w:bottom w:val="none" w:sz="0" w:space="0" w:color="auto"/>
        <w:right w:val="none" w:sz="0" w:space="0" w:color="auto"/>
      </w:divBdr>
    </w:div>
    <w:div w:id="1012613363">
      <w:bodyDiv w:val="1"/>
      <w:marLeft w:val="0"/>
      <w:marRight w:val="0"/>
      <w:marTop w:val="0"/>
      <w:marBottom w:val="0"/>
      <w:divBdr>
        <w:top w:val="none" w:sz="0" w:space="0" w:color="auto"/>
        <w:left w:val="none" w:sz="0" w:space="0" w:color="auto"/>
        <w:bottom w:val="none" w:sz="0" w:space="0" w:color="auto"/>
        <w:right w:val="none" w:sz="0" w:space="0" w:color="auto"/>
      </w:divBdr>
    </w:div>
    <w:div w:id="1440566883">
      <w:bodyDiv w:val="1"/>
      <w:marLeft w:val="0"/>
      <w:marRight w:val="0"/>
      <w:marTop w:val="0"/>
      <w:marBottom w:val="0"/>
      <w:divBdr>
        <w:top w:val="none" w:sz="0" w:space="0" w:color="auto"/>
        <w:left w:val="none" w:sz="0" w:space="0" w:color="auto"/>
        <w:bottom w:val="none" w:sz="0" w:space="0" w:color="auto"/>
        <w:right w:val="none" w:sz="0" w:space="0" w:color="auto"/>
      </w:divBdr>
    </w:div>
    <w:div w:id="1532911271">
      <w:bodyDiv w:val="1"/>
      <w:marLeft w:val="0"/>
      <w:marRight w:val="0"/>
      <w:marTop w:val="0"/>
      <w:marBottom w:val="0"/>
      <w:divBdr>
        <w:top w:val="none" w:sz="0" w:space="0" w:color="auto"/>
        <w:left w:val="none" w:sz="0" w:space="0" w:color="auto"/>
        <w:bottom w:val="none" w:sz="0" w:space="0" w:color="auto"/>
        <w:right w:val="none" w:sz="0" w:space="0" w:color="auto"/>
      </w:divBdr>
    </w:div>
    <w:div w:id="1731071088">
      <w:bodyDiv w:val="1"/>
      <w:marLeft w:val="0"/>
      <w:marRight w:val="0"/>
      <w:marTop w:val="0"/>
      <w:marBottom w:val="0"/>
      <w:divBdr>
        <w:top w:val="none" w:sz="0" w:space="0" w:color="auto"/>
        <w:left w:val="none" w:sz="0" w:space="0" w:color="auto"/>
        <w:bottom w:val="none" w:sz="0" w:space="0" w:color="auto"/>
        <w:right w:val="none" w:sz="0" w:space="0" w:color="auto"/>
      </w:divBdr>
      <w:divsChild>
        <w:div w:id="1318745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0821951">
              <w:marLeft w:val="0"/>
              <w:marRight w:val="0"/>
              <w:marTop w:val="0"/>
              <w:marBottom w:val="0"/>
              <w:divBdr>
                <w:top w:val="none" w:sz="0" w:space="0" w:color="auto"/>
                <w:left w:val="none" w:sz="0" w:space="0" w:color="auto"/>
                <w:bottom w:val="none" w:sz="0" w:space="0" w:color="auto"/>
                <w:right w:val="none" w:sz="0" w:space="0" w:color="auto"/>
              </w:divBdr>
              <w:divsChild>
                <w:div w:id="4137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75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A0336C7DC3E0F45ABB1D27EAA5B9CE9" ma:contentTypeVersion="" ma:contentTypeDescription="Crear nuevo documento." ma:contentTypeScope="" ma:versionID="b59b6e5bb1b612dfdeb2e6157c668dd8">
  <xsd:schema xmlns:xsd="http://www.w3.org/2001/XMLSchema" xmlns:xs="http://www.w3.org/2001/XMLSchema" xmlns:p="http://schemas.microsoft.com/office/2006/metadata/properties" xmlns:ns2="BAA92BB6-DC08-49CA-A1DF-66ADF831DDC1" xmlns:ns3="46c31bdf-0a45-4935-a8a6-0d358e08cfce" xmlns:ns4="baa92bb6-dc08-49ca-a1df-66adf831ddc1" targetNamespace="http://schemas.microsoft.com/office/2006/metadata/properties" ma:root="true" ma:fieldsID="fd166c4e4937083cf2ce5b07455e86e4" ns2:_="" ns3:_="" ns4:_="">
    <xsd:import namespace="BAA92BB6-DC08-49CA-A1DF-66ADF831DDC1"/>
    <xsd:import namespace="46c31bdf-0a45-4935-a8a6-0d358e08cfce"/>
    <xsd:import namespace="baa92bb6-dc08-49ca-a1df-66adf831dd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31bdf-0a45-4935-a8a6-0d358e08cfc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34FA25-9C96-413D-8B17-6FE4A8748695}">
  <ds:schemaRefs>
    <ds:schemaRef ds:uri="http://schemas.openxmlformats.org/officeDocument/2006/bibliography"/>
  </ds:schemaRefs>
</ds:datastoreItem>
</file>

<file path=customXml/itemProps2.xml><?xml version="1.0" encoding="utf-8"?>
<ds:datastoreItem xmlns:ds="http://schemas.openxmlformats.org/officeDocument/2006/customXml" ds:itemID="{7A134263-459E-467A-95EF-0C3597679D66}"/>
</file>

<file path=customXml/itemProps3.xml><?xml version="1.0" encoding="utf-8"?>
<ds:datastoreItem xmlns:ds="http://schemas.openxmlformats.org/officeDocument/2006/customXml" ds:itemID="{51BDD9D6-C8DA-44F5-814F-685E22D6C7A2}"/>
</file>

<file path=customXml/itemProps4.xml><?xml version="1.0" encoding="utf-8"?>
<ds:datastoreItem xmlns:ds="http://schemas.openxmlformats.org/officeDocument/2006/customXml" ds:itemID="{68E3E1F6-7998-4CA4-8D06-251EEF207319}"/>
</file>

<file path=docProps/app.xml><?xml version="1.0" encoding="utf-8"?>
<Properties xmlns="http://schemas.openxmlformats.org/officeDocument/2006/extended-properties" xmlns:vt="http://schemas.openxmlformats.org/officeDocument/2006/docPropsVTypes">
  <Template>Normal.dotm</Template>
  <TotalTime>9</TotalTime>
  <Pages>7</Pages>
  <Words>3459</Words>
  <Characters>19029</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22444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CERRILLO VELASCO, M. JOSE</dc:creator>
  <cp:keywords/>
  <dc:description/>
  <cp:lastModifiedBy>Intervención General</cp:lastModifiedBy>
  <cp:revision>4</cp:revision>
  <dcterms:created xsi:type="dcterms:W3CDTF">2024-09-27T09:39:00Z</dcterms:created>
  <dcterms:modified xsi:type="dcterms:W3CDTF">2024-10-03T07:50:00Z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0x0101004A0336C7DC3E0F45ABB1D27EAA5B9CE9</vt:lpwstr>
  </property>
</Properties>
</file>