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AEE" w:rsidRPr="002321D3" w:rsidRDefault="002321D3" w:rsidP="00301AEE">
      <w:pPr>
        <w:spacing w:after="0" w:line="276" w:lineRule="auto"/>
        <w:ind w:left="-5" w:right="0" w:hanging="10"/>
      </w:pPr>
      <w:r w:rsidRPr="007911E3">
        <w:rPr>
          <w:b/>
        </w:rPr>
        <w:t xml:space="preserve">INFORME DE LA INTERVENCIÓN GENERAL </w:t>
      </w:r>
      <w:r>
        <w:rPr>
          <w:b/>
        </w:rPr>
        <w:t xml:space="preserve">DE LA COMUNIDAD DE MADRID </w:t>
      </w:r>
      <w:r w:rsidRPr="007911E3">
        <w:rPr>
          <w:b/>
        </w:rPr>
        <w:t xml:space="preserve">DE </w:t>
      </w:r>
      <w:r>
        <w:rPr>
          <w:b/>
        </w:rPr>
        <w:t xml:space="preserve">1 DE DICIEMBRE DE 2017. CONTABILIDAD. </w:t>
      </w:r>
      <w:r w:rsidR="00373D3D" w:rsidRPr="002321D3">
        <w:rPr>
          <w:b/>
        </w:rPr>
        <w:t>EFECTOS EN DÉFICIT Y DEUDA DE LA COMUNIDAD DE MADRID POR LA MODIFICACIÓN DE LA ESTRUCTURA DE LAS FACTURAS, A PRESENTAR POR LAS CONCESIONARIAS DE LOS HOSPITALES PFI</w:t>
      </w:r>
      <w:r w:rsidR="00373D3D">
        <w:rPr>
          <w:b/>
        </w:rPr>
        <w:t>.</w:t>
      </w:r>
    </w:p>
    <w:p w:rsidR="00373D3D" w:rsidRDefault="00373D3D" w:rsidP="00C97C17">
      <w:pPr>
        <w:spacing w:after="0" w:line="240" w:lineRule="auto"/>
        <w:ind w:firstLine="0"/>
        <w:rPr>
          <w:rFonts w:eastAsia="Times New Roman"/>
          <w:b/>
          <w:bCs/>
        </w:rPr>
      </w:pPr>
    </w:p>
    <w:p w:rsidR="00C97C17" w:rsidRPr="007911E3" w:rsidRDefault="00C97C17" w:rsidP="00C97C17">
      <w:pPr>
        <w:spacing w:after="0" w:line="240" w:lineRule="auto"/>
        <w:ind w:firstLine="0"/>
        <w:rPr>
          <w:rFonts w:eastAsia="Times New Roman"/>
        </w:rPr>
      </w:pPr>
      <w:r w:rsidRPr="007911E3">
        <w:rPr>
          <w:rFonts w:eastAsia="Times New Roman"/>
          <w:b/>
          <w:bCs/>
        </w:rPr>
        <w:t xml:space="preserve">Modalidad de informe: </w:t>
      </w:r>
      <w:r>
        <w:rPr>
          <w:rFonts w:eastAsia="Times New Roman"/>
          <w:b/>
          <w:bCs/>
        </w:rPr>
        <w:t>Consulta</w:t>
      </w:r>
      <w:r w:rsidRPr="007911E3">
        <w:rPr>
          <w:rFonts w:eastAsia="Times New Roman"/>
          <w:b/>
          <w:bCs/>
        </w:rPr>
        <w:t>.</w:t>
      </w:r>
    </w:p>
    <w:p w:rsidR="00C97C17" w:rsidRPr="007911E3" w:rsidRDefault="00C97C17" w:rsidP="00C97C17">
      <w:pPr>
        <w:spacing w:after="0" w:line="240" w:lineRule="auto"/>
        <w:ind w:firstLine="0"/>
        <w:rPr>
          <w:rFonts w:eastAsia="Times New Roman"/>
        </w:rPr>
      </w:pPr>
      <w:r w:rsidRPr="007911E3">
        <w:rPr>
          <w:rFonts w:eastAsia="Times New Roman"/>
          <w:b/>
          <w:bCs/>
        </w:rPr>
        <w:t xml:space="preserve">Área temática: </w:t>
      </w:r>
      <w:r>
        <w:rPr>
          <w:rFonts w:eastAsia="Times New Roman"/>
          <w:b/>
          <w:bCs/>
        </w:rPr>
        <w:t>Contabilidad</w:t>
      </w:r>
      <w:r w:rsidRPr="007911E3">
        <w:rPr>
          <w:rFonts w:eastAsia="Times New Roman"/>
          <w:b/>
          <w:bCs/>
        </w:rPr>
        <w:t>.</w:t>
      </w:r>
    </w:p>
    <w:p w:rsidR="00C97C17" w:rsidRPr="007911E3" w:rsidRDefault="00C97C17" w:rsidP="00C97C17">
      <w:pPr>
        <w:spacing w:after="0" w:line="240" w:lineRule="auto"/>
        <w:ind w:firstLine="0"/>
        <w:rPr>
          <w:rFonts w:eastAsia="Times New Roman"/>
        </w:rPr>
      </w:pPr>
      <w:r w:rsidRPr="007911E3">
        <w:rPr>
          <w:rFonts w:eastAsia="Times New Roman"/>
          <w:b/>
          <w:bCs/>
        </w:rPr>
        <w:t>Informe vigente.</w:t>
      </w:r>
    </w:p>
    <w:p w:rsidR="00301AEE" w:rsidRPr="002321D3" w:rsidRDefault="00301AEE" w:rsidP="00301AEE">
      <w:pPr>
        <w:spacing w:after="0" w:line="276" w:lineRule="auto"/>
        <w:ind w:left="-5" w:right="436" w:hanging="10"/>
      </w:pPr>
    </w:p>
    <w:p w:rsidR="00301AEE" w:rsidRPr="002321D3" w:rsidRDefault="00301AEE" w:rsidP="00301AEE">
      <w:pPr>
        <w:spacing w:after="0" w:line="276" w:lineRule="auto"/>
        <w:ind w:left="-5" w:right="436" w:hanging="10"/>
      </w:pPr>
    </w:p>
    <w:p w:rsidR="00301AEE" w:rsidRPr="002321D3" w:rsidRDefault="00301AEE" w:rsidP="000C1D21">
      <w:pPr>
        <w:spacing w:after="0" w:line="276" w:lineRule="auto"/>
        <w:ind w:left="-15" w:right="0" w:firstLine="15"/>
      </w:pPr>
      <w:r w:rsidRPr="002321D3">
        <w:t xml:space="preserve">El Director General de Gestión Económico-Financiera y de Infraestructuras Sanitarias realiza esta consulta, considerando que esta modificación contribuye al cumplimiento de los principios de la Ley 19/2013, de 9 de diciembre, de Transparencia, Acceso a la Información Pública y buen Gobierno.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Para ello, desde esa Dirección General se ha aportado la documentación que se le ha requerido.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Los contratos afectados son los de concesión de obra pública para la construcción y explotación de los hospitales siguientes: </w:t>
      </w:r>
    </w:p>
    <w:p w:rsidR="000C1D21" w:rsidRPr="002321D3" w:rsidRDefault="000C1D21" w:rsidP="000C1D21">
      <w:pPr>
        <w:spacing w:after="0" w:line="276" w:lineRule="auto"/>
        <w:ind w:left="-15" w:right="0" w:firstLine="15"/>
      </w:pPr>
    </w:p>
    <w:p w:rsidR="00301AEE" w:rsidRPr="002321D3" w:rsidRDefault="00301AEE" w:rsidP="00301AEE">
      <w:pPr>
        <w:numPr>
          <w:ilvl w:val="0"/>
          <w:numId w:val="1"/>
        </w:numPr>
        <w:spacing w:after="88" w:line="259" w:lineRule="auto"/>
        <w:ind w:right="439" w:hanging="348"/>
      </w:pPr>
      <w:r w:rsidRPr="002321D3">
        <w:t xml:space="preserve">Hospital Puerta de Hierro de Majadahonda </w:t>
      </w:r>
    </w:p>
    <w:p w:rsidR="00301AEE" w:rsidRPr="002321D3" w:rsidRDefault="00301AEE" w:rsidP="00301AEE">
      <w:pPr>
        <w:numPr>
          <w:ilvl w:val="0"/>
          <w:numId w:val="1"/>
        </w:numPr>
        <w:spacing w:after="87" w:line="259" w:lineRule="auto"/>
        <w:ind w:right="439" w:hanging="348"/>
      </w:pPr>
      <w:r w:rsidRPr="002321D3">
        <w:t xml:space="preserve">Hospital del Henares </w:t>
      </w:r>
    </w:p>
    <w:p w:rsidR="00301AEE" w:rsidRPr="002321D3" w:rsidRDefault="00301AEE" w:rsidP="00301AEE">
      <w:pPr>
        <w:numPr>
          <w:ilvl w:val="0"/>
          <w:numId w:val="1"/>
        </w:numPr>
        <w:spacing w:after="88" w:line="259" w:lineRule="auto"/>
        <w:ind w:right="439" w:hanging="348"/>
      </w:pPr>
      <w:r w:rsidRPr="002321D3">
        <w:t xml:space="preserve">Hospital de Parla </w:t>
      </w:r>
    </w:p>
    <w:p w:rsidR="00301AEE" w:rsidRPr="002321D3" w:rsidRDefault="00301AEE" w:rsidP="00301AEE">
      <w:pPr>
        <w:numPr>
          <w:ilvl w:val="0"/>
          <w:numId w:val="1"/>
        </w:numPr>
        <w:spacing w:after="87" w:line="259" w:lineRule="auto"/>
        <w:ind w:right="439" w:hanging="348"/>
      </w:pPr>
      <w:r w:rsidRPr="002321D3">
        <w:t xml:space="preserve">Hospital Infanta Leonor </w:t>
      </w:r>
    </w:p>
    <w:p w:rsidR="00301AEE" w:rsidRPr="002321D3" w:rsidRDefault="00301AEE" w:rsidP="00301AEE">
      <w:pPr>
        <w:numPr>
          <w:ilvl w:val="0"/>
          <w:numId w:val="1"/>
        </w:numPr>
        <w:spacing w:after="88" w:line="259" w:lineRule="auto"/>
        <w:ind w:right="439" w:hanging="348"/>
      </w:pPr>
      <w:r w:rsidRPr="002321D3">
        <w:t xml:space="preserve">Hospital Infanta Sofía </w:t>
      </w:r>
    </w:p>
    <w:p w:rsidR="00301AEE" w:rsidRPr="002321D3" w:rsidRDefault="00301AEE" w:rsidP="00301AEE">
      <w:pPr>
        <w:numPr>
          <w:ilvl w:val="0"/>
          <w:numId w:val="1"/>
        </w:numPr>
        <w:spacing w:after="87" w:line="259" w:lineRule="auto"/>
        <w:ind w:right="439" w:hanging="348"/>
      </w:pPr>
      <w:r w:rsidRPr="002321D3">
        <w:t xml:space="preserve">Hospital del Sureste </w:t>
      </w:r>
    </w:p>
    <w:p w:rsidR="00301AEE" w:rsidRPr="002321D3" w:rsidRDefault="00301AEE" w:rsidP="00301AEE">
      <w:pPr>
        <w:numPr>
          <w:ilvl w:val="0"/>
          <w:numId w:val="1"/>
        </w:numPr>
        <w:spacing w:after="70" w:line="259" w:lineRule="auto"/>
        <w:ind w:right="439" w:hanging="348"/>
      </w:pPr>
      <w:r w:rsidRPr="002321D3">
        <w:t xml:space="preserve">Hospital del Tajo </w:t>
      </w:r>
    </w:p>
    <w:p w:rsidR="00301AEE" w:rsidRPr="002321D3" w:rsidRDefault="00301AEE" w:rsidP="00301AEE">
      <w:pPr>
        <w:spacing w:after="116" w:line="259" w:lineRule="auto"/>
        <w:ind w:left="720" w:right="0" w:firstLine="0"/>
        <w:jc w:val="left"/>
      </w:pPr>
      <w:r w:rsidRPr="002321D3">
        <w:t xml:space="preserve"> </w:t>
      </w:r>
    </w:p>
    <w:p w:rsidR="00301AEE" w:rsidRPr="002321D3" w:rsidRDefault="00301AEE" w:rsidP="000C1D21">
      <w:pPr>
        <w:spacing w:after="0" w:line="276" w:lineRule="auto"/>
        <w:ind w:left="-15" w:right="0" w:firstLine="15"/>
      </w:pPr>
      <w:r w:rsidRPr="002321D3">
        <w:t xml:space="preserve">En todos los casos, actualmente, los activos construidos y adquiridos por el concesionario al amparo de estos contratos, con criterios de contabilidad nacional, están asignados a éste.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En el escrito inicial ya se indicaba que, el sistema para determinar la retribución y pago a cada sociedad concesionaria, se establece en el Anexo V de los PCAP que rigen los contratos. </w:t>
      </w:r>
      <w:r w:rsidRPr="002321D3">
        <w:rPr>
          <w:i/>
        </w:rPr>
        <w:t xml:space="preserve">Dispone que las cantidades a pagar por la Administración en contraprestación a la explotación de la obra pública, en cómputo anual, se determinan por la Cantidad Máxima Anual que hayan fijado en sus ofertas las concesionarias en concepto de retribución por la explotación de la obra pública. </w:t>
      </w:r>
    </w:p>
    <w:p w:rsidR="000C1D21" w:rsidRPr="002321D3" w:rsidRDefault="000C1D21" w:rsidP="000C1D21">
      <w:pPr>
        <w:spacing w:after="0" w:line="276" w:lineRule="auto"/>
        <w:ind w:left="-15" w:right="437" w:firstLine="0"/>
        <w:rPr>
          <w:i/>
        </w:rPr>
      </w:pPr>
    </w:p>
    <w:p w:rsidR="00301AEE" w:rsidRPr="002321D3" w:rsidRDefault="00301AEE" w:rsidP="000C1D21">
      <w:pPr>
        <w:spacing w:after="0" w:line="276" w:lineRule="auto"/>
        <w:ind w:left="-15" w:right="437" w:firstLine="0"/>
        <w:rPr>
          <w:i/>
        </w:rPr>
      </w:pPr>
      <w:r w:rsidRPr="002321D3">
        <w:rPr>
          <w:i/>
        </w:rPr>
        <w:t xml:space="preserve">Así, la Cantidad Máxima Anual se compone de: </w:t>
      </w:r>
    </w:p>
    <w:p w:rsidR="000C1D21" w:rsidRPr="002321D3" w:rsidRDefault="000C1D21" w:rsidP="000C1D21">
      <w:pPr>
        <w:spacing w:after="0" w:line="276" w:lineRule="auto"/>
        <w:ind w:left="-15" w:right="437" w:firstLine="0"/>
      </w:pPr>
    </w:p>
    <w:p w:rsidR="00301AEE" w:rsidRPr="002321D3" w:rsidRDefault="00301AEE" w:rsidP="000C1D21">
      <w:pPr>
        <w:numPr>
          <w:ilvl w:val="0"/>
          <w:numId w:val="1"/>
        </w:numPr>
        <w:spacing w:after="0" w:line="276" w:lineRule="auto"/>
        <w:ind w:right="0" w:hanging="348"/>
      </w:pPr>
      <w:r w:rsidRPr="002321D3">
        <w:rPr>
          <w:i/>
        </w:rPr>
        <w:t xml:space="preserve">Una Cantidad Fija Anual (CFA), que no será superior al 40% de la Cantidad Máxima Anual (CMA) ofertada. </w:t>
      </w:r>
    </w:p>
    <w:p w:rsidR="000C1D21" w:rsidRPr="002321D3" w:rsidRDefault="000C1D21" w:rsidP="000C1D21">
      <w:pPr>
        <w:spacing w:after="0" w:line="276" w:lineRule="auto"/>
        <w:ind w:left="708" w:right="0" w:firstLine="0"/>
      </w:pPr>
    </w:p>
    <w:p w:rsidR="00301AEE" w:rsidRPr="002321D3" w:rsidRDefault="00301AEE" w:rsidP="000C1D21">
      <w:pPr>
        <w:numPr>
          <w:ilvl w:val="0"/>
          <w:numId w:val="1"/>
        </w:numPr>
        <w:spacing w:after="0" w:line="276" w:lineRule="auto"/>
        <w:ind w:right="0" w:hanging="348"/>
      </w:pPr>
      <w:r w:rsidRPr="002321D3">
        <w:rPr>
          <w:i/>
        </w:rPr>
        <w:t xml:space="preserve">Una Cantidad Variable Anual (CVA). Su importe se determina por la cuantía máxima ofertada por la Sociedad Concesionaria, en valor de 2005, resultante de la suma de las tarifas anuales aplicadas a cada uno de los servicios (TAS) objeto de explotación recogidos en el Anexo VII, en el supuesto de cumplimiento de la totalidad de los estándares establecidos en el PPTE.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lastRenderedPageBreak/>
        <w:t xml:space="preserve">El cálculo de las cantidades a pagar mensualmente, se realiza mediante una fórmula que recoge el importe fijo y variable, minorado, en su caso, por las deducciones mensuales por deficiencias en el cumplimiento de los estándares de disponibilidad y calidad en la prestación de cada uno de los servicios, tal y como se definen en el PPTE. Asimismo, se aplican correcciones mensuales en concepto de ajuste en el importe de las deducciones de cada servicio, relativas a la última liquidación practicada.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Las facturas emitidas por las concesionarias, no discriminan la parte destinada a retribuir los servicios prestados de aquella que financia la inversión realizada. Por ello, desde esa Dirección General, se plantea la conveniencia de </w:t>
      </w:r>
      <w:r w:rsidRPr="002321D3">
        <w:rPr>
          <w:i/>
        </w:rPr>
        <w:t xml:space="preserve">modificar la estructura de las facturas que presentan las concesionarias, en el sentido de que, en las mismas, se distinga la parte que va destinada a retribuir los servicios prestados de la que va destinada a amortizar los gastos de construcción e inversiones de reposición. Todo ello, bien entendido, sin modificar el régimen económico del contrato y sin que las cantidades totales a pagar se vean alteradas.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El borrador del Acuerdo de modificación de los contratos de concesión de obra pública para la construcción y explotación de cada uno de los hospitales, recoge en sus estipulaciones, en primer lugar, la Cantidad Máxima Anual (CMA, fijada por el contrato inicial y sus modificaciones), y posteriormente el reparto, en porcentaje sobre la CMA e importe, que corresponde a diversos conceptos, tanto de inversión como de explotación y mantenimiento. Las partes acuerdan reflejarlo en la facturación, supeditando el cambio a que esta modificación no supondrá variación alguna en el canon a percibir por el concesionario ni modificación del alcance de los servicios objeto del contrato.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De acuerdo con lo anterior, parece deducirse que el cálculo de cada pago mensual, a las sociedades concesionarias, se efectúa aplicando la misma fórmula establecida en el expediente de contratación, con el matiz de </w:t>
      </w:r>
      <w:proofErr w:type="gramStart"/>
      <w:r w:rsidRPr="002321D3">
        <w:t>que</w:t>
      </w:r>
      <w:proofErr w:type="gramEnd"/>
      <w:r w:rsidRPr="002321D3">
        <w:t xml:space="preserve"> sobre el importe resultante, con posterioridad a la modificación, se aplica la diferenciación porcentual aprobada. Si este es el caso, la mera diferenciación en factura de la retribución asignada a la inversión del resto de retribuciones, en contabilidad nacional, no afecta al balance de riesgos existente previamente y no se modifica su incidencia en el déficit y la deuda de la Comunidad de Madrid. En otro caso, sería preciso analizar nuevamente los riesgos del expediente y valorar sus posibles efectos en el déficit y la deuda públicos.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No obstante, se considera relevante que ese centro directivo valore que el objetivo que se está persiguiendo, de diferenciar en factura la parte que va destinada a retribuir los servicios prestados de la que va destinada a amortizar los gastos de construcción e inversiones de reposición, se alcanza mediante el adecuado registro en la contabilidad patrimonial y administrativa del SERMAS de las construcciones</w:t>
      </w:r>
      <w:r w:rsidR="001F62F1" w:rsidRPr="002321D3">
        <w:t xml:space="preserve"> </w:t>
      </w:r>
      <w:r w:rsidRPr="002321D3">
        <w:t xml:space="preserve">realizadas por las empresas adjudicatarias de los contratos de concesión.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En relación con el referido registro en contabilidad patrimonial,  el informe de fiscalización horizontal de regularidad del subsector público empresarial de la Comunidad de Madrid (ejercicios 2011-2015), aprobado por Acuerdo del Consejo de la Cámara de Cuentas de 19 de octubre de 2017, pone de manifiesto que “El activo no corriente de los seis hospitales creados en 2006 no recoge, ni en su inmovilizado intangible ni en su inmovilizado material, el valor de los edificios que ocupan, cuya propiedad corresponde a la empresa concesionaria. Dichos edificios tampoco se han registrado ni en la Consejería de Sanidad ni en el SERMAS. Estos inmuebles deben ser objeto de valoración, a efectos de su integración en los balances correspondientes (con la integración de los hospitales en </w:t>
      </w:r>
      <w:r w:rsidRPr="002321D3">
        <w:lastRenderedPageBreak/>
        <w:t xml:space="preserve">el SERMAS durante el ejercicio 2016, estos importes deberán registrarse en el balance de este ente)”.  </w:t>
      </w:r>
    </w:p>
    <w:p w:rsidR="000C1D21" w:rsidRPr="002321D3" w:rsidRDefault="000C1D21" w:rsidP="000C1D21">
      <w:pPr>
        <w:spacing w:after="0" w:line="276" w:lineRule="auto"/>
        <w:ind w:left="-15" w:right="0" w:firstLine="15"/>
      </w:pPr>
    </w:p>
    <w:p w:rsidR="00301AEE" w:rsidRDefault="00301AEE" w:rsidP="00373D3D">
      <w:pPr>
        <w:spacing w:after="0" w:line="276" w:lineRule="auto"/>
        <w:ind w:left="-15" w:right="0" w:firstLine="15"/>
      </w:pPr>
      <w:r w:rsidRPr="002321D3">
        <w:t xml:space="preserve">Desde la perspectiva contable el desglose en factura y el registro en balance de los edificios que ocupan los hospitales son, por tanto, cuestiones conexas, considerándose adecuado darles un tratamiento conjunto; a tal fin se recoge a continuación la propuesta elaborada por este centro directivo. </w:t>
      </w:r>
    </w:p>
    <w:p w:rsidR="00373D3D" w:rsidRDefault="00373D3D" w:rsidP="00373D3D">
      <w:pPr>
        <w:spacing w:after="0" w:line="276" w:lineRule="auto"/>
        <w:ind w:left="-15" w:right="0" w:firstLine="15"/>
      </w:pPr>
    </w:p>
    <w:p w:rsidR="00301AEE" w:rsidRPr="002321D3" w:rsidRDefault="00301AEE" w:rsidP="00373D3D">
      <w:pPr>
        <w:spacing w:after="226" w:line="276" w:lineRule="auto"/>
        <w:ind w:right="0" w:firstLine="0"/>
        <w:jc w:val="left"/>
      </w:pPr>
      <w:r w:rsidRPr="002321D3">
        <w:rPr>
          <w:b/>
        </w:rPr>
        <w:t xml:space="preserve">Propuesta de contabilización de la construcción realizada por las empresas adjudicatarias de los contratos de concesión de obra pública de los hospitales “Hospital Puerta de Hierro”, “Hospital del Norte”, “Hospital del Sur”, “Hospital del Sureste”, “Hospital de Vallecas”, “Hospital del Henares” y “Hospital del Tajo” gestionados por el Servicio Madrileño de Salud (SERMAS). </w:t>
      </w:r>
    </w:p>
    <w:p w:rsidR="00301AEE" w:rsidRPr="002321D3" w:rsidRDefault="00301AEE" w:rsidP="000C1D21">
      <w:pPr>
        <w:keepNext/>
        <w:keepLines/>
        <w:spacing w:after="0" w:line="276" w:lineRule="auto"/>
        <w:ind w:left="-5" w:right="0" w:firstLine="0"/>
        <w:jc w:val="left"/>
        <w:outlineLvl w:val="0"/>
        <w:rPr>
          <w:b/>
          <w:u w:val="single" w:color="000000"/>
        </w:rPr>
      </w:pPr>
      <w:r w:rsidRPr="002321D3">
        <w:rPr>
          <w:b/>
          <w:u w:val="single" w:color="000000"/>
        </w:rPr>
        <w:t>Antecedentes</w:t>
      </w:r>
      <w:r w:rsidRPr="002321D3">
        <w:rPr>
          <w:b/>
          <w:u w:color="000000"/>
        </w:rPr>
        <w:t xml:space="preserve">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En el ámbito del Servicio Madrileño de Salud (SERMAS) se encuentran vigentes siete contratos de concesión de obra pública que fueron adjudicados por el Consejero de Sanidad y Consumo en 2005.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El objeto de estos contratos es la redacción del proyecto de construcción, la ejecución de las obras y la explotación y mantenimiento de la obra pública y del mobiliario. La explotación y mantenimiento incluyen la puesta a disposición del hospital de la obra pública y el mobiliario, y la prestación por las sociedades concesionarias de los servicios residenciales y complementarios no sanitarios, así como la explotación de las zonas complementarias y espacios comerciales autorizados. Los servicios concretos que debe prestar la concesionaria son los de limpieza, seguridad, restauración, residuos urbanos y sanitarios, mantenimiento del edificio e instalaciones, conservación de viales y jardines, lavandería, esterilización, desinsectación y desratización, transporte interno-externo y gestión auxiliar (TIGA), gestión de almacenes y distribución y gestión de personal administrativo de recepción/información y centralita telefónica (Apoyo administrativo). En ningún caso se incluyen los servicios médico-sanitarios. Los pliegos determinan las obligaciones para el contratista referidas a la adquisición y mantenimiento de mobiliario y para el establecimiento de niveles óptimos de disponibilidad y calidad en la explotación de las obras, el cumplimiento de normas de calidad, gestión medioambiental y eficiencia energética y disposiciones en materia de subcontratación.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Las sociedades concesionarias perciben los rendimientos de las explotaciones comerciales y una retribución por parte de la administración sanitaria que se determina a partir de una cantidad máxima anual (CMA) que dichas concesionarias han establecido en sus ofertas, y se compone de una cantidad fija y una variable (CVA). La CVA se distribuye en función de los servicios de explotación prestados en cada uno de los hospitales y se actualiza anualmente con la inflación. A la retribución de las concesionarias se le aplican deducciones si la prestación de los servicios está por debajo de los niveles óptimos de disponibilidad y calidad exigidos en los pliegos. También, las cantidades a abonar por la prestación de los servicios de gestión de la restauración y de esterilización pueden ser modificadas si se producen variaciones significativas en el volumen de prestación de ambos servicios. Estas variaciones dependen de la ocupación y del número de intervenciones quirúrgicas respectivamente.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lastRenderedPageBreak/>
        <w:t xml:space="preserve">El contrato tiene una duración de treinta años, al cabo de los cuales deberán revertir las obras y sus zonas complementarias y anexas a la Administración en perfecto estado de conservación y sin derecho a ningún tipo de contraprestación ni indemnización. </w:t>
      </w:r>
    </w:p>
    <w:p w:rsidR="000C1D21" w:rsidRPr="002321D3" w:rsidRDefault="000C1D21" w:rsidP="000C1D21">
      <w:pPr>
        <w:keepNext/>
        <w:keepLines/>
        <w:spacing w:after="0" w:line="276" w:lineRule="auto"/>
        <w:ind w:left="-5" w:right="0" w:firstLine="0"/>
        <w:jc w:val="left"/>
        <w:outlineLvl w:val="0"/>
        <w:rPr>
          <w:b/>
          <w:u w:val="single" w:color="000000"/>
        </w:rPr>
      </w:pPr>
    </w:p>
    <w:p w:rsidR="00301AEE" w:rsidRPr="002321D3" w:rsidRDefault="00301AEE" w:rsidP="000C1D21">
      <w:pPr>
        <w:keepNext/>
        <w:keepLines/>
        <w:spacing w:after="0" w:line="276" w:lineRule="auto"/>
        <w:ind w:left="-5" w:right="0" w:firstLine="0"/>
        <w:jc w:val="left"/>
        <w:outlineLvl w:val="0"/>
        <w:rPr>
          <w:b/>
          <w:u w:val="single" w:color="000000"/>
        </w:rPr>
      </w:pPr>
      <w:r w:rsidRPr="002321D3">
        <w:rPr>
          <w:b/>
          <w:u w:val="single" w:color="000000"/>
        </w:rPr>
        <w:t>Forma de registro</w:t>
      </w:r>
      <w:r w:rsidRPr="002321D3">
        <w:rPr>
          <w:b/>
          <w:u w:color="000000"/>
        </w:rPr>
        <w:t xml:space="preserve">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Si bien ni el Plan General de Contabilidad Pública, ni el Plan General de Contabilidad Pública de la Comunidad de Madrid, así como tampoco sus normas de desarrollo, regulan el tratamiento contable en las entidades concedentes de las infraestructuras construidas por las empresas concesionarias, sí existen criterios contables para el registro de tales infraestructuras en la concedente  emitidos por el Instituto de Contabilidad y Auditoría de Cuentas (ICAC)</w:t>
      </w:r>
      <w:r w:rsidRPr="002321D3">
        <w:rPr>
          <w:rFonts w:eastAsia="Calibri"/>
        </w:rPr>
        <w:t xml:space="preserve"> </w:t>
      </w:r>
      <w:r w:rsidRPr="002321D3">
        <w:t>Consulta 7, publicada en su Boletín Oficial (BOICAC) con el número 94/2013 y por la Intervención General de la Administración del Estado (IGAE)</w:t>
      </w:r>
      <w:r w:rsidRPr="002321D3">
        <w:rPr>
          <w:rFonts w:eastAsia="Calibri"/>
        </w:rPr>
        <w:t xml:space="preserve"> </w:t>
      </w:r>
      <w:r w:rsidRPr="002321D3">
        <w:t xml:space="preserve">Consulta nº 4/2016, de 7 de abril, publicada en su Boletín Informativo nº 146 , en su respectivo ámbito competencial.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Hay que referirse asimismo a la Orden EHA/3362/2010, de 23 de diciembre, por la que se aprueban las normas de adaptación del Plan General de Contabilidad a las empresas concesionarias de infraestructuras públicas que es de aplicación a las empresas concesionarias que formalicen acuerdos de concesión con una entidad concedente. Esta Orden no regula el tratamiento contable relativo a las entidades concedentes, no obstante, su utilización como referente se hará mediante su aplicación por analogía a la otra parte de la operación: la concedente.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A nivel internacional sí se encuentra regulada esta cuestión, concretamente en la Norma Internacional de Contabilidad del Sector Público (NICSP) número 32, “Acuerdos de concesión de servicios: la concedente”.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Adicionalmente, esta Intervención General ha sometido a consulta de la IGAE el asunto de referencia.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En base a lo dispuesto en la NICSP número 32 y los criterios emanados del ICAC y de la IGAE, en particular la Consulta nº 4/2016, de 7 de abril, cabe concluir que para aquellos acuerdos de concesión vigentes que se hubieran formalizado en ejercicios anteriores y que no estuvieran registrados, la entidad concedente (SERMAS) deberá hacer los ajustes necesarios en su contabilidad para reflejar los activos y pasivos que se encuentren afectos a la concesión. </w:t>
      </w:r>
    </w:p>
    <w:p w:rsidR="00301AEE" w:rsidRPr="002321D3" w:rsidRDefault="00301AEE" w:rsidP="000C1D21">
      <w:pPr>
        <w:spacing w:after="0" w:line="276" w:lineRule="auto"/>
        <w:ind w:right="0" w:firstLine="0"/>
        <w:jc w:val="left"/>
      </w:pPr>
      <w:r w:rsidRPr="002321D3">
        <w:t xml:space="preserve"> </w:t>
      </w:r>
    </w:p>
    <w:p w:rsidR="00301AEE" w:rsidRPr="002321D3" w:rsidRDefault="00301AEE" w:rsidP="000C1D21">
      <w:pPr>
        <w:spacing w:after="0" w:line="276" w:lineRule="auto"/>
        <w:ind w:left="-15" w:right="0" w:firstLine="15"/>
      </w:pPr>
      <w:r w:rsidRPr="002321D3">
        <w:t xml:space="preserve">El alta en la contabilidad de la entidad concedente de los activos de concesión proporcionados por la entidad concesionaria o de cualquier mejora en un activo ya existente de la concedente, realizada por la concesionaria deberá medirse por el valor razonable del activo.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La contrapartida para realizar el alta del activo de concesión será una cuenta de pasivo, que tendrá distinta naturaleza en función de los términos que se establezcan en el acuerdo de concesión, pudiendo articularse dos modelos de registro distinto: 1) El modelo del pasivo financiero y 2) El modelo de concesión de un derecho a la concesionaria; asimismo podría establecerse 3) un modelo mixto. </w:t>
      </w:r>
    </w:p>
    <w:p w:rsidR="00373D3D" w:rsidRDefault="00373D3D" w:rsidP="00301AEE">
      <w:pPr>
        <w:spacing w:after="244" w:line="259" w:lineRule="auto"/>
        <w:ind w:left="708" w:right="0" w:firstLine="0"/>
        <w:jc w:val="left"/>
      </w:pPr>
    </w:p>
    <w:p w:rsidR="00301AEE" w:rsidRPr="002321D3" w:rsidRDefault="00301AEE" w:rsidP="00301AEE">
      <w:pPr>
        <w:spacing w:after="244" w:line="259" w:lineRule="auto"/>
        <w:ind w:left="708" w:right="0" w:firstLine="0"/>
        <w:jc w:val="left"/>
      </w:pPr>
      <w:r w:rsidRPr="002321D3">
        <w:t xml:space="preserve"> </w:t>
      </w:r>
    </w:p>
    <w:p w:rsidR="00301AEE" w:rsidRPr="002321D3" w:rsidRDefault="00301AEE" w:rsidP="000C1D21">
      <w:pPr>
        <w:keepNext/>
        <w:keepLines/>
        <w:spacing w:after="0" w:line="276" w:lineRule="auto"/>
        <w:ind w:left="345" w:right="0" w:hanging="360"/>
        <w:jc w:val="left"/>
        <w:outlineLvl w:val="0"/>
        <w:rPr>
          <w:b/>
          <w:u w:val="single" w:color="000000"/>
        </w:rPr>
      </w:pPr>
      <w:r w:rsidRPr="002321D3">
        <w:rPr>
          <w:b/>
          <w:u w:val="single" w:color="000000"/>
        </w:rPr>
        <w:lastRenderedPageBreak/>
        <w:t>Modelo de pasivo financiero</w:t>
      </w:r>
      <w:r w:rsidRPr="002321D3">
        <w:rPr>
          <w:b/>
          <w:u w:color="000000"/>
        </w:rPr>
        <w:t xml:space="preserve">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La entidad concedente tiene una obligación incondicional de pagar efectivo u otro activo financiero a la entidad concesionaria por la construcción, desarrollo, adquisición o mejora de un activo de concesión de servicios. A tal efecto, aquellos activos afectos a la concesión proporcionados por la concesionaria (construidos, mejorados o adquiridos por ella) se darán de alta en la contabilidad de la concedente con fecha 1 de enero del año en que se disponga de su valoración y se registrarán de acuerdo con su naturaleza, valorándose por su valor razonable en dicha fecha, siempre y cuando no pudiera determinarse con fiabilidad el valor contable que habrían tenido dichos activos si se hubieran dado de alta en el momento que correspondía, momento de adquisición o puesta a servicio, (dicho valor contable sería igual al valor razonable en el momento de su alta incrementado, en su caso, por los desembolsos posteriores –efectuados por la concedente o por la concesionaria– y disminuido por la amortización acumulada que debería haberse practicado y por la corrección valorativa acumulada por deterioro que hubieran sufrido hasta 1 de enero del año en que se disponga de su valoración).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El pasivo o pasivos relacionados, según el modelo del pasivo financiero, deberán darse de alta también en la contabilidad del ente concedente con fecha 1 de enero del año en que se tenga su valoración, y deberán valorarse de conformidad con la Norma de reconocimiento y valoración 9ª, “Pasivos financieros”, (con carácter general se valorarán por el valor actual de los flujos de efectivo contractuales restantes especificados en el acuerdo de concesión, actualizados al tipo de interés contractual, si existiera, o, en caso contrario, aplicando la tasa de interés a la que la entidad deba liquidar los intereses por aplazamiento o demora en el pago).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Las diferencias entre el activo y el pasivo contabilizados se imputarán a la cuenta 120 “Resultados de ejercicios anteriores”. </w:t>
      </w:r>
    </w:p>
    <w:p w:rsidR="00301AEE" w:rsidRPr="002321D3" w:rsidRDefault="00301AEE" w:rsidP="000C1D21">
      <w:pPr>
        <w:spacing w:after="0" w:line="276" w:lineRule="auto"/>
        <w:ind w:left="360" w:right="0" w:firstLine="0"/>
        <w:jc w:val="left"/>
      </w:pPr>
      <w:r w:rsidRPr="002321D3">
        <w:t xml:space="preserve"> </w:t>
      </w:r>
    </w:p>
    <w:p w:rsidR="00301AEE" w:rsidRPr="002321D3" w:rsidRDefault="00301AEE" w:rsidP="000C1D21">
      <w:pPr>
        <w:spacing w:after="0" w:line="276" w:lineRule="auto"/>
        <w:ind w:left="-15" w:right="0" w:firstLine="15"/>
      </w:pPr>
      <w:r w:rsidRPr="002321D3">
        <w:t xml:space="preserve">En los contratos de concesión se recoge asimismo la dotación de mobiliario de los hospitales. En este sentido, tanto la dotación inicial como las reposiciones que hubieran tenido lugar se registrarán en los términos señalados anteriormente. </w:t>
      </w:r>
    </w:p>
    <w:p w:rsidR="000C1D21" w:rsidRPr="002321D3" w:rsidRDefault="000C1D21" w:rsidP="000C1D21">
      <w:pPr>
        <w:spacing w:after="0" w:line="276" w:lineRule="auto"/>
        <w:ind w:left="-5" w:right="0" w:hanging="10"/>
        <w:jc w:val="left"/>
        <w:rPr>
          <w:u w:val="single" w:color="000000"/>
        </w:rPr>
      </w:pPr>
    </w:p>
    <w:p w:rsidR="00301AEE" w:rsidRPr="002321D3" w:rsidRDefault="00301AEE" w:rsidP="000C1D21">
      <w:pPr>
        <w:spacing w:after="0" w:line="276" w:lineRule="auto"/>
        <w:ind w:left="-5" w:right="0" w:hanging="10"/>
        <w:jc w:val="left"/>
      </w:pPr>
      <w:r w:rsidRPr="002321D3">
        <w:rPr>
          <w:u w:val="single" w:color="000000"/>
        </w:rPr>
        <w:t>Las anotaciones contables a realizar son las siguientes.</w:t>
      </w:r>
      <w:r w:rsidRPr="002321D3">
        <w:t xml:space="preserve"> </w:t>
      </w:r>
    </w:p>
    <w:p w:rsidR="000C1D21" w:rsidRPr="002321D3" w:rsidRDefault="000C1D21" w:rsidP="000C1D21">
      <w:pPr>
        <w:spacing w:after="0" w:line="276" w:lineRule="auto"/>
        <w:ind w:left="-5" w:right="0" w:hanging="10"/>
        <w:jc w:val="left"/>
      </w:pPr>
    </w:p>
    <w:p w:rsidR="00301AEE" w:rsidRDefault="00301AEE" w:rsidP="00373D3D">
      <w:pPr>
        <w:numPr>
          <w:ilvl w:val="0"/>
          <w:numId w:val="2"/>
        </w:numPr>
        <w:spacing w:after="0" w:line="276" w:lineRule="auto"/>
        <w:ind w:right="0" w:hanging="348"/>
      </w:pPr>
      <w:r w:rsidRPr="002321D3">
        <w:t xml:space="preserve">Por el alta de la construcción en el supuesto de que pueda determinarse con fiabilidad el valor contable que habrían tenido dichos activos si se hubieran dado de alta en el momento que correspondía: </w:t>
      </w:r>
    </w:p>
    <w:p w:rsidR="00373D3D" w:rsidRPr="002321D3" w:rsidRDefault="00373D3D" w:rsidP="00373D3D">
      <w:pPr>
        <w:spacing w:after="0" w:line="276" w:lineRule="auto"/>
        <w:ind w:left="708" w:right="0" w:firstLine="0"/>
      </w:pPr>
    </w:p>
    <w:p w:rsidR="00301AEE" w:rsidRPr="002321D3" w:rsidRDefault="00301AEE" w:rsidP="00373D3D">
      <w:pPr>
        <w:spacing w:after="219" w:line="276" w:lineRule="auto"/>
        <w:ind w:left="720" w:right="0" w:firstLine="0"/>
        <w:jc w:val="left"/>
      </w:pPr>
      <w:r w:rsidRPr="002321D3">
        <w:t xml:space="preserve"> Construcciones afectas a concesión (211X) </w:t>
      </w:r>
    </w:p>
    <w:p w:rsidR="00301AEE" w:rsidRPr="002321D3" w:rsidRDefault="00301AEE" w:rsidP="00373D3D">
      <w:pPr>
        <w:spacing w:after="0" w:line="265" w:lineRule="auto"/>
        <w:ind w:left="266" w:right="312" w:hanging="10"/>
        <w:jc w:val="center"/>
      </w:pPr>
      <w:r w:rsidRPr="002321D3">
        <w:t xml:space="preserve">a  </w:t>
      </w:r>
    </w:p>
    <w:p w:rsidR="00301AEE" w:rsidRPr="002321D3" w:rsidRDefault="00301AEE" w:rsidP="00373D3D">
      <w:pPr>
        <w:spacing w:after="0" w:line="276" w:lineRule="auto"/>
        <w:ind w:left="4966" w:right="0" w:hanging="10"/>
      </w:pPr>
      <w:r w:rsidRPr="002321D3">
        <w:t xml:space="preserve">Proveedores de inmovilizado a largo plazo, construcciones afectas a concesión (173X) </w:t>
      </w:r>
    </w:p>
    <w:p w:rsidR="000C1D21" w:rsidRPr="002321D3" w:rsidRDefault="000C1D21" w:rsidP="000C1D21">
      <w:pPr>
        <w:spacing w:after="0" w:line="276" w:lineRule="auto"/>
        <w:ind w:left="4966" w:right="0" w:hanging="10"/>
      </w:pPr>
    </w:p>
    <w:p w:rsidR="00301AEE" w:rsidRPr="002321D3" w:rsidRDefault="00301AEE" w:rsidP="000C1D21">
      <w:pPr>
        <w:spacing w:after="0" w:line="276" w:lineRule="auto"/>
        <w:ind w:left="4956" w:right="0" w:firstLine="0"/>
      </w:pPr>
      <w:r w:rsidRPr="002321D3">
        <w:t xml:space="preserve">Proveedores de inmovilizado a corto plazo, construcciones afectas a concesión (523X) </w:t>
      </w:r>
    </w:p>
    <w:p w:rsidR="000C1D21" w:rsidRPr="002321D3" w:rsidRDefault="000C1D21" w:rsidP="000C1D21">
      <w:pPr>
        <w:spacing w:after="0" w:line="276" w:lineRule="auto"/>
        <w:ind w:left="4956" w:right="0" w:firstLine="0"/>
      </w:pPr>
    </w:p>
    <w:p w:rsidR="00301AEE" w:rsidRPr="002321D3" w:rsidRDefault="00301AEE" w:rsidP="000C1D21">
      <w:pPr>
        <w:spacing w:after="0" w:line="276" w:lineRule="auto"/>
        <w:ind w:left="4956" w:right="0" w:firstLine="0"/>
      </w:pPr>
      <w:r w:rsidRPr="002321D3">
        <w:t xml:space="preserve">Amortización Acumulada construcciones (2811) </w:t>
      </w:r>
    </w:p>
    <w:p w:rsidR="000C1D21" w:rsidRPr="002321D3" w:rsidRDefault="000C1D21" w:rsidP="000C1D21">
      <w:pPr>
        <w:spacing w:after="0" w:line="276" w:lineRule="auto"/>
        <w:ind w:left="4956" w:right="0" w:firstLine="0"/>
      </w:pPr>
    </w:p>
    <w:p w:rsidR="00301AEE" w:rsidRPr="002321D3" w:rsidRDefault="00301AEE" w:rsidP="000C1D21">
      <w:pPr>
        <w:spacing w:after="0" w:line="276" w:lineRule="auto"/>
        <w:ind w:left="4956" w:right="0" w:firstLine="0"/>
      </w:pPr>
      <w:r w:rsidRPr="002321D3">
        <w:lastRenderedPageBreak/>
        <w:t xml:space="preserve">Deterioro de valor de Construcciones (2911) </w:t>
      </w:r>
    </w:p>
    <w:p w:rsidR="000C1D21" w:rsidRPr="002321D3" w:rsidRDefault="000C1D21" w:rsidP="000C1D21">
      <w:pPr>
        <w:spacing w:after="0" w:line="276" w:lineRule="auto"/>
        <w:ind w:left="4956" w:right="0" w:firstLine="0"/>
      </w:pPr>
    </w:p>
    <w:p w:rsidR="000C1D21" w:rsidRPr="002321D3" w:rsidRDefault="00301AEE" w:rsidP="000C1D21">
      <w:pPr>
        <w:spacing w:after="0" w:line="276" w:lineRule="auto"/>
        <w:ind w:left="4956" w:right="0" w:firstLine="0"/>
      </w:pPr>
      <w:r w:rsidRPr="002321D3">
        <w:t>Resultados de ejercicios anteriores (120)</w:t>
      </w:r>
    </w:p>
    <w:p w:rsidR="00301AEE" w:rsidRPr="002321D3" w:rsidRDefault="00301AEE" w:rsidP="000C1D21">
      <w:pPr>
        <w:spacing w:after="0" w:line="276" w:lineRule="auto"/>
        <w:ind w:left="4956" w:right="0" w:firstLine="0"/>
      </w:pPr>
      <w:r w:rsidRPr="002321D3">
        <w:t xml:space="preserve"> </w:t>
      </w:r>
    </w:p>
    <w:p w:rsidR="00301AEE" w:rsidRPr="002321D3" w:rsidRDefault="00301AEE" w:rsidP="00373D3D">
      <w:pPr>
        <w:numPr>
          <w:ilvl w:val="0"/>
          <w:numId w:val="2"/>
        </w:numPr>
        <w:spacing w:after="0" w:line="276" w:lineRule="auto"/>
        <w:ind w:right="0" w:hanging="348"/>
      </w:pPr>
      <w:r w:rsidRPr="002321D3">
        <w:t xml:space="preserve">Por el alta de la construcción en el supuesto de que no pueda determinarse con fiabilidad el valor contable que habrían tenido dichos activos si se hubieran dado de alta en el momento que correspondía: </w:t>
      </w:r>
    </w:p>
    <w:p w:rsidR="00373D3D" w:rsidRDefault="00373D3D" w:rsidP="00373D3D">
      <w:pPr>
        <w:spacing w:after="116" w:line="276" w:lineRule="auto"/>
        <w:ind w:left="708" w:right="0" w:firstLine="0"/>
        <w:jc w:val="left"/>
      </w:pPr>
    </w:p>
    <w:p w:rsidR="00301AEE" w:rsidRPr="002321D3" w:rsidRDefault="00301AEE" w:rsidP="00373D3D">
      <w:pPr>
        <w:spacing w:after="116" w:line="276" w:lineRule="auto"/>
        <w:ind w:left="720" w:right="0" w:firstLine="0"/>
        <w:jc w:val="left"/>
      </w:pPr>
      <w:r w:rsidRPr="002321D3">
        <w:t xml:space="preserve">Construcciones afectas a concesión (211X) </w:t>
      </w:r>
    </w:p>
    <w:p w:rsidR="00301AEE" w:rsidRPr="002321D3" w:rsidRDefault="00301AEE" w:rsidP="00373D3D">
      <w:pPr>
        <w:spacing w:after="0" w:line="259" w:lineRule="auto"/>
        <w:ind w:left="10" w:right="45" w:hanging="10"/>
        <w:jc w:val="center"/>
      </w:pPr>
      <w:r w:rsidRPr="002321D3">
        <w:t xml:space="preserve">a  </w:t>
      </w:r>
    </w:p>
    <w:p w:rsidR="00301AEE" w:rsidRPr="002321D3" w:rsidRDefault="00301AEE" w:rsidP="00373D3D">
      <w:pPr>
        <w:spacing w:after="0" w:line="259" w:lineRule="auto"/>
        <w:ind w:right="112" w:firstLine="0"/>
        <w:jc w:val="center"/>
      </w:pPr>
      <w:r w:rsidRPr="002321D3">
        <w:t xml:space="preserve"> </w:t>
      </w:r>
    </w:p>
    <w:p w:rsidR="000C1D21" w:rsidRPr="002321D3" w:rsidRDefault="00301AEE" w:rsidP="00373D3D">
      <w:pPr>
        <w:spacing w:after="0" w:line="276" w:lineRule="auto"/>
        <w:ind w:left="4951" w:right="0" w:hanging="10"/>
        <w:jc w:val="left"/>
      </w:pPr>
      <w:r w:rsidRPr="002321D3">
        <w:t xml:space="preserve">Proveedores de inmovilizado a largo plazo construcciones afectas a concesión (173X) </w:t>
      </w:r>
    </w:p>
    <w:p w:rsidR="000C1D21" w:rsidRPr="002321D3" w:rsidRDefault="000C1D21" w:rsidP="000C1D21">
      <w:pPr>
        <w:spacing w:after="0" w:line="276" w:lineRule="auto"/>
        <w:ind w:left="4951" w:right="0" w:hanging="10"/>
        <w:jc w:val="left"/>
      </w:pPr>
    </w:p>
    <w:p w:rsidR="00301AEE" w:rsidRPr="002321D3" w:rsidRDefault="00301AEE" w:rsidP="000C1D21">
      <w:pPr>
        <w:spacing w:after="0" w:line="276" w:lineRule="auto"/>
        <w:ind w:left="4951" w:right="0" w:hanging="10"/>
        <w:jc w:val="left"/>
      </w:pPr>
      <w:r w:rsidRPr="002321D3">
        <w:t xml:space="preserve">Proveedores de inmovilizado a corto plazo construcciones afectas a concesión (523X) </w:t>
      </w:r>
    </w:p>
    <w:p w:rsidR="000C1D21" w:rsidRPr="002321D3" w:rsidRDefault="000C1D21" w:rsidP="000C1D21">
      <w:pPr>
        <w:spacing w:after="0" w:line="276" w:lineRule="auto"/>
        <w:ind w:left="4956" w:right="439" w:firstLine="0"/>
      </w:pPr>
    </w:p>
    <w:p w:rsidR="00301AEE" w:rsidRPr="002321D3" w:rsidRDefault="00301AEE" w:rsidP="00373D3D">
      <w:pPr>
        <w:spacing w:after="0" w:line="276" w:lineRule="auto"/>
        <w:ind w:left="4956" w:right="439" w:firstLine="0"/>
      </w:pPr>
      <w:r w:rsidRPr="002321D3">
        <w:t xml:space="preserve">Resultados de ejercicios anteriores (120) </w:t>
      </w:r>
    </w:p>
    <w:p w:rsidR="00301AEE" w:rsidRPr="002321D3" w:rsidRDefault="00301AEE" w:rsidP="00373D3D">
      <w:pPr>
        <w:spacing w:after="133" w:line="276" w:lineRule="auto"/>
        <w:ind w:left="720" w:right="0" w:firstLine="0"/>
        <w:jc w:val="left"/>
      </w:pPr>
      <w:r w:rsidRPr="002321D3">
        <w:t xml:space="preserve"> </w:t>
      </w:r>
    </w:p>
    <w:p w:rsidR="00301AEE" w:rsidRPr="002321D3" w:rsidRDefault="00301AEE" w:rsidP="00373D3D">
      <w:pPr>
        <w:numPr>
          <w:ilvl w:val="0"/>
          <w:numId w:val="2"/>
        </w:numPr>
        <w:spacing w:after="0" w:line="276" w:lineRule="auto"/>
        <w:ind w:right="0" w:hanging="348"/>
      </w:pPr>
      <w:r w:rsidRPr="002321D3">
        <w:t xml:space="preserve">Tratándose del mobiliario, el registro es análogo al de las construcciones, utilizándose a tal efecto las cuentas Mobiliario afecto a concesión (216X), Proveedores de inmovilizado a largo plazo, mobiliario afecto a concesión (173X), y Proveedores de inmovilizado a corto plazo, mobiliario afecto a concesión (523X). </w:t>
      </w:r>
    </w:p>
    <w:p w:rsidR="00301AEE" w:rsidRPr="002321D3" w:rsidRDefault="00301AEE" w:rsidP="00301AEE">
      <w:pPr>
        <w:spacing w:after="117" w:line="259" w:lineRule="auto"/>
        <w:ind w:left="720" w:right="0" w:firstLine="0"/>
        <w:jc w:val="left"/>
      </w:pPr>
      <w:r w:rsidRPr="002321D3">
        <w:t xml:space="preserve"> </w:t>
      </w:r>
    </w:p>
    <w:p w:rsidR="00301AEE" w:rsidRPr="002321D3" w:rsidRDefault="00301AEE" w:rsidP="000C1D21">
      <w:pPr>
        <w:keepNext/>
        <w:keepLines/>
        <w:spacing w:after="0" w:line="276" w:lineRule="auto"/>
        <w:ind w:left="345" w:right="0" w:hanging="360"/>
        <w:jc w:val="left"/>
        <w:outlineLvl w:val="0"/>
        <w:rPr>
          <w:b/>
          <w:u w:val="single" w:color="000000"/>
        </w:rPr>
      </w:pPr>
      <w:r w:rsidRPr="002321D3">
        <w:rPr>
          <w:b/>
          <w:u w:val="single" w:color="000000"/>
        </w:rPr>
        <w:t>Modelo de concesión de un derecho de uso a la entidad concesionaria</w:t>
      </w:r>
      <w:r w:rsidRPr="002321D3">
        <w:rPr>
          <w:b/>
          <w:u w:color="000000"/>
        </w:rPr>
        <w:t xml:space="preserve">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El ente concedente no tiene una obligación incondicional de pagar efectivo u otro activo financiero a la entidad concesionaria por la construcción, adquisición o mejora de un activo de concesión, y concede a la entidad concesionaria el derecho a obtener ingresos por el uso de terceros. La concedente contabilizará el activo por el valor razonable, y utilizará como contrapartida de los activos de concesión proporcionados por la concesionaria una cuenta de pasivo representativa de la parte de ingresos no devengados que surgen de la transacción, que se irán devengado durante el período de la concesión de acuerdo a lo previsto en la norma de reconocimiento y valoración 15ª, “Ingresos con contraprestación”, del PGCP de la Comunidad de Madrid.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Los ingresos no devengados se minorarán en el importe del canon (o retribución por concepto análogo) por explotación de los activos de concesión no devengado que tenga que satisfacer la concesionaria a la concedente. </w:t>
      </w:r>
    </w:p>
    <w:p w:rsidR="000C1D21" w:rsidRPr="002321D3" w:rsidRDefault="000C1D21" w:rsidP="000C1D21">
      <w:pPr>
        <w:spacing w:after="0" w:line="276" w:lineRule="auto"/>
        <w:ind w:left="-5" w:right="0" w:hanging="10"/>
        <w:jc w:val="left"/>
        <w:rPr>
          <w:u w:val="single" w:color="000000"/>
        </w:rPr>
      </w:pPr>
    </w:p>
    <w:p w:rsidR="00301AEE" w:rsidRPr="002321D3" w:rsidRDefault="00301AEE" w:rsidP="000C1D21">
      <w:pPr>
        <w:spacing w:after="0" w:line="276" w:lineRule="auto"/>
        <w:ind w:left="-5" w:right="0" w:hanging="10"/>
        <w:jc w:val="left"/>
      </w:pPr>
      <w:r w:rsidRPr="002321D3">
        <w:rPr>
          <w:u w:val="single" w:color="000000"/>
        </w:rPr>
        <w:t>Las anotaciones contables a realizar son las siguientes.</w:t>
      </w:r>
      <w:r w:rsidRPr="002321D3">
        <w:t xml:space="preserve"> </w:t>
      </w:r>
    </w:p>
    <w:p w:rsidR="000C1D21" w:rsidRPr="002321D3" w:rsidRDefault="000C1D21" w:rsidP="000C1D21">
      <w:pPr>
        <w:spacing w:after="0" w:line="276" w:lineRule="auto"/>
        <w:ind w:left="730" w:right="439" w:hanging="10"/>
      </w:pPr>
    </w:p>
    <w:p w:rsidR="00301AEE" w:rsidRPr="002321D3" w:rsidRDefault="00301AEE" w:rsidP="000C1D21">
      <w:pPr>
        <w:spacing w:after="0" w:line="276" w:lineRule="auto"/>
        <w:ind w:left="730" w:right="439" w:hanging="10"/>
      </w:pPr>
      <w:r w:rsidRPr="002321D3">
        <w:t xml:space="preserve">Construcciones afectas a concesión (211X) </w:t>
      </w:r>
    </w:p>
    <w:p w:rsidR="00301AEE" w:rsidRPr="002321D3" w:rsidRDefault="00301AEE" w:rsidP="000C1D21">
      <w:pPr>
        <w:spacing w:after="0" w:line="276" w:lineRule="auto"/>
        <w:ind w:left="10" w:right="45" w:hanging="10"/>
        <w:jc w:val="center"/>
      </w:pPr>
      <w:r w:rsidRPr="002321D3">
        <w:t xml:space="preserve">a  </w:t>
      </w:r>
    </w:p>
    <w:p w:rsidR="00301AEE" w:rsidRPr="002321D3" w:rsidRDefault="00301AEE" w:rsidP="00373D3D">
      <w:pPr>
        <w:spacing w:after="0" w:line="276" w:lineRule="auto"/>
        <w:ind w:right="112" w:firstLine="0"/>
        <w:jc w:val="center"/>
      </w:pPr>
      <w:r w:rsidRPr="002321D3">
        <w:t xml:space="preserve"> </w:t>
      </w:r>
      <w:r w:rsidR="00373D3D">
        <w:tab/>
      </w:r>
      <w:r w:rsidR="00373D3D">
        <w:tab/>
      </w:r>
      <w:r w:rsidR="00373D3D">
        <w:tab/>
      </w:r>
      <w:r w:rsidR="00373D3D">
        <w:tab/>
      </w:r>
      <w:r w:rsidR="00373D3D">
        <w:tab/>
      </w:r>
      <w:r w:rsidR="00373D3D">
        <w:tab/>
        <w:t xml:space="preserve">   </w:t>
      </w:r>
      <w:bookmarkStart w:id="0" w:name="_GoBack"/>
      <w:bookmarkEnd w:id="0"/>
      <w:r w:rsidRPr="002321D3">
        <w:t xml:space="preserve">Ingresos anticipados a largo plazo (18X) * </w:t>
      </w:r>
    </w:p>
    <w:p w:rsidR="000C1D21" w:rsidRPr="002321D3" w:rsidRDefault="000C1D21" w:rsidP="000C1D21">
      <w:pPr>
        <w:spacing w:after="0" w:line="276" w:lineRule="auto"/>
        <w:ind w:left="4966" w:right="0" w:hanging="10"/>
      </w:pPr>
    </w:p>
    <w:p w:rsidR="00301AEE" w:rsidRPr="002321D3" w:rsidRDefault="00301AEE" w:rsidP="00373D3D">
      <w:pPr>
        <w:spacing w:after="0" w:line="276" w:lineRule="auto"/>
        <w:ind w:left="4248" w:right="0" w:firstLine="708"/>
      </w:pPr>
      <w:r w:rsidRPr="002321D3">
        <w:t xml:space="preserve">Ingresos anticipados (485) </w:t>
      </w:r>
    </w:p>
    <w:p w:rsidR="00301AEE" w:rsidRPr="002321D3" w:rsidRDefault="00301AEE" w:rsidP="00301AEE">
      <w:pPr>
        <w:spacing w:after="0" w:line="259" w:lineRule="auto"/>
        <w:ind w:right="112" w:firstLine="0"/>
        <w:jc w:val="center"/>
      </w:pPr>
      <w:r w:rsidRPr="002321D3">
        <w:lastRenderedPageBreak/>
        <w:t xml:space="preserve"> </w:t>
      </w:r>
    </w:p>
    <w:p w:rsidR="00301AEE" w:rsidRPr="002321D3" w:rsidRDefault="00301AEE" w:rsidP="001F62F1">
      <w:pPr>
        <w:spacing w:after="346" w:line="259" w:lineRule="auto"/>
        <w:ind w:left="720" w:right="0" w:firstLine="0"/>
      </w:pPr>
      <w:r w:rsidRPr="002321D3">
        <w:t xml:space="preserve">* Cuenta a crear en el PGCP de la Comunidad de Madrid </w:t>
      </w:r>
    </w:p>
    <w:p w:rsidR="00301AEE" w:rsidRPr="002321D3" w:rsidRDefault="00301AEE" w:rsidP="000C1D21">
      <w:pPr>
        <w:spacing w:after="0" w:line="276" w:lineRule="auto"/>
        <w:ind w:left="-15" w:right="0" w:firstLine="15"/>
      </w:pPr>
      <w:r w:rsidRPr="002321D3">
        <w:t xml:space="preserve">En el ejercicio en que se produzca el devengo del ingreso, la cuenta 485 se cargará con abono a la cuenta del grupo 7, “Ventas e ingresos por naturaleza”, que corresponda en función de la naturaleza del ingreso. </w:t>
      </w:r>
    </w:p>
    <w:p w:rsidR="000C1D21" w:rsidRPr="002321D3" w:rsidRDefault="000C1D21" w:rsidP="000C1D21">
      <w:pPr>
        <w:keepNext/>
        <w:keepLines/>
        <w:spacing w:after="0" w:line="276" w:lineRule="auto"/>
        <w:ind w:left="345" w:right="0" w:hanging="360"/>
        <w:jc w:val="left"/>
        <w:outlineLvl w:val="0"/>
        <w:rPr>
          <w:b/>
          <w:u w:val="single" w:color="000000"/>
        </w:rPr>
      </w:pPr>
    </w:p>
    <w:p w:rsidR="00301AEE" w:rsidRPr="002321D3" w:rsidRDefault="00301AEE" w:rsidP="000C1D21">
      <w:pPr>
        <w:keepNext/>
        <w:keepLines/>
        <w:spacing w:after="0" w:line="276" w:lineRule="auto"/>
        <w:ind w:left="345" w:right="0" w:hanging="360"/>
        <w:jc w:val="left"/>
        <w:outlineLvl w:val="0"/>
        <w:rPr>
          <w:b/>
          <w:u w:val="single" w:color="000000"/>
        </w:rPr>
      </w:pPr>
      <w:r w:rsidRPr="002321D3">
        <w:rPr>
          <w:b/>
          <w:u w:val="single" w:color="000000"/>
        </w:rPr>
        <w:t>Modelo mixto</w:t>
      </w:r>
      <w:r w:rsidRPr="002321D3">
        <w:rPr>
          <w:b/>
          <w:u w:color="000000"/>
        </w:rPr>
        <w:t xml:space="preserve">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Si como consecuencia de la contraprestación a realizar, la entidad concedente incurre en parte en un pasivo financiero y en parte en la concesión de un derecho a la entidad concesionaria a la explotación de los activos objeto de concesión, se contabilizará de forma separada cada parte del pasivo total reconocido por la operación, cada una de acuerdo con los apartados 1) y 2) anteriores.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No obstante, es admisible aplicar exclusivamente uno u otro modelo cuando la importancia relativa en términos cuantitativos o cualitativos de la variación constatada sea escasamente significativa y no altere, por tanto, la imagen fiel de la situación patrimonial y de los resultados del </w:t>
      </w:r>
    </w:p>
    <w:p w:rsidR="00301AEE" w:rsidRPr="002321D3" w:rsidRDefault="00301AEE" w:rsidP="000C1D21">
      <w:pPr>
        <w:spacing w:after="0" w:line="276" w:lineRule="auto"/>
        <w:ind w:left="-15" w:right="439" w:firstLine="0"/>
      </w:pPr>
      <w:r w:rsidRPr="002321D3">
        <w:t xml:space="preserve">SERMAS.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En este sentido, dada la ausencia de normativa de contabilidad pública que profundice en la posible casuística de porcentajes que supone cada parte sobre el total, hacemos referencia a la Orden EHA/3362/2010, de 23 de diciembre, por la que se aprueban las normas de adaptación del Plan General de Contabilidad a las empresas concesionarias de infraestructuras públicas que señala en su Norma segunda 1.2.d) “si la contraprestación recibida consiste parte en un activo financiero y parte en un inmovilizado intangible, la empresa concesionaria registrará dicha contraprestación en términos de proporción de acuerdo con lo previsto en las letras b) y c) anteriores. No obstante, en aquellos casos en que el componente del activo financiero o del inmovilizado intangible suponga, al menos un 90% de la contraprestación recibida, la empresa concesionaria podrá reconocer la totalidad de la contraprestación como un activo financiero o un inmovilizado intangible, respectivamente”. </w:t>
      </w:r>
    </w:p>
    <w:p w:rsidR="001F7D72" w:rsidRPr="002321D3" w:rsidRDefault="001F7D72" w:rsidP="000C1D21">
      <w:pPr>
        <w:spacing w:after="0" w:line="276" w:lineRule="auto"/>
        <w:ind w:left="-15" w:right="0" w:firstLine="15"/>
      </w:pPr>
    </w:p>
    <w:p w:rsidR="00301AEE" w:rsidRPr="002321D3" w:rsidRDefault="00301AEE" w:rsidP="000C1D21">
      <w:pPr>
        <w:keepNext/>
        <w:keepLines/>
        <w:spacing w:after="0" w:line="276" w:lineRule="auto"/>
        <w:ind w:left="-5" w:right="0" w:hanging="10"/>
        <w:jc w:val="left"/>
        <w:outlineLvl w:val="1"/>
        <w:rPr>
          <w:b/>
          <w:u w:val="single" w:color="000000"/>
        </w:rPr>
      </w:pPr>
      <w:r w:rsidRPr="002321D3">
        <w:rPr>
          <w:b/>
          <w:u w:val="single" w:color="000000"/>
        </w:rPr>
        <w:t>Terrenos</w:t>
      </w:r>
      <w:r w:rsidRPr="002321D3">
        <w:rPr>
          <w:b/>
          <w:u w:color="000000"/>
        </w:rPr>
        <w:t xml:space="preserve">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Los terrenos en los que se asientan las construcciones fueron objeto de cesión gratuita indefinida por los ayuntamientos en cuyo término municipal se encuentran. Estos terrenos fueron valorados al incorporarse al correspondiente registro de la Dirección General de Patrimonio, por lo que únicamente será necesario realizar su registro contable por parte del SERMAS de la forma siguiente: </w:t>
      </w:r>
    </w:p>
    <w:p w:rsidR="000C1D21" w:rsidRPr="002321D3" w:rsidRDefault="000C1D21" w:rsidP="000C1D21">
      <w:pPr>
        <w:spacing w:after="0" w:line="276" w:lineRule="auto"/>
        <w:ind w:left="708" w:right="439" w:firstLine="0"/>
      </w:pPr>
    </w:p>
    <w:p w:rsidR="00301AEE" w:rsidRPr="002321D3" w:rsidRDefault="00301AEE" w:rsidP="000C1D21">
      <w:pPr>
        <w:spacing w:after="0" w:line="276" w:lineRule="auto"/>
        <w:ind w:left="708" w:right="439" w:firstLine="0"/>
      </w:pPr>
      <w:r w:rsidRPr="002321D3">
        <w:t xml:space="preserve">Terrenos afectos a concesión (210X)  </w:t>
      </w:r>
    </w:p>
    <w:p w:rsidR="00301AEE" w:rsidRPr="002321D3" w:rsidRDefault="00301AEE" w:rsidP="00301AEE">
      <w:pPr>
        <w:spacing w:after="341" w:line="265" w:lineRule="auto"/>
        <w:ind w:left="266" w:right="0" w:hanging="10"/>
        <w:jc w:val="center"/>
      </w:pPr>
      <w:r w:rsidRPr="002321D3">
        <w:t xml:space="preserve">a </w:t>
      </w:r>
    </w:p>
    <w:p w:rsidR="00301AEE" w:rsidRPr="002321D3" w:rsidRDefault="00301AEE" w:rsidP="001F7D72">
      <w:pPr>
        <w:spacing w:after="349" w:line="259" w:lineRule="auto"/>
        <w:ind w:left="708" w:right="0" w:firstLine="0"/>
      </w:pPr>
      <w:r w:rsidRPr="002321D3">
        <w:t xml:space="preserve">                                                      Aportación de bienes y derechos (1001) </w:t>
      </w:r>
      <w:r w:rsidRPr="002321D3">
        <w:rPr>
          <w:b/>
        </w:rPr>
        <w:t xml:space="preserve"> </w:t>
      </w:r>
    </w:p>
    <w:p w:rsidR="00301AEE" w:rsidRPr="002321D3" w:rsidRDefault="00301AEE" w:rsidP="000C1D21">
      <w:pPr>
        <w:keepNext/>
        <w:keepLines/>
        <w:spacing w:after="0" w:line="276" w:lineRule="auto"/>
        <w:ind w:left="-5" w:right="0" w:hanging="10"/>
        <w:jc w:val="left"/>
        <w:outlineLvl w:val="1"/>
        <w:rPr>
          <w:b/>
          <w:u w:val="single" w:color="000000"/>
        </w:rPr>
      </w:pPr>
      <w:r w:rsidRPr="002321D3">
        <w:rPr>
          <w:b/>
          <w:u w:val="single" w:color="000000"/>
        </w:rPr>
        <w:t>Aspectos presupuestarios</w:t>
      </w:r>
      <w:r w:rsidRPr="002321D3">
        <w:rPr>
          <w:b/>
          <w:u w:color="000000"/>
        </w:rPr>
        <w:t xml:space="preserve">  </w:t>
      </w:r>
    </w:p>
    <w:p w:rsidR="000C1D21" w:rsidRPr="002321D3" w:rsidRDefault="000C1D21" w:rsidP="000C1D21">
      <w:pPr>
        <w:spacing w:after="0" w:line="276" w:lineRule="auto"/>
        <w:ind w:left="-15" w:right="0" w:firstLine="15"/>
      </w:pPr>
    </w:p>
    <w:p w:rsidR="00301AEE" w:rsidRPr="002321D3" w:rsidRDefault="00301AEE" w:rsidP="000C1D21">
      <w:pPr>
        <w:spacing w:after="0" w:line="276" w:lineRule="auto"/>
        <w:ind w:left="-15" w:right="0" w:firstLine="15"/>
      </w:pPr>
      <w:r w:rsidRPr="002321D3">
        <w:t xml:space="preserve">El pasivo o pasivos relacionados, según el modelo del pasivo financiero actualizados al tipo de interés contractual, si existiera, o, en caso contrario, aplicando la tasa de interés a la que la entidad </w:t>
      </w:r>
      <w:r w:rsidRPr="002321D3">
        <w:lastRenderedPageBreak/>
        <w:t xml:space="preserve">deba liquidar los intereses por aplazamiento o demora en el pago, supone que a medida que se van devengando los intereses y realizando el reconocimiento de la obligación y propuesta de pago a los concesionarios se realizan las siguientes anotaciones contables: </w:t>
      </w:r>
    </w:p>
    <w:p w:rsidR="00301AEE" w:rsidRPr="002321D3" w:rsidRDefault="00301AEE" w:rsidP="000C1D21">
      <w:pPr>
        <w:spacing w:after="0" w:line="276" w:lineRule="auto"/>
        <w:ind w:left="360" w:right="0" w:firstLine="0"/>
        <w:jc w:val="left"/>
      </w:pPr>
      <w:r w:rsidRPr="002321D3">
        <w:t xml:space="preserve"> </w:t>
      </w:r>
    </w:p>
    <w:p w:rsidR="00301AEE" w:rsidRPr="002321D3" w:rsidRDefault="00301AEE" w:rsidP="000C1D21">
      <w:pPr>
        <w:numPr>
          <w:ilvl w:val="0"/>
          <w:numId w:val="3"/>
        </w:numPr>
        <w:spacing w:after="0" w:line="276" w:lineRule="auto"/>
        <w:ind w:right="0" w:hanging="360"/>
        <w:jc w:val="left"/>
      </w:pPr>
      <w:r w:rsidRPr="002321D3">
        <w:rPr>
          <w:u w:val="single" w:color="000000"/>
        </w:rPr>
        <w:t>Devengo de intereses:</w:t>
      </w:r>
      <w:r w:rsidRPr="002321D3">
        <w:t xml:space="preserve"> </w:t>
      </w:r>
    </w:p>
    <w:p w:rsidR="00301AEE" w:rsidRPr="002321D3" w:rsidRDefault="00301AEE" w:rsidP="000C1D21">
      <w:pPr>
        <w:spacing w:after="0" w:line="276" w:lineRule="auto"/>
        <w:ind w:left="360" w:right="0" w:firstLine="0"/>
        <w:jc w:val="left"/>
      </w:pPr>
      <w:r w:rsidRPr="002321D3">
        <w:t xml:space="preserve"> </w:t>
      </w:r>
    </w:p>
    <w:p w:rsidR="00301AEE" w:rsidRPr="002321D3" w:rsidRDefault="00301AEE" w:rsidP="000C1D21">
      <w:pPr>
        <w:spacing w:after="0" w:line="276" w:lineRule="auto"/>
        <w:ind w:left="-5" w:right="439" w:hanging="10"/>
      </w:pPr>
      <w:r w:rsidRPr="002321D3">
        <w:t xml:space="preserve">Intereses de deudas por activos afectos a concesión (662X) </w:t>
      </w:r>
    </w:p>
    <w:p w:rsidR="00301AEE" w:rsidRPr="002321D3" w:rsidRDefault="00301AEE" w:rsidP="00301AEE">
      <w:pPr>
        <w:spacing w:after="137" w:line="259" w:lineRule="auto"/>
        <w:ind w:right="0" w:firstLine="0"/>
        <w:jc w:val="left"/>
      </w:pPr>
      <w:r w:rsidRPr="002321D3">
        <w:t xml:space="preserve"> </w:t>
      </w:r>
    </w:p>
    <w:p w:rsidR="00301AEE" w:rsidRPr="002321D3" w:rsidRDefault="00301AEE" w:rsidP="000C1D21">
      <w:pPr>
        <w:tabs>
          <w:tab w:val="center" w:pos="646"/>
          <w:tab w:val="center" w:pos="5023"/>
          <w:tab w:val="center" w:pos="5664"/>
          <w:tab w:val="center" w:pos="6372"/>
          <w:tab w:val="center" w:pos="7960"/>
        </w:tabs>
        <w:spacing w:after="0" w:line="276" w:lineRule="auto"/>
        <w:ind w:right="0" w:firstLine="0"/>
        <w:jc w:val="left"/>
      </w:pPr>
      <w:r w:rsidRPr="002321D3">
        <w:rPr>
          <w:rFonts w:eastAsia="Calibri"/>
        </w:rPr>
        <w:tab/>
      </w:r>
      <w:r w:rsidRPr="002321D3">
        <w:t xml:space="preserve"> </w:t>
      </w:r>
      <w:r w:rsidRPr="002321D3">
        <w:tab/>
        <w:t xml:space="preserve">a </w:t>
      </w:r>
      <w:r w:rsidRPr="002321D3">
        <w:tab/>
        <w:t xml:space="preserve"> </w:t>
      </w:r>
      <w:r w:rsidRPr="002321D3">
        <w:tab/>
        <w:t xml:space="preserve"> </w:t>
      </w:r>
      <w:r w:rsidRPr="002321D3">
        <w:tab/>
        <w:t xml:space="preserve"> Proveedores de </w:t>
      </w:r>
    </w:p>
    <w:p w:rsidR="00301AEE" w:rsidRPr="002321D3" w:rsidRDefault="00301AEE" w:rsidP="000C1D21">
      <w:pPr>
        <w:spacing w:after="0" w:line="276" w:lineRule="auto"/>
        <w:ind w:left="4966" w:right="0" w:hanging="10"/>
      </w:pPr>
      <w:r w:rsidRPr="002321D3">
        <w:t xml:space="preserve">inmovilizado a corto plazo construcciones afectas a concesión (523X) </w:t>
      </w:r>
    </w:p>
    <w:p w:rsidR="00301AEE" w:rsidRPr="002321D3" w:rsidRDefault="00301AEE" w:rsidP="000C1D21">
      <w:pPr>
        <w:spacing w:after="0" w:line="276" w:lineRule="auto"/>
        <w:ind w:left="646" w:right="0" w:firstLine="0"/>
        <w:jc w:val="left"/>
      </w:pPr>
      <w:r w:rsidRPr="002321D3">
        <w:t xml:space="preserve"> </w:t>
      </w:r>
    </w:p>
    <w:p w:rsidR="00301AEE" w:rsidRPr="002321D3" w:rsidRDefault="00301AEE" w:rsidP="000C1D21">
      <w:pPr>
        <w:spacing w:after="0" w:line="276" w:lineRule="auto"/>
        <w:ind w:left="4966" w:right="0" w:hanging="10"/>
      </w:pPr>
      <w:r w:rsidRPr="002321D3">
        <w:t xml:space="preserve">Proveedores de inmovilizado a corto plazo, mobiliario afecto a concesión (523X). </w:t>
      </w:r>
    </w:p>
    <w:p w:rsidR="00301AEE" w:rsidRPr="002321D3" w:rsidRDefault="00301AEE" w:rsidP="000C1D21">
      <w:pPr>
        <w:spacing w:after="0" w:line="276" w:lineRule="auto"/>
        <w:ind w:left="1304" w:right="0" w:firstLine="0"/>
        <w:jc w:val="center"/>
      </w:pPr>
      <w:r w:rsidRPr="002321D3">
        <w:t xml:space="preserve"> </w:t>
      </w:r>
    </w:p>
    <w:p w:rsidR="00301AEE" w:rsidRPr="002321D3" w:rsidRDefault="00301AEE" w:rsidP="000C1D21">
      <w:pPr>
        <w:numPr>
          <w:ilvl w:val="0"/>
          <w:numId w:val="3"/>
        </w:numPr>
        <w:spacing w:after="0" w:line="276" w:lineRule="auto"/>
        <w:ind w:right="0" w:hanging="360"/>
        <w:jc w:val="left"/>
      </w:pPr>
      <w:r w:rsidRPr="002321D3">
        <w:rPr>
          <w:u w:val="single" w:color="000000"/>
        </w:rPr>
        <w:t>Reconocimiento de obligación y propuesta de pago</w:t>
      </w:r>
      <w:r w:rsidRPr="002321D3">
        <w:t xml:space="preserve"> </w:t>
      </w:r>
    </w:p>
    <w:p w:rsidR="000C1D21" w:rsidRPr="002321D3" w:rsidRDefault="000C1D21" w:rsidP="000C1D21">
      <w:pPr>
        <w:spacing w:after="0" w:line="276" w:lineRule="auto"/>
        <w:ind w:left="-5" w:right="0" w:hanging="10"/>
      </w:pPr>
    </w:p>
    <w:p w:rsidR="00301AEE" w:rsidRPr="002321D3" w:rsidRDefault="00301AEE" w:rsidP="000C1D21">
      <w:pPr>
        <w:spacing w:after="0" w:line="276" w:lineRule="auto"/>
        <w:ind w:left="-5" w:right="0" w:hanging="10"/>
      </w:pPr>
      <w:r w:rsidRPr="002321D3">
        <w:t xml:space="preserve">Proveedores de inmovilizado a corto plazo construcciones afectas a concesión (523X) Proveedores de inmovilizado a corto plazo, mobiliario afecto a concesión (523X). </w:t>
      </w:r>
    </w:p>
    <w:p w:rsidR="00301AEE" w:rsidRPr="002321D3" w:rsidRDefault="00301AEE" w:rsidP="000C1D21">
      <w:pPr>
        <w:spacing w:after="0" w:line="276" w:lineRule="auto"/>
        <w:ind w:right="0" w:firstLine="0"/>
        <w:jc w:val="left"/>
      </w:pPr>
      <w:r w:rsidRPr="002321D3">
        <w:t xml:space="preserve"> </w:t>
      </w:r>
    </w:p>
    <w:p w:rsidR="00301AEE" w:rsidRPr="002321D3" w:rsidRDefault="00301AEE" w:rsidP="001F7D72">
      <w:pPr>
        <w:spacing w:after="0" w:line="276" w:lineRule="auto"/>
        <w:ind w:left="1381" w:right="0" w:hanging="10"/>
        <w:jc w:val="center"/>
      </w:pPr>
      <w:r w:rsidRPr="002321D3">
        <w:t xml:space="preserve">a </w:t>
      </w:r>
    </w:p>
    <w:p w:rsidR="00301AEE" w:rsidRPr="002321D3" w:rsidRDefault="00301AEE" w:rsidP="000C1D21">
      <w:pPr>
        <w:spacing w:after="0" w:line="276" w:lineRule="auto"/>
        <w:ind w:left="5674" w:right="0" w:hanging="10"/>
        <w:jc w:val="left"/>
      </w:pPr>
      <w:r w:rsidRPr="002321D3">
        <w:t xml:space="preserve">(400) Acreedores por obligaciones reconocidas. Presupuestos de gastos corrientes </w:t>
      </w:r>
    </w:p>
    <w:p w:rsidR="00301AEE" w:rsidRPr="002321D3" w:rsidRDefault="00301AEE" w:rsidP="00301AEE">
      <w:pPr>
        <w:spacing w:after="116" w:line="259" w:lineRule="auto"/>
        <w:ind w:right="0" w:firstLine="0"/>
        <w:jc w:val="left"/>
      </w:pPr>
      <w:r w:rsidRPr="002321D3">
        <w:t xml:space="preserve"> </w:t>
      </w:r>
    </w:p>
    <w:p w:rsidR="002B532A" w:rsidRPr="002321D3" w:rsidRDefault="00301AEE" w:rsidP="000C1D21">
      <w:pPr>
        <w:spacing w:after="0" w:line="276" w:lineRule="auto"/>
        <w:ind w:right="0" w:firstLine="0"/>
      </w:pPr>
      <w:r w:rsidRPr="002321D3">
        <w:t>Desde un punto de vista del presupuesto de gastos supone la imputación de las cuotas mensuales al capítulo 6 “Inversiones reales” por el importe del principal y al capítulo “Gastos financieros” por la cuantía de la carga financiera. Será, por tanto, necesario tener suficiente y adecuadamente presupuestados los importes mensuales a satisfacer.</w:t>
      </w:r>
    </w:p>
    <w:sectPr w:rsidR="002B532A" w:rsidRPr="002321D3" w:rsidSect="00301AEE">
      <w:footerReference w:type="default" r:id="rId10"/>
      <w:pgSz w:w="11906" w:h="16838"/>
      <w:pgMar w:top="1418" w:right="84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300" w:rsidRDefault="003A7300" w:rsidP="001F7D72">
      <w:pPr>
        <w:spacing w:after="0" w:line="240" w:lineRule="auto"/>
      </w:pPr>
      <w:r>
        <w:separator/>
      </w:r>
    </w:p>
  </w:endnote>
  <w:endnote w:type="continuationSeparator" w:id="0">
    <w:p w:rsidR="003A7300" w:rsidRDefault="003A7300" w:rsidP="001F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51900"/>
      <w:docPartObj>
        <w:docPartGallery w:val="Page Numbers (Bottom of Page)"/>
        <w:docPartUnique/>
      </w:docPartObj>
    </w:sdtPr>
    <w:sdtEndPr>
      <w:rPr>
        <w:sz w:val="18"/>
        <w:szCs w:val="18"/>
      </w:rPr>
    </w:sdtEndPr>
    <w:sdtContent>
      <w:p w:rsidR="001F7D72" w:rsidRPr="001F7D72" w:rsidRDefault="001F7D72">
        <w:pPr>
          <w:pStyle w:val="Piedepgina"/>
          <w:jc w:val="center"/>
          <w:rPr>
            <w:sz w:val="18"/>
            <w:szCs w:val="18"/>
          </w:rPr>
        </w:pPr>
        <w:r w:rsidRPr="001F7D72">
          <w:rPr>
            <w:sz w:val="18"/>
            <w:szCs w:val="18"/>
          </w:rPr>
          <w:fldChar w:fldCharType="begin"/>
        </w:r>
        <w:r w:rsidRPr="001F7D72">
          <w:rPr>
            <w:sz w:val="18"/>
            <w:szCs w:val="18"/>
          </w:rPr>
          <w:instrText>PAGE   \* MERGEFORMAT</w:instrText>
        </w:r>
        <w:r w:rsidRPr="001F7D72">
          <w:rPr>
            <w:sz w:val="18"/>
            <w:szCs w:val="18"/>
          </w:rPr>
          <w:fldChar w:fldCharType="separate"/>
        </w:r>
        <w:r w:rsidR="00373D3D">
          <w:rPr>
            <w:noProof/>
            <w:sz w:val="18"/>
            <w:szCs w:val="18"/>
          </w:rPr>
          <w:t>8</w:t>
        </w:r>
        <w:r w:rsidRPr="001F7D72">
          <w:rPr>
            <w:sz w:val="18"/>
            <w:szCs w:val="18"/>
          </w:rPr>
          <w:fldChar w:fldCharType="end"/>
        </w:r>
      </w:p>
    </w:sdtContent>
  </w:sdt>
  <w:p w:rsidR="001F7D72" w:rsidRDefault="001F7D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300" w:rsidRDefault="003A7300" w:rsidP="001F7D72">
      <w:pPr>
        <w:spacing w:after="0" w:line="240" w:lineRule="auto"/>
      </w:pPr>
      <w:r>
        <w:separator/>
      </w:r>
    </w:p>
  </w:footnote>
  <w:footnote w:type="continuationSeparator" w:id="0">
    <w:p w:rsidR="003A7300" w:rsidRDefault="003A7300" w:rsidP="001F7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055A"/>
    <w:multiLevelType w:val="hybridMultilevel"/>
    <w:tmpl w:val="F9DE4D3C"/>
    <w:lvl w:ilvl="0" w:tplc="61EAA39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9AB8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F68F9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ACA6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CC93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40E4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5006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7E1A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E4867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8B18EB"/>
    <w:multiLevelType w:val="hybridMultilevel"/>
    <w:tmpl w:val="6BC24992"/>
    <w:lvl w:ilvl="0" w:tplc="BAD872A2">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BCD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8646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EA80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14B0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2E9F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3C05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40E6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72DD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9E7FD6"/>
    <w:multiLevelType w:val="hybridMultilevel"/>
    <w:tmpl w:val="2146C6A4"/>
    <w:lvl w:ilvl="0" w:tplc="0B92225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AAD9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F02E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EAD6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C8E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C806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4C10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72EF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A19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EE"/>
    <w:rsid w:val="000C1D21"/>
    <w:rsid w:val="001F62F1"/>
    <w:rsid w:val="001F7D72"/>
    <w:rsid w:val="002321D3"/>
    <w:rsid w:val="00292908"/>
    <w:rsid w:val="002B532A"/>
    <w:rsid w:val="00301AEE"/>
    <w:rsid w:val="00373D3D"/>
    <w:rsid w:val="003A7300"/>
    <w:rsid w:val="003E5EB2"/>
    <w:rsid w:val="00BD61ED"/>
    <w:rsid w:val="00C97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9345"/>
  <w15:chartTrackingRefBased/>
  <w15:docId w15:val="{D205AFDE-1986-4227-80C7-0F2A73BD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AEE"/>
    <w:pPr>
      <w:spacing w:after="120" w:line="360" w:lineRule="auto"/>
      <w:ind w:right="452" w:firstLine="698"/>
      <w:jc w:val="both"/>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7D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7D72"/>
    <w:rPr>
      <w:rFonts w:ascii="Arial" w:eastAsia="Arial" w:hAnsi="Arial" w:cs="Arial"/>
      <w:color w:val="000000"/>
      <w:lang w:eastAsia="es-ES"/>
    </w:rPr>
  </w:style>
  <w:style w:type="paragraph" w:styleId="Piedepgina">
    <w:name w:val="footer"/>
    <w:basedOn w:val="Normal"/>
    <w:link w:val="PiedepginaCar"/>
    <w:uiPriority w:val="99"/>
    <w:unhideWhenUsed/>
    <w:rsid w:val="001F7D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7D72"/>
    <w:rPr>
      <w:rFonts w:ascii="Arial" w:eastAsia="Arial" w:hAnsi="Arial" w:cs="Arial"/>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8EBC7-BF95-4474-B858-C2835B0ECF18}">
  <ds:schemaRefs>
    <ds:schemaRef ds:uri="http://schemas.microsoft.com/sharepoint/v3/contenttype/forms"/>
  </ds:schemaRefs>
</ds:datastoreItem>
</file>

<file path=customXml/itemProps2.xml><?xml version="1.0" encoding="utf-8"?>
<ds:datastoreItem xmlns:ds="http://schemas.openxmlformats.org/officeDocument/2006/customXml" ds:itemID="{781E00B2-5C33-41DF-9790-D120C1F87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248C8-281A-4F56-9D04-77CCD45622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3269</Words>
  <Characters>17984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 Digital</dc:creator>
  <cp:keywords/>
  <dc:description/>
  <cp:lastModifiedBy>Madrid Digital</cp:lastModifiedBy>
  <cp:revision>4</cp:revision>
  <dcterms:created xsi:type="dcterms:W3CDTF">2022-02-22T11:18:00Z</dcterms:created>
  <dcterms:modified xsi:type="dcterms:W3CDTF">2022-02-22T11:42:00Z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