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11E3" w:rsidRDefault="007911E3" w:rsidP="0008294F">
      <w:pPr>
        <w:spacing w:after="0" w:line="240" w:lineRule="auto"/>
        <w:ind w:right="-2"/>
        <w:jc w:val="both"/>
        <w:rPr>
          <w:rFonts w:cs="Arial"/>
        </w:rPr>
      </w:pPr>
      <w:r w:rsidRPr="007911E3">
        <w:rPr>
          <w:rFonts w:cs="Arial"/>
          <w:b/>
        </w:rPr>
        <w:t xml:space="preserve">INFORME DE LA INTERVENCIÓN GENERAL </w:t>
      </w:r>
      <w:r w:rsidR="0086649A">
        <w:rPr>
          <w:rFonts w:cs="Arial"/>
          <w:b/>
        </w:rPr>
        <w:t xml:space="preserve">DE LA COMUNIDAD DE MADRID </w:t>
      </w:r>
      <w:r w:rsidRPr="007911E3">
        <w:rPr>
          <w:rFonts w:cs="Arial"/>
          <w:b/>
        </w:rPr>
        <w:t>DE 20 DE OCTUBRE DE 2020.</w:t>
      </w:r>
      <w:r w:rsidRPr="007911E3">
        <w:rPr>
          <w:rFonts w:cs="Arial"/>
          <w:b/>
          <w:bCs/>
          <w:lang w:val="es-ES_tradnl"/>
        </w:rPr>
        <w:t xml:space="preserve"> ÁMBITO</w:t>
      </w:r>
      <w:r>
        <w:rPr>
          <w:rFonts w:cs="Arial"/>
          <w:b/>
          <w:bCs/>
          <w:lang w:val="es-ES_tradnl"/>
        </w:rPr>
        <w:t xml:space="preserve"> DE LA FISCALIZACIÓN </w:t>
      </w:r>
      <w:r w:rsidR="0086649A">
        <w:rPr>
          <w:rFonts w:cs="Arial"/>
          <w:b/>
          <w:bCs/>
          <w:lang w:val="es-ES_tradnl"/>
        </w:rPr>
        <w:t xml:space="preserve">DE LA DISPOSICIÓN DEL GASTO Y </w:t>
      </w:r>
      <w:r>
        <w:rPr>
          <w:rFonts w:cs="Arial"/>
          <w:b/>
          <w:bCs/>
          <w:lang w:val="es-ES_tradnl"/>
        </w:rPr>
        <w:t xml:space="preserve">DEL RECONOCIMIENTO DE OBLIGACIONES. </w:t>
      </w:r>
      <w:r w:rsidRPr="007911E3">
        <w:rPr>
          <w:rFonts w:cs="Arial"/>
          <w:b/>
          <w:bCs/>
          <w:lang w:val="es-ES_tradnl"/>
        </w:rPr>
        <w:t xml:space="preserve">FORMA DE PLANTEAR CONSULTAS </w:t>
      </w:r>
      <w:r w:rsidR="00772DD6">
        <w:rPr>
          <w:rFonts w:cs="Arial"/>
          <w:b/>
          <w:bCs/>
          <w:lang w:val="es-ES_tradnl"/>
        </w:rPr>
        <w:t xml:space="preserve">Y DISCREPANCIAS </w:t>
      </w:r>
      <w:r w:rsidRPr="007911E3">
        <w:rPr>
          <w:rFonts w:cs="Arial"/>
          <w:b/>
          <w:bCs/>
          <w:lang w:val="es-ES_tradnl"/>
        </w:rPr>
        <w:t>ANTE LA INTERVENCIÓN GENERAL.</w:t>
      </w:r>
      <w:r w:rsidR="0086649A">
        <w:rPr>
          <w:rFonts w:cs="Arial"/>
          <w:b/>
          <w:bCs/>
          <w:lang w:val="es-ES_tradnl"/>
        </w:rPr>
        <w:t xml:space="preserve"> </w:t>
      </w:r>
      <w:r w:rsidR="00616907">
        <w:rPr>
          <w:rFonts w:cs="Arial"/>
          <w:b/>
          <w:bCs/>
          <w:lang w:val="es-ES_tradnl"/>
        </w:rPr>
        <w:t>REFORMA CUBIERTA</w:t>
      </w:r>
    </w:p>
    <w:p w:rsidR="002A2794" w:rsidRDefault="002A2794" w:rsidP="007911E3">
      <w:pPr>
        <w:spacing w:after="0" w:line="240" w:lineRule="auto"/>
        <w:rPr>
          <w:rFonts w:eastAsia="Times New Roman" w:cs="Arial"/>
          <w:b/>
          <w:bCs/>
          <w:lang w:eastAsia="es-ES"/>
        </w:rPr>
      </w:pPr>
    </w:p>
    <w:p w:rsidR="007911E3" w:rsidRPr="007911E3" w:rsidRDefault="007911E3" w:rsidP="007911E3">
      <w:pPr>
        <w:spacing w:after="0" w:line="240" w:lineRule="auto"/>
        <w:rPr>
          <w:rFonts w:eastAsia="Times New Roman" w:cs="Arial"/>
          <w:lang w:eastAsia="es-ES"/>
        </w:rPr>
      </w:pPr>
      <w:r w:rsidRPr="007911E3">
        <w:rPr>
          <w:rFonts w:eastAsia="Times New Roman" w:cs="Arial"/>
          <w:b/>
          <w:bCs/>
          <w:lang w:eastAsia="es-ES"/>
        </w:rPr>
        <w:t xml:space="preserve">Modalidad de informe: </w:t>
      </w:r>
      <w:r>
        <w:rPr>
          <w:rFonts w:eastAsia="Times New Roman" w:cs="Arial"/>
          <w:b/>
          <w:bCs/>
          <w:lang w:eastAsia="es-ES"/>
        </w:rPr>
        <w:t>Discrepancia</w:t>
      </w:r>
      <w:r w:rsidRPr="007911E3">
        <w:rPr>
          <w:rFonts w:eastAsia="Times New Roman" w:cs="Arial"/>
          <w:b/>
          <w:bCs/>
          <w:lang w:eastAsia="es-ES"/>
        </w:rPr>
        <w:t>.</w:t>
      </w:r>
    </w:p>
    <w:p w:rsidR="007911E3" w:rsidRPr="007911E3" w:rsidRDefault="007911E3" w:rsidP="007911E3">
      <w:pPr>
        <w:spacing w:after="0" w:line="240" w:lineRule="auto"/>
        <w:rPr>
          <w:rFonts w:eastAsia="Times New Roman" w:cs="Arial"/>
          <w:lang w:eastAsia="es-ES"/>
        </w:rPr>
      </w:pPr>
      <w:r w:rsidRPr="007911E3">
        <w:rPr>
          <w:rFonts w:eastAsia="Times New Roman" w:cs="Arial"/>
          <w:b/>
          <w:bCs/>
          <w:lang w:eastAsia="es-ES"/>
        </w:rPr>
        <w:t xml:space="preserve">Área temática: </w:t>
      </w:r>
      <w:r>
        <w:rPr>
          <w:rFonts w:eastAsia="Times New Roman" w:cs="Arial"/>
          <w:b/>
          <w:bCs/>
          <w:lang w:eastAsia="es-ES"/>
        </w:rPr>
        <w:t>Función interventora</w:t>
      </w:r>
      <w:r w:rsidRPr="007911E3">
        <w:rPr>
          <w:rFonts w:eastAsia="Times New Roman" w:cs="Arial"/>
          <w:b/>
          <w:bCs/>
          <w:lang w:eastAsia="es-ES"/>
        </w:rPr>
        <w:t>.</w:t>
      </w:r>
    </w:p>
    <w:p w:rsidR="007911E3" w:rsidRPr="007911E3" w:rsidRDefault="007911E3" w:rsidP="007911E3">
      <w:pPr>
        <w:spacing w:after="0" w:line="240" w:lineRule="auto"/>
        <w:rPr>
          <w:rFonts w:eastAsia="Times New Roman" w:cs="Arial"/>
          <w:lang w:eastAsia="es-ES"/>
        </w:rPr>
      </w:pPr>
      <w:r w:rsidRPr="007911E3">
        <w:rPr>
          <w:rFonts w:eastAsia="Times New Roman" w:cs="Arial"/>
          <w:b/>
          <w:bCs/>
          <w:lang w:eastAsia="es-ES"/>
        </w:rPr>
        <w:t>Informe vigente.</w:t>
      </w:r>
    </w:p>
    <w:p w:rsidR="007911E3" w:rsidRDefault="007911E3" w:rsidP="0008294F">
      <w:pPr>
        <w:spacing w:after="0" w:line="240" w:lineRule="auto"/>
        <w:ind w:right="-2"/>
        <w:jc w:val="both"/>
        <w:rPr>
          <w:rFonts w:cs="Arial"/>
        </w:rPr>
      </w:pPr>
    </w:p>
    <w:p w:rsidR="00C114DD" w:rsidRDefault="00C114DD" w:rsidP="0008294F">
      <w:pPr>
        <w:spacing w:after="0" w:line="240" w:lineRule="auto"/>
        <w:ind w:right="-2"/>
        <w:jc w:val="both"/>
        <w:rPr>
          <w:rFonts w:cs="Arial"/>
        </w:rPr>
      </w:pPr>
      <w:r w:rsidRPr="00531B62">
        <w:rPr>
          <w:rFonts w:cs="Arial"/>
        </w:rPr>
        <w:t xml:space="preserve">Se ha recibido en esta Intervención General escrito de discrepancia, planteada por </w:t>
      </w:r>
      <w:r w:rsidR="00885A0B">
        <w:rPr>
          <w:rFonts w:cs="Arial"/>
        </w:rPr>
        <w:t>el Gerente de la Agencia Madrileña de Atención Social</w:t>
      </w:r>
      <w:r w:rsidRPr="00531B62">
        <w:rPr>
          <w:rFonts w:cs="Arial"/>
        </w:rPr>
        <w:t xml:space="preserve"> </w:t>
      </w:r>
      <w:r w:rsidR="00233881">
        <w:rPr>
          <w:rFonts w:cs="Arial"/>
        </w:rPr>
        <w:t xml:space="preserve">(en adelante AMAS) </w:t>
      </w:r>
      <w:r w:rsidRPr="00531B62">
        <w:rPr>
          <w:rFonts w:cs="Arial"/>
        </w:rPr>
        <w:t>de conformidad con el artículo 88.1.a) de la Ley 9/1990, de 8 de noviembre, Reguladora de la Hacienda de la Comunidad de Madrid y el artículo 16 del Decreto 45/1997, de 20 de marzo, por el que se desarrolla el Régimen de Control Interno y Contable Ejercido por la Intervención General de la Comunidad de Madrid.</w:t>
      </w:r>
    </w:p>
    <w:p w:rsidR="00CD4538" w:rsidRPr="00531B62" w:rsidRDefault="00CD4538" w:rsidP="0008294F">
      <w:pPr>
        <w:spacing w:after="0" w:line="240" w:lineRule="auto"/>
        <w:ind w:right="-2"/>
        <w:jc w:val="both"/>
        <w:rPr>
          <w:rFonts w:cs="Arial"/>
        </w:rPr>
      </w:pPr>
    </w:p>
    <w:p w:rsidR="00C114DD" w:rsidRPr="00EA0422" w:rsidRDefault="00C114DD" w:rsidP="0008294F">
      <w:pPr>
        <w:autoSpaceDE w:val="0"/>
        <w:autoSpaceDN w:val="0"/>
        <w:adjustRightInd w:val="0"/>
        <w:spacing w:after="0" w:line="240" w:lineRule="auto"/>
        <w:jc w:val="both"/>
        <w:rPr>
          <w:rFonts w:cs="Arial"/>
        </w:rPr>
      </w:pPr>
      <w:r w:rsidRPr="00531B62">
        <w:rPr>
          <w:rFonts w:cs="Arial"/>
        </w:rPr>
        <w:t>La discrepancia surge como consecuencia del informe desfavorable formulado por la Intervención Delegada en</w:t>
      </w:r>
      <w:r w:rsidR="00233881">
        <w:rPr>
          <w:rFonts w:cs="Arial"/>
        </w:rPr>
        <w:t xml:space="preserve"> el AMAS</w:t>
      </w:r>
      <w:r w:rsidRPr="00531B62">
        <w:rPr>
          <w:rFonts w:cs="Arial"/>
        </w:rPr>
        <w:t>, al expediente remitido por la unidad gestora a efec</w:t>
      </w:r>
      <w:r w:rsidR="00885A0B">
        <w:rPr>
          <w:rFonts w:cs="Arial"/>
        </w:rPr>
        <w:t xml:space="preserve">tos de su fiscalización previa, </w:t>
      </w:r>
      <w:r w:rsidRPr="00531B62">
        <w:rPr>
          <w:rFonts w:cs="Arial"/>
        </w:rPr>
        <w:t xml:space="preserve">relativo a </w:t>
      </w:r>
      <w:r w:rsidR="00885A0B">
        <w:rPr>
          <w:rFonts w:eastAsiaTheme="minorHAnsi" w:cs="Arial"/>
        </w:rPr>
        <w:t>la</w:t>
      </w:r>
      <w:r w:rsidR="00F14F1D">
        <w:rPr>
          <w:rFonts w:eastAsiaTheme="minorHAnsi" w:cs="Arial"/>
        </w:rPr>
        <w:t>s</w:t>
      </w:r>
      <w:r w:rsidR="00885A0B">
        <w:rPr>
          <w:rFonts w:eastAsiaTheme="minorHAnsi" w:cs="Arial"/>
        </w:rPr>
        <w:t xml:space="preserve"> Certificaci</w:t>
      </w:r>
      <w:r w:rsidR="00F14F1D">
        <w:rPr>
          <w:rFonts w:eastAsiaTheme="minorHAnsi" w:cs="Arial"/>
        </w:rPr>
        <w:t xml:space="preserve">ones </w:t>
      </w:r>
      <w:r w:rsidR="00885A0B">
        <w:rPr>
          <w:rFonts w:eastAsiaTheme="minorHAnsi" w:cs="Arial"/>
        </w:rPr>
        <w:t xml:space="preserve">nº </w:t>
      </w:r>
      <w:r w:rsidR="00F14F1D">
        <w:rPr>
          <w:rFonts w:eastAsiaTheme="minorHAnsi" w:cs="Arial"/>
        </w:rPr>
        <w:t>11 y 12</w:t>
      </w:r>
      <w:r w:rsidR="00885A0B">
        <w:rPr>
          <w:rFonts w:eastAsiaTheme="minorHAnsi" w:cs="Arial"/>
        </w:rPr>
        <w:t xml:space="preserve"> correspondiente</w:t>
      </w:r>
      <w:r w:rsidR="00F14F1D">
        <w:rPr>
          <w:rFonts w:eastAsiaTheme="minorHAnsi" w:cs="Arial"/>
        </w:rPr>
        <w:t>s</w:t>
      </w:r>
      <w:r w:rsidR="00885A0B">
        <w:rPr>
          <w:rFonts w:eastAsiaTheme="minorHAnsi" w:cs="Arial"/>
        </w:rPr>
        <w:t xml:space="preserve"> a las </w:t>
      </w:r>
      <w:r w:rsidR="00F14F1D" w:rsidRPr="00F14F1D">
        <w:rPr>
          <w:rFonts w:eastAsiaTheme="minorHAnsi" w:cs="Arial"/>
          <w:i/>
        </w:rPr>
        <w:t>"Obras del proyecto de reforma de la cubierta en zona de cocina de la Residencia de Mayores Villaviciosa de Odón”</w:t>
      </w:r>
      <w:r w:rsidR="00F14F1D">
        <w:rPr>
          <w:rFonts w:eastAsiaTheme="minorHAnsi" w:cs="Arial"/>
          <w:b/>
          <w:bCs/>
          <w:color w:val="000000"/>
          <w:sz w:val="20"/>
          <w:szCs w:val="20"/>
        </w:rPr>
        <w:t xml:space="preserve">, </w:t>
      </w:r>
      <w:r w:rsidR="00F14F1D" w:rsidRPr="00EA0422">
        <w:rPr>
          <w:rFonts w:cs="Arial"/>
        </w:rPr>
        <w:t>basado en el Acuerdo Marco para las obras de reforma, reparación y conservación de los inmuebles adscritos a la Agencia Madrileña de Atención Socia</w:t>
      </w:r>
      <w:r w:rsidR="00311BB3">
        <w:rPr>
          <w:rFonts w:cs="Arial"/>
        </w:rPr>
        <w:t>l.</w:t>
      </w:r>
    </w:p>
    <w:p w:rsidR="00885A0B" w:rsidRPr="00531B62" w:rsidRDefault="00885A0B" w:rsidP="0008294F">
      <w:pPr>
        <w:autoSpaceDE w:val="0"/>
        <w:autoSpaceDN w:val="0"/>
        <w:adjustRightInd w:val="0"/>
        <w:spacing w:after="0" w:line="240" w:lineRule="auto"/>
        <w:jc w:val="both"/>
        <w:rPr>
          <w:rFonts w:cs="Arial"/>
        </w:rPr>
      </w:pPr>
    </w:p>
    <w:p w:rsidR="00C114DD" w:rsidRDefault="00C114DD" w:rsidP="0008294F">
      <w:pPr>
        <w:spacing w:after="0" w:line="240" w:lineRule="auto"/>
        <w:ind w:right="-2"/>
        <w:jc w:val="both"/>
        <w:rPr>
          <w:rFonts w:cs="Arial"/>
        </w:rPr>
      </w:pPr>
      <w:r w:rsidRPr="00531B62">
        <w:rPr>
          <w:rFonts w:cs="Arial"/>
        </w:rPr>
        <w:t>Se acompaña, junto al escrito de discrepancia, determinada documentación, acreditándose los siguientes</w:t>
      </w:r>
    </w:p>
    <w:p w:rsidR="00F46496" w:rsidRPr="00531B62" w:rsidRDefault="00F46496" w:rsidP="0008294F">
      <w:pPr>
        <w:spacing w:after="0" w:line="240" w:lineRule="auto"/>
        <w:ind w:right="-2"/>
        <w:jc w:val="both"/>
        <w:rPr>
          <w:rFonts w:cs="Arial"/>
        </w:rPr>
      </w:pPr>
    </w:p>
    <w:p w:rsidR="00C114DD" w:rsidRDefault="00C114DD" w:rsidP="0008294F">
      <w:pPr>
        <w:spacing w:after="0" w:line="240" w:lineRule="auto"/>
        <w:ind w:right="-2"/>
        <w:jc w:val="center"/>
        <w:rPr>
          <w:rFonts w:cs="Arial"/>
          <w:b/>
        </w:rPr>
      </w:pPr>
      <w:r w:rsidRPr="00531B62">
        <w:rPr>
          <w:rFonts w:cs="Arial"/>
          <w:b/>
        </w:rPr>
        <w:t>ANTECEDENTES</w:t>
      </w:r>
    </w:p>
    <w:p w:rsidR="00CD4538" w:rsidRPr="00531B62" w:rsidRDefault="00CD4538" w:rsidP="0008294F">
      <w:pPr>
        <w:spacing w:after="0" w:line="240" w:lineRule="auto"/>
        <w:ind w:right="-2"/>
        <w:jc w:val="center"/>
        <w:rPr>
          <w:rFonts w:cs="Arial"/>
          <w:b/>
        </w:rPr>
      </w:pPr>
    </w:p>
    <w:p w:rsidR="00C114DD" w:rsidRDefault="00C114DD" w:rsidP="0008294F">
      <w:pPr>
        <w:autoSpaceDE w:val="0"/>
        <w:autoSpaceDN w:val="0"/>
        <w:adjustRightInd w:val="0"/>
        <w:spacing w:after="0" w:line="240" w:lineRule="auto"/>
        <w:jc w:val="both"/>
        <w:rPr>
          <w:rFonts w:cs="Arial"/>
        </w:rPr>
      </w:pPr>
      <w:r w:rsidRPr="00233881">
        <w:rPr>
          <w:rFonts w:cs="Arial"/>
          <w:b/>
        </w:rPr>
        <w:t>1.</w:t>
      </w:r>
      <w:r w:rsidRPr="00233881">
        <w:rPr>
          <w:rFonts w:cs="Arial"/>
        </w:rPr>
        <w:t xml:space="preserve"> </w:t>
      </w:r>
      <w:r w:rsidRPr="00531B62">
        <w:rPr>
          <w:rFonts w:cs="Arial"/>
        </w:rPr>
        <w:t>Con fecha</w:t>
      </w:r>
      <w:r w:rsidR="00885A0B">
        <w:rPr>
          <w:rFonts w:cs="Arial"/>
        </w:rPr>
        <w:t xml:space="preserve"> </w:t>
      </w:r>
      <w:r w:rsidR="00F14F1D">
        <w:rPr>
          <w:rFonts w:cs="Arial"/>
        </w:rPr>
        <w:t>21 de novi</w:t>
      </w:r>
      <w:r w:rsidR="00885A0B">
        <w:rPr>
          <w:rFonts w:cs="Arial"/>
        </w:rPr>
        <w:t>embre de 20</w:t>
      </w:r>
      <w:r w:rsidR="00233881">
        <w:rPr>
          <w:rFonts w:cs="Arial"/>
        </w:rPr>
        <w:t>18, previa fiscalización favorable, se adjudicó por el Gerente del AMAS e</w:t>
      </w:r>
      <w:r w:rsidR="00233881" w:rsidRPr="00233881">
        <w:rPr>
          <w:rFonts w:cs="Arial"/>
        </w:rPr>
        <w:t xml:space="preserve">l contrato de </w:t>
      </w:r>
      <w:r w:rsidR="00F14F1D" w:rsidRPr="00F14F1D">
        <w:rPr>
          <w:rFonts w:eastAsiaTheme="minorHAnsi" w:cs="Arial"/>
          <w:i/>
        </w:rPr>
        <w:t>"Obras del proyecto de reforma de la cubierta en zona de cocina de la Residencia de Mayores Villaviciosa de Odón”</w:t>
      </w:r>
      <w:r w:rsidR="00F14F1D">
        <w:rPr>
          <w:rFonts w:eastAsiaTheme="minorHAnsi" w:cs="Arial"/>
          <w:b/>
          <w:bCs/>
          <w:color w:val="000000"/>
          <w:sz w:val="20"/>
          <w:szCs w:val="20"/>
        </w:rPr>
        <w:t xml:space="preserve">, </w:t>
      </w:r>
      <w:r w:rsidR="00F14F1D" w:rsidRPr="00F14F1D">
        <w:rPr>
          <w:rFonts w:cs="Arial"/>
        </w:rPr>
        <w:t>basado en el Acuerdo Marco para las obras de reforma, reparación y conservación de los inmuebles adscritos a la Agencia Madrileña de Atención Socia</w:t>
      </w:r>
      <w:r w:rsidR="00233881" w:rsidRPr="00233881">
        <w:rPr>
          <w:rFonts w:cs="Arial"/>
        </w:rPr>
        <w:t>l,</w:t>
      </w:r>
      <w:r w:rsidR="00233881">
        <w:rPr>
          <w:rFonts w:cs="Arial"/>
        </w:rPr>
        <w:t xml:space="preserve"> </w:t>
      </w:r>
      <w:r w:rsidR="00233881" w:rsidRPr="00233881">
        <w:rPr>
          <w:rFonts w:cs="Arial"/>
        </w:rPr>
        <w:t xml:space="preserve">a la U.T.E. </w:t>
      </w:r>
      <w:r w:rsidR="00E56FEE">
        <w:rPr>
          <w:rFonts w:cs="Arial"/>
        </w:rPr>
        <w:t>……………..</w:t>
      </w:r>
      <w:r w:rsidR="00233881" w:rsidRPr="00233881">
        <w:rPr>
          <w:rFonts w:cs="Arial"/>
        </w:rPr>
        <w:t xml:space="preserve">. y </w:t>
      </w:r>
      <w:r w:rsidR="00E56FEE">
        <w:rPr>
          <w:rFonts w:cs="Arial"/>
        </w:rPr>
        <w:t>…………</w:t>
      </w:r>
      <w:proofErr w:type="gramStart"/>
      <w:r w:rsidR="00E56FEE">
        <w:rPr>
          <w:rFonts w:cs="Arial"/>
        </w:rPr>
        <w:t>……</w:t>
      </w:r>
      <w:r w:rsidR="00233881" w:rsidRPr="00233881">
        <w:rPr>
          <w:rFonts w:cs="Arial"/>
        </w:rPr>
        <w:t>.</w:t>
      </w:r>
      <w:proofErr w:type="gramEnd"/>
      <w:r w:rsidR="00233881" w:rsidRPr="00233881">
        <w:rPr>
          <w:rFonts w:cs="Arial"/>
        </w:rPr>
        <w:t>,</w:t>
      </w:r>
      <w:r w:rsidR="00233881">
        <w:rPr>
          <w:rFonts w:cs="Arial"/>
        </w:rPr>
        <w:t xml:space="preserve"> </w:t>
      </w:r>
      <w:r w:rsidR="00233881" w:rsidRPr="00233881">
        <w:rPr>
          <w:rFonts w:cs="Arial"/>
        </w:rPr>
        <w:t xml:space="preserve">por un importe de </w:t>
      </w:r>
      <w:r w:rsidR="00F14F1D">
        <w:rPr>
          <w:rFonts w:cs="Arial"/>
        </w:rPr>
        <w:t>198.495,04</w:t>
      </w:r>
      <w:r w:rsidR="00233881">
        <w:rPr>
          <w:rFonts w:cs="Arial"/>
        </w:rPr>
        <w:t xml:space="preserve"> </w:t>
      </w:r>
      <w:r w:rsidR="00233881" w:rsidRPr="00233881">
        <w:rPr>
          <w:rFonts w:cs="Arial"/>
        </w:rPr>
        <w:t>€</w:t>
      </w:r>
      <w:r w:rsidRPr="00531B62">
        <w:rPr>
          <w:rFonts w:cs="Arial"/>
        </w:rPr>
        <w:t xml:space="preserve">. </w:t>
      </w:r>
    </w:p>
    <w:p w:rsidR="00CD4538" w:rsidRPr="00531B62" w:rsidRDefault="00CD4538" w:rsidP="0008294F">
      <w:pPr>
        <w:spacing w:after="0" w:line="240" w:lineRule="auto"/>
        <w:ind w:right="-2"/>
        <w:jc w:val="both"/>
        <w:rPr>
          <w:rFonts w:cs="Arial"/>
        </w:rPr>
      </w:pPr>
    </w:p>
    <w:p w:rsidR="00233881" w:rsidRDefault="00C114DD" w:rsidP="0008294F">
      <w:pPr>
        <w:spacing w:after="0" w:line="240" w:lineRule="auto"/>
        <w:ind w:right="-2"/>
        <w:jc w:val="both"/>
        <w:rPr>
          <w:rFonts w:cs="Arial"/>
        </w:rPr>
      </w:pPr>
      <w:r w:rsidRPr="00233881">
        <w:rPr>
          <w:rFonts w:cs="Arial"/>
          <w:b/>
        </w:rPr>
        <w:t>2.</w:t>
      </w:r>
      <w:r w:rsidRPr="00531B62">
        <w:rPr>
          <w:rFonts w:cs="Arial"/>
        </w:rPr>
        <w:t xml:space="preserve"> </w:t>
      </w:r>
      <w:r w:rsidR="00F14F1D">
        <w:rPr>
          <w:rFonts w:cs="Arial"/>
        </w:rPr>
        <w:t>Con fecha 23</w:t>
      </w:r>
      <w:r w:rsidR="00233881" w:rsidRPr="00531B62">
        <w:rPr>
          <w:rFonts w:cs="Arial"/>
        </w:rPr>
        <w:t xml:space="preserve"> de </w:t>
      </w:r>
      <w:r w:rsidR="00F14F1D">
        <w:rPr>
          <w:rFonts w:cs="Arial"/>
        </w:rPr>
        <w:t>dic</w:t>
      </w:r>
      <w:r w:rsidR="00233881">
        <w:rPr>
          <w:rFonts w:cs="Arial"/>
        </w:rPr>
        <w:t>iembre</w:t>
      </w:r>
      <w:r w:rsidR="00233881" w:rsidRPr="00531B62">
        <w:rPr>
          <w:rFonts w:cs="Arial"/>
        </w:rPr>
        <w:t xml:space="preserve"> de 201</w:t>
      </w:r>
      <w:r w:rsidR="00233881">
        <w:rPr>
          <w:rFonts w:cs="Arial"/>
        </w:rPr>
        <w:t>9</w:t>
      </w:r>
      <w:r w:rsidR="00233881" w:rsidRPr="00531B62">
        <w:rPr>
          <w:rFonts w:cs="Arial"/>
        </w:rPr>
        <w:t xml:space="preserve">, la Intervención Delegada en </w:t>
      </w:r>
      <w:r w:rsidR="00233881">
        <w:rPr>
          <w:rFonts w:cs="Arial"/>
        </w:rPr>
        <w:t>el AMAS</w:t>
      </w:r>
      <w:r w:rsidR="00EC2542">
        <w:rPr>
          <w:rFonts w:cs="Arial"/>
        </w:rPr>
        <w:t xml:space="preserve">, </w:t>
      </w:r>
      <w:r w:rsidR="00EC2542" w:rsidRPr="00EC2542">
        <w:rPr>
          <w:rFonts w:cs="Arial"/>
        </w:rPr>
        <w:t>al amparo del artículo 83.3 c) de la Ley 9/1990,</w:t>
      </w:r>
      <w:r w:rsidR="00233881" w:rsidRPr="00531B62">
        <w:rPr>
          <w:rFonts w:cs="Arial"/>
        </w:rPr>
        <w:t xml:space="preserve"> </w:t>
      </w:r>
      <w:r w:rsidR="00F14F1D">
        <w:rPr>
          <w:rFonts w:cs="Arial"/>
        </w:rPr>
        <w:t xml:space="preserve">formula una actuación interesada en relación con las </w:t>
      </w:r>
      <w:r w:rsidR="00233881" w:rsidRPr="00233881">
        <w:rPr>
          <w:rFonts w:cs="Arial"/>
        </w:rPr>
        <w:t>certificaci</w:t>
      </w:r>
      <w:r w:rsidR="00F14F1D">
        <w:rPr>
          <w:rFonts w:cs="Arial"/>
        </w:rPr>
        <w:t>ones</w:t>
      </w:r>
      <w:r w:rsidR="00233881" w:rsidRPr="00233881">
        <w:rPr>
          <w:rFonts w:cs="Arial"/>
        </w:rPr>
        <w:t xml:space="preserve"> de obra n</w:t>
      </w:r>
      <w:r w:rsidR="00F14F1D">
        <w:rPr>
          <w:rFonts w:cs="Arial"/>
        </w:rPr>
        <w:t>º 11 y 12</w:t>
      </w:r>
      <w:r w:rsidR="00233881" w:rsidRPr="00233881">
        <w:rPr>
          <w:rFonts w:cs="Arial"/>
        </w:rPr>
        <w:t xml:space="preserve"> del contrato </w:t>
      </w:r>
      <w:r w:rsidR="00FA7BBE">
        <w:rPr>
          <w:rFonts w:cs="Arial"/>
        </w:rPr>
        <w:t>(documento</w:t>
      </w:r>
      <w:r w:rsidR="00F14F1D">
        <w:rPr>
          <w:rFonts w:cs="Arial"/>
        </w:rPr>
        <w:t>s</w:t>
      </w:r>
      <w:r w:rsidR="00FA7BBE">
        <w:rPr>
          <w:rFonts w:cs="Arial"/>
        </w:rPr>
        <w:t xml:space="preserve"> </w:t>
      </w:r>
      <w:r w:rsidR="00F14F1D">
        <w:rPr>
          <w:rFonts w:cs="Arial"/>
        </w:rPr>
        <w:t>contables</w:t>
      </w:r>
      <w:r w:rsidR="00FA7BBE">
        <w:rPr>
          <w:rFonts w:cs="Arial"/>
        </w:rPr>
        <w:t xml:space="preserve"> </w:t>
      </w:r>
      <w:r w:rsidR="00F14F1D" w:rsidRPr="00F14F1D">
        <w:rPr>
          <w:rFonts w:cs="Arial"/>
        </w:rPr>
        <w:t>OK/2019/563269 y OK/2019/563272</w:t>
      </w:r>
      <w:r w:rsidR="00FA7BBE">
        <w:rPr>
          <w:rFonts w:cs="Arial"/>
        </w:rPr>
        <w:t xml:space="preserve">) </w:t>
      </w:r>
      <w:r w:rsidR="00233881">
        <w:rPr>
          <w:rFonts w:cs="Arial"/>
        </w:rPr>
        <w:t xml:space="preserve">por el siguiente motivo: </w:t>
      </w:r>
    </w:p>
    <w:p w:rsidR="00CD4538" w:rsidRPr="00F57C7F" w:rsidRDefault="00CD4538" w:rsidP="00F57C7F">
      <w:pPr>
        <w:spacing w:after="0" w:line="240" w:lineRule="auto"/>
        <w:ind w:left="540"/>
        <w:jc w:val="both"/>
        <w:rPr>
          <w:rFonts w:eastAsia="Times New Roman" w:cs="Arial"/>
          <w:i/>
          <w:sz w:val="20"/>
          <w:szCs w:val="20"/>
          <w:lang w:eastAsia="es-ES"/>
        </w:rPr>
      </w:pPr>
    </w:p>
    <w:p w:rsidR="00EC2542" w:rsidRDefault="00EC2542" w:rsidP="00F57C7F">
      <w:pPr>
        <w:spacing w:after="0" w:line="240" w:lineRule="auto"/>
        <w:ind w:left="540"/>
        <w:jc w:val="both"/>
        <w:rPr>
          <w:rFonts w:eastAsia="Times New Roman" w:cs="Arial"/>
          <w:i/>
          <w:sz w:val="20"/>
          <w:szCs w:val="20"/>
          <w:lang w:eastAsia="es-ES"/>
        </w:rPr>
      </w:pPr>
      <w:r w:rsidRPr="00EC2542">
        <w:rPr>
          <w:rFonts w:eastAsia="Times New Roman" w:cs="Arial"/>
          <w:i/>
          <w:sz w:val="20"/>
          <w:szCs w:val="20"/>
          <w:lang w:eastAsia="es-ES"/>
        </w:rPr>
        <w:t xml:space="preserve">“Se presentan para su fiscalización las certificaciones de obra 11a y 12a del referido contrato de obra, que incluye acta de precios contradictorios por la que se incluyen precios nuevos no previstos en el Acuerdo Marco. </w:t>
      </w:r>
    </w:p>
    <w:p w:rsidR="00EC2542" w:rsidRPr="00EC2542" w:rsidRDefault="00EC2542" w:rsidP="0008294F">
      <w:pPr>
        <w:spacing w:after="0" w:line="240" w:lineRule="auto"/>
        <w:ind w:left="708"/>
        <w:jc w:val="both"/>
        <w:rPr>
          <w:rFonts w:eastAsia="Times New Roman" w:cs="Arial"/>
          <w:i/>
          <w:sz w:val="20"/>
          <w:szCs w:val="20"/>
          <w:lang w:eastAsia="es-ES"/>
        </w:rPr>
      </w:pPr>
    </w:p>
    <w:p w:rsidR="00EC2542" w:rsidRPr="00EC2542" w:rsidRDefault="00EC2542" w:rsidP="00F57C7F">
      <w:pPr>
        <w:spacing w:after="0" w:line="240" w:lineRule="auto"/>
        <w:ind w:left="540"/>
        <w:jc w:val="both"/>
        <w:rPr>
          <w:rFonts w:eastAsia="Times New Roman" w:cs="Arial"/>
          <w:i/>
          <w:sz w:val="20"/>
          <w:szCs w:val="20"/>
          <w:lang w:eastAsia="es-ES"/>
        </w:rPr>
      </w:pPr>
      <w:r w:rsidRPr="00EC2542">
        <w:rPr>
          <w:rFonts w:eastAsia="Times New Roman" w:cs="Arial"/>
          <w:i/>
          <w:sz w:val="20"/>
          <w:szCs w:val="20"/>
          <w:lang w:eastAsia="es-ES"/>
        </w:rPr>
        <w:t xml:space="preserve">El pliego de cláusulas administrativas particulares, en su cláusula 1a apartado 17, establece: </w:t>
      </w:r>
    </w:p>
    <w:p w:rsidR="00F57C7F" w:rsidRDefault="00F57C7F" w:rsidP="0008294F">
      <w:pPr>
        <w:spacing w:after="0" w:line="240" w:lineRule="auto"/>
        <w:ind w:left="1248"/>
        <w:jc w:val="both"/>
        <w:rPr>
          <w:rFonts w:eastAsia="Times New Roman" w:cs="Arial"/>
          <w:iCs/>
          <w:sz w:val="20"/>
          <w:szCs w:val="20"/>
          <w:lang w:eastAsia="es-ES"/>
        </w:rPr>
      </w:pPr>
    </w:p>
    <w:p w:rsidR="00EC2542" w:rsidRPr="00EC2542" w:rsidRDefault="00EC2542" w:rsidP="00F57C7F">
      <w:pPr>
        <w:spacing w:after="0" w:line="240" w:lineRule="auto"/>
        <w:ind w:left="708"/>
        <w:jc w:val="both"/>
        <w:rPr>
          <w:rFonts w:eastAsia="Times New Roman" w:cs="Arial"/>
          <w:sz w:val="20"/>
          <w:szCs w:val="20"/>
          <w:lang w:eastAsia="es-ES"/>
        </w:rPr>
      </w:pPr>
      <w:r w:rsidRPr="00EC2542">
        <w:rPr>
          <w:rFonts w:eastAsia="Times New Roman" w:cs="Arial"/>
          <w:iCs/>
          <w:sz w:val="20"/>
          <w:szCs w:val="20"/>
          <w:lang w:eastAsia="es-ES"/>
        </w:rPr>
        <w:t>“Modificaciones previstas:</w:t>
      </w:r>
    </w:p>
    <w:p w:rsidR="00EC2542" w:rsidRPr="00EC2542" w:rsidRDefault="00EC2542" w:rsidP="00F57C7F">
      <w:pPr>
        <w:spacing w:after="0" w:line="240" w:lineRule="auto"/>
        <w:ind w:left="708"/>
        <w:jc w:val="both"/>
        <w:rPr>
          <w:rFonts w:eastAsia="Times New Roman" w:cs="Arial"/>
          <w:sz w:val="20"/>
          <w:szCs w:val="20"/>
          <w:lang w:eastAsia="es-ES"/>
        </w:rPr>
      </w:pPr>
      <w:r w:rsidRPr="00EC2542">
        <w:rPr>
          <w:rFonts w:eastAsia="Times New Roman" w:cs="Arial"/>
          <w:iCs/>
          <w:sz w:val="20"/>
          <w:szCs w:val="20"/>
          <w:u w:val="single"/>
          <w:shd w:val="clear" w:color="auto" w:fill="FFFFFF"/>
          <w:lang w:eastAsia="es-ES"/>
        </w:rPr>
        <w:t>Acuerdo Marco: NO</w:t>
      </w:r>
    </w:p>
    <w:p w:rsidR="00EC2542" w:rsidRDefault="00EC2542" w:rsidP="00F57C7F">
      <w:pPr>
        <w:spacing w:after="0" w:line="240" w:lineRule="auto"/>
        <w:ind w:left="708"/>
        <w:jc w:val="both"/>
        <w:rPr>
          <w:rFonts w:eastAsia="Times New Roman" w:cs="Arial"/>
          <w:iCs/>
          <w:color w:val="000000"/>
          <w:sz w:val="20"/>
          <w:szCs w:val="20"/>
          <w:u w:val="single"/>
          <w:shd w:val="clear" w:color="auto" w:fill="FFFFFF"/>
          <w:lang w:eastAsia="es-ES"/>
        </w:rPr>
      </w:pPr>
      <w:r w:rsidRPr="00EC2542">
        <w:rPr>
          <w:rFonts w:eastAsia="Times New Roman" w:cs="Arial"/>
          <w:iCs/>
          <w:color w:val="000000"/>
          <w:sz w:val="20"/>
          <w:szCs w:val="20"/>
          <w:u w:val="single"/>
          <w:shd w:val="clear" w:color="auto" w:fill="FFFFFF"/>
          <w:lang w:eastAsia="es-ES"/>
        </w:rPr>
        <w:lastRenderedPageBreak/>
        <w:t>Contratos derivados del Acuerdo Marco: NO</w:t>
      </w:r>
    </w:p>
    <w:p w:rsidR="009A62DE" w:rsidRPr="00EC2542" w:rsidRDefault="009A62DE" w:rsidP="00F57C7F">
      <w:pPr>
        <w:spacing w:after="0" w:line="240" w:lineRule="auto"/>
        <w:ind w:left="708"/>
        <w:jc w:val="both"/>
        <w:rPr>
          <w:rFonts w:eastAsia="Times New Roman" w:cs="Arial"/>
          <w:color w:val="000000"/>
          <w:sz w:val="20"/>
          <w:szCs w:val="20"/>
          <w:lang w:eastAsia="es-ES"/>
        </w:rPr>
      </w:pPr>
    </w:p>
    <w:p w:rsidR="00EC2542" w:rsidRPr="00EC2542" w:rsidRDefault="00EC2542" w:rsidP="00F57C7F">
      <w:pPr>
        <w:spacing w:after="0" w:line="240" w:lineRule="auto"/>
        <w:ind w:left="708"/>
        <w:jc w:val="both"/>
        <w:rPr>
          <w:rFonts w:eastAsia="Times New Roman" w:cs="Arial"/>
          <w:sz w:val="20"/>
          <w:szCs w:val="20"/>
          <w:lang w:eastAsia="es-ES"/>
        </w:rPr>
      </w:pPr>
      <w:r w:rsidRPr="00EC2542">
        <w:rPr>
          <w:rFonts w:eastAsia="Times New Roman" w:cs="Arial"/>
          <w:iCs/>
          <w:sz w:val="20"/>
          <w:szCs w:val="20"/>
          <w:lang w:eastAsia="es-ES"/>
        </w:rPr>
        <w:t xml:space="preserve">...Las condiciones de la prestación de los contratos derivados del acuerdo marco quedarán definidas en su totalidad a través del mismo, de conformidad con lo establecido en el artículo 198.3 del TRLCSP. </w:t>
      </w:r>
      <w:r w:rsidRPr="00EC2542">
        <w:rPr>
          <w:rFonts w:eastAsia="Times New Roman" w:cs="Arial"/>
          <w:iCs/>
          <w:sz w:val="20"/>
          <w:szCs w:val="20"/>
          <w:u w:val="single"/>
          <w:shd w:val="clear" w:color="auto" w:fill="FFFFFF"/>
          <w:lang w:eastAsia="es-ES"/>
        </w:rPr>
        <w:t>En ningún caso</w:t>
      </w:r>
      <w:r w:rsidRPr="00EC2542">
        <w:rPr>
          <w:rFonts w:eastAsia="Times New Roman" w:cs="Arial"/>
          <w:sz w:val="20"/>
          <w:szCs w:val="20"/>
          <w:u w:val="single"/>
          <w:shd w:val="clear" w:color="auto" w:fill="FFFFFF"/>
          <w:lang w:eastAsia="es-ES"/>
        </w:rPr>
        <w:t xml:space="preserve">, </w:t>
      </w:r>
      <w:r w:rsidRPr="00EC2542">
        <w:rPr>
          <w:rFonts w:eastAsia="Times New Roman" w:cs="Arial"/>
          <w:iCs/>
          <w:sz w:val="20"/>
          <w:szCs w:val="20"/>
          <w:u w:val="single"/>
          <w:shd w:val="clear" w:color="auto" w:fill="FFFFFF"/>
          <w:lang w:eastAsia="es-ES"/>
        </w:rPr>
        <w:t xml:space="preserve">las partes podrán introducir </w:t>
      </w:r>
      <w:r w:rsidRPr="00EC2542">
        <w:rPr>
          <w:rFonts w:eastAsia="Times New Roman" w:cs="Arial"/>
          <w:iCs/>
          <w:sz w:val="20"/>
          <w:szCs w:val="20"/>
          <w:lang w:eastAsia="es-ES"/>
        </w:rPr>
        <w:t>modificaciones sustanciales respecto de los términos previstos en el acuerdo marco</w:t>
      </w:r>
      <w:r w:rsidRPr="00EC2542">
        <w:rPr>
          <w:rFonts w:eastAsia="Times New Roman" w:cs="Arial"/>
          <w:sz w:val="20"/>
          <w:szCs w:val="20"/>
          <w:shd w:val="clear" w:color="auto" w:fill="FFFFFF"/>
          <w:lang w:eastAsia="es-ES"/>
        </w:rPr>
        <w:t>."</w:t>
      </w:r>
    </w:p>
    <w:p w:rsidR="00EC2542" w:rsidRPr="00EC2542" w:rsidRDefault="00EC2542" w:rsidP="00F57C7F">
      <w:pPr>
        <w:spacing w:after="0" w:line="240" w:lineRule="auto"/>
        <w:ind w:left="1080"/>
        <w:jc w:val="both"/>
        <w:rPr>
          <w:rFonts w:eastAsia="Times New Roman" w:cs="Arial"/>
          <w:color w:val="000000"/>
          <w:sz w:val="20"/>
          <w:szCs w:val="20"/>
          <w:lang w:eastAsia="es-ES"/>
        </w:rPr>
      </w:pPr>
      <w:r w:rsidRPr="00EC2542">
        <w:rPr>
          <w:rFonts w:eastAsia="Times New Roman" w:cs="Arial"/>
          <w:color w:val="000000"/>
          <w:sz w:val="20"/>
          <w:szCs w:val="20"/>
          <w:shd w:val="clear" w:color="auto" w:fill="FFFFFF"/>
          <w:lang w:eastAsia="es-ES"/>
        </w:rPr>
        <w:t> </w:t>
      </w:r>
    </w:p>
    <w:p w:rsidR="00F57C7F" w:rsidRDefault="00EC2542" w:rsidP="00F57C7F">
      <w:pPr>
        <w:spacing w:after="0" w:line="240" w:lineRule="auto"/>
        <w:ind w:left="540"/>
        <w:jc w:val="both"/>
        <w:rPr>
          <w:rFonts w:eastAsia="Times New Roman" w:cs="Arial"/>
          <w:i/>
          <w:sz w:val="20"/>
          <w:szCs w:val="20"/>
          <w:lang w:eastAsia="es-ES"/>
        </w:rPr>
      </w:pPr>
      <w:r w:rsidRPr="00EC2542">
        <w:rPr>
          <w:rFonts w:eastAsia="Times New Roman" w:cs="Arial"/>
          <w:i/>
          <w:sz w:val="20"/>
          <w:szCs w:val="20"/>
          <w:lang w:eastAsia="es-ES"/>
        </w:rPr>
        <w:t>Así mismo, en su cláusula 21 se recalca:</w:t>
      </w:r>
    </w:p>
    <w:p w:rsidR="00F57C7F" w:rsidRDefault="00F57C7F" w:rsidP="00F57C7F">
      <w:pPr>
        <w:spacing w:after="0" w:line="240" w:lineRule="auto"/>
        <w:ind w:left="540"/>
        <w:jc w:val="both"/>
        <w:rPr>
          <w:rFonts w:eastAsia="Times New Roman" w:cs="Arial"/>
          <w:i/>
          <w:sz w:val="20"/>
          <w:szCs w:val="20"/>
          <w:lang w:eastAsia="es-ES"/>
        </w:rPr>
      </w:pPr>
    </w:p>
    <w:p w:rsidR="00EC2542" w:rsidRPr="00EC2542" w:rsidRDefault="00EC2542" w:rsidP="00F57C7F">
      <w:pPr>
        <w:spacing w:after="0" w:line="240" w:lineRule="auto"/>
        <w:ind w:left="708"/>
        <w:jc w:val="both"/>
        <w:rPr>
          <w:rFonts w:eastAsia="Times New Roman" w:cs="Arial"/>
          <w:i/>
          <w:sz w:val="20"/>
          <w:szCs w:val="20"/>
          <w:lang w:eastAsia="es-ES"/>
        </w:rPr>
      </w:pPr>
      <w:r w:rsidRPr="00EC2542">
        <w:rPr>
          <w:rFonts w:eastAsia="Times New Roman" w:cs="Arial"/>
          <w:iCs/>
          <w:sz w:val="20"/>
          <w:szCs w:val="20"/>
          <w:lang w:eastAsia="es-ES"/>
        </w:rPr>
        <w:t xml:space="preserve">“De acuerdo con lo dispuesto en el art. 198 del TRLCSP, en los contratos basados en un acuerdo marco no se podrá, </w:t>
      </w:r>
      <w:r w:rsidRPr="00EC2542">
        <w:rPr>
          <w:rFonts w:eastAsia="Times New Roman" w:cs="Arial"/>
          <w:iCs/>
          <w:sz w:val="20"/>
          <w:szCs w:val="20"/>
          <w:u w:val="single"/>
          <w:shd w:val="clear" w:color="auto" w:fill="FFFFFF"/>
          <w:lang w:eastAsia="es-ES"/>
        </w:rPr>
        <w:t>en ningún caso</w:t>
      </w:r>
      <w:r w:rsidRPr="00EC2542">
        <w:rPr>
          <w:rFonts w:eastAsia="Times New Roman" w:cs="Arial"/>
          <w:sz w:val="20"/>
          <w:szCs w:val="20"/>
          <w:u w:val="single"/>
          <w:shd w:val="clear" w:color="auto" w:fill="FFFFFF"/>
          <w:lang w:eastAsia="es-ES"/>
        </w:rPr>
        <w:t xml:space="preserve">, </w:t>
      </w:r>
      <w:r w:rsidRPr="00EC2542">
        <w:rPr>
          <w:rFonts w:eastAsia="Times New Roman" w:cs="Arial"/>
          <w:iCs/>
          <w:sz w:val="20"/>
          <w:szCs w:val="20"/>
          <w:u w:val="single"/>
          <w:shd w:val="clear" w:color="auto" w:fill="FFFFFF"/>
          <w:lang w:eastAsia="es-ES"/>
        </w:rPr>
        <w:t xml:space="preserve">introducir modificaciones </w:t>
      </w:r>
      <w:r w:rsidRPr="00EC2542">
        <w:rPr>
          <w:rFonts w:eastAsia="Times New Roman" w:cs="Arial"/>
          <w:iCs/>
          <w:sz w:val="20"/>
          <w:szCs w:val="20"/>
          <w:lang w:eastAsia="es-ES"/>
        </w:rPr>
        <w:t>sustanciales respecto de los términos establecidos en el acuerdo marco</w:t>
      </w:r>
      <w:proofErr w:type="gramStart"/>
      <w:r w:rsidRPr="00EC2542">
        <w:rPr>
          <w:rFonts w:eastAsia="Times New Roman" w:cs="Arial"/>
          <w:iCs/>
          <w:sz w:val="20"/>
          <w:szCs w:val="20"/>
          <w:lang w:eastAsia="es-ES"/>
        </w:rPr>
        <w:t>. ”</w:t>
      </w:r>
      <w:proofErr w:type="gramEnd"/>
    </w:p>
    <w:p w:rsidR="00EC2542" w:rsidRPr="00EC2542" w:rsidRDefault="00EC2542" w:rsidP="0008294F">
      <w:pPr>
        <w:spacing w:after="0" w:line="240" w:lineRule="auto"/>
        <w:ind w:left="708"/>
        <w:jc w:val="both"/>
        <w:rPr>
          <w:rFonts w:eastAsia="Times New Roman" w:cs="Arial"/>
          <w:i/>
          <w:sz w:val="20"/>
          <w:szCs w:val="20"/>
          <w:lang w:eastAsia="es-ES"/>
        </w:rPr>
      </w:pPr>
      <w:r w:rsidRPr="00EC2542">
        <w:rPr>
          <w:rFonts w:eastAsia="Times New Roman" w:cs="Arial"/>
          <w:i/>
          <w:sz w:val="20"/>
          <w:szCs w:val="20"/>
          <w:lang w:eastAsia="es-ES"/>
        </w:rPr>
        <w:t>Por otro lado, el Acta de precios contradictorios hace referencia a la Ley 9/2017, si bien el régimen jurídico que gobierna este acuerdo marco es el TRLCSP aprobado por Real Decreto Legislativo 3/2011, de 14 de noviembre, que en su artículo 198.1, al regular la adjudicación de los contratos basados en un acuerdo marco, establece:</w:t>
      </w:r>
    </w:p>
    <w:p w:rsidR="00EC2542" w:rsidRPr="00EC2542" w:rsidRDefault="00EC2542" w:rsidP="0008294F">
      <w:pPr>
        <w:spacing w:after="0" w:line="240" w:lineRule="auto"/>
        <w:ind w:left="540"/>
        <w:jc w:val="both"/>
        <w:rPr>
          <w:rFonts w:eastAsia="Times New Roman" w:cs="Arial"/>
          <w:i/>
          <w:sz w:val="20"/>
          <w:szCs w:val="20"/>
          <w:lang w:eastAsia="es-ES"/>
        </w:rPr>
      </w:pPr>
      <w:r w:rsidRPr="00EC2542">
        <w:rPr>
          <w:rFonts w:eastAsia="Times New Roman" w:cs="Arial"/>
          <w:i/>
          <w:sz w:val="20"/>
          <w:szCs w:val="20"/>
          <w:lang w:eastAsia="es-ES"/>
        </w:rPr>
        <w:t> </w:t>
      </w:r>
    </w:p>
    <w:p w:rsidR="00EC2542" w:rsidRDefault="00EC2542" w:rsidP="0008294F">
      <w:pPr>
        <w:spacing w:after="0" w:line="240" w:lineRule="auto"/>
        <w:ind w:left="1080"/>
        <w:jc w:val="both"/>
        <w:rPr>
          <w:rFonts w:eastAsia="Times New Roman" w:cs="Arial"/>
          <w:iCs/>
          <w:sz w:val="20"/>
          <w:szCs w:val="20"/>
          <w:lang w:eastAsia="es-ES"/>
        </w:rPr>
      </w:pPr>
      <w:r w:rsidRPr="00EC2542">
        <w:rPr>
          <w:rFonts w:eastAsia="Times New Roman" w:cs="Arial"/>
          <w:iCs/>
          <w:sz w:val="20"/>
          <w:szCs w:val="20"/>
          <w:lang w:eastAsia="es-ES"/>
        </w:rPr>
        <w:t> “1.- En estos contratos, en particular en el caso previsto en el apartado 3 de este artículo, las partes no podrán, en ningún caso, introducir modificaciones sustanciales respecto de los términos establecidos en el acuerdo marco.</w:t>
      </w:r>
    </w:p>
    <w:p w:rsidR="00F57C7F" w:rsidRPr="00EC2542" w:rsidRDefault="00F57C7F" w:rsidP="0008294F">
      <w:pPr>
        <w:spacing w:after="0" w:line="240" w:lineRule="auto"/>
        <w:ind w:left="1080"/>
        <w:jc w:val="both"/>
        <w:rPr>
          <w:rFonts w:eastAsia="Times New Roman" w:cs="Arial"/>
          <w:sz w:val="20"/>
          <w:szCs w:val="20"/>
          <w:lang w:eastAsia="es-ES"/>
        </w:rPr>
      </w:pPr>
    </w:p>
    <w:p w:rsidR="00EC2542" w:rsidRPr="00EC2542" w:rsidRDefault="00EC2542" w:rsidP="0008294F">
      <w:pPr>
        <w:spacing w:after="0" w:line="240" w:lineRule="auto"/>
        <w:ind w:left="1080"/>
        <w:jc w:val="both"/>
        <w:rPr>
          <w:rFonts w:eastAsia="Times New Roman" w:cs="Arial"/>
          <w:sz w:val="20"/>
          <w:szCs w:val="20"/>
          <w:lang w:eastAsia="es-ES"/>
        </w:rPr>
      </w:pPr>
      <w:r w:rsidRPr="00EC2542">
        <w:rPr>
          <w:rFonts w:eastAsia="Times New Roman" w:cs="Arial"/>
          <w:iCs/>
          <w:sz w:val="20"/>
          <w:szCs w:val="20"/>
          <w:lang w:eastAsia="es-ES"/>
        </w:rPr>
        <w:t> 3.- Cuando el acuerdo marco se hubiese concluido con un único empresario.”</w:t>
      </w:r>
    </w:p>
    <w:p w:rsidR="00EC2542" w:rsidRPr="00EC2542" w:rsidRDefault="00EC2542" w:rsidP="0008294F">
      <w:pPr>
        <w:spacing w:after="0" w:line="240" w:lineRule="auto"/>
        <w:ind w:left="1080"/>
        <w:jc w:val="both"/>
        <w:rPr>
          <w:rFonts w:eastAsia="Times New Roman" w:cs="Arial"/>
          <w:i/>
          <w:sz w:val="20"/>
          <w:szCs w:val="20"/>
          <w:lang w:eastAsia="es-ES"/>
        </w:rPr>
      </w:pPr>
      <w:r w:rsidRPr="00EC2542">
        <w:rPr>
          <w:rFonts w:eastAsia="Times New Roman" w:cs="Arial"/>
          <w:i/>
          <w:sz w:val="20"/>
          <w:szCs w:val="20"/>
          <w:lang w:eastAsia="es-ES"/>
        </w:rPr>
        <w:t> </w:t>
      </w:r>
    </w:p>
    <w:p w:rsidR="00EC2542" w:rsidRPr="00EC2542" w:rsidRDefault="00EC2542" w:rsidP="0008294F">
      <w:pPr>
        <w:spacing w:after="0" w:line="240" w:lineRule="auto"/>
        <w:ind w:left="540"/>
        <w:jc w:val="both"/>
        <w:rPr>
          <w:rFonts w:eastAsia="Times New Roman" w:cs="Arial"/>
          <w:i/>
          <w:sz w:val="20"/>
          <w:szCs w:val="20"/>
          <w:lang w:eastAsia="es-ES"/>
        </w:rPr>
      </w:pPr>
      <w:r w:rsidRPr="00EC2542">
        <w:rPr>
          <w:rFonts w:eastAsia="Times New Roman" w:cs="Arial"/>
          <w:i/>
          <w:sz w:val="20"/>
          <w:szCs w:val="20"/>
          <w:lang w:eastAsia="es-ES"/>
        </w:rPr>
        <w:t>Siendo éste, el caso en el que nos encontramos.</w:t>
      </w:r>
    </w:p>
    <w:p w:rsidR="00EC2542" w:rsidRPr="00EC2542" w:rsidRDefault="00EC2542" w:rsidP="0008294F">
      <w:pPr>
        <w:spacing w:after="0" w:line="240" w:lineRule="auto"/>
        <w:ind w:left="540"/>
        <w:jc w:val="both"/>
        <w:rPr>
          <w:rFonts w:eastAsia="Times New Roman" w:cs="Arial"/>
          <w:i/>
          <w:sz w:val="20"/>
          <w:szCs w:val="20"/>
          <w:lang w:eastAsia="es-ES"/>
        </w:rPr>
      </w:pPr>
      <w:r w:rsidRPr="00EC2542">
        <w:rPr>
          <w:rFonts w:eastAsia="Times New Roman" w:cs="Arial"/>
          <w:i/>
          <w:sz w:val="20"/>
          <w:szCs w:val="20"/>
          <w:lang w:eastAsia="es-ES"/>
        </w:rPr>
        <w:t> </w:t>
      </w:r>
    </w:p>
    <w:p w:rsidR="00EC2542" w:rsidRDefault="00EC2542" w:rsidP="0008294F">
      <w:pPr>
        <w:spacing w:after="0" w:line="240" w:lineRule="auto"/>
        <w:ind w:left="540"/>
        <w:jc w:val="both"/>
        <w:rPr>
          <w:rFonts w:eastAsia="Times New Roman" w:cs="Arial"/>
          <w:i/>
          <w:sz w:val="20"/>
          <w:szCs w:val="20"/>
          <w:lang w:eastAsia="es-ES"/>
        </w:rPr>
      </w:pPr>
      <w:r w:rsidRPr="00EC2542">
        <w:rPr>
          <w:rFonts w:eastAsia="Times New Roman" w:cs="Arial"/>
          <w:i/>
          <w:sz w:val="20"/>
          <w:szCs w:val="20"/>
          <w:lang w:eastAsia="es-ES"/>
        </w:rPr>
        <w:t>Finalmente, la cláusula 4</w:t>
      </w:r>
      <w:r w:rsidRPr="00EC2542">
        <w:rPr>
          <w:rFonts w:eastAsia="Times New Roman" w:cs="Arial"/>
          <w:i/>
          <w:sz w:val="20"/>
          <w:szCs w:val="20"/>
          <w:vertAlign w:val="superscript"/>
          <w:lang w:eastAsia="es-ES"/>
        </w:rPr>
        <w:t>a</w:t>
      </w:r>
      <w:r w:rsidRPr="00EC2542">
        <w:rPr>
          <w:rFonts w:eastAsia="Times New Roman" w:cs="Arial"/>
          <w:i/>
          <w:sz w:val="20"/>
          <w:szCs w:val="20"/>
          <w:lang w:eastAsia="es-ES"/>
        </w:rPr>
        <w:t xml:space="preserve">, párrafo 14 indica: </w:t>
      </w:r>
      <w:r w:rsidRPr="00EC2542">
        <w:rPr>
          <w:rFonts w:eastAsia="Times New Roman" w:cs="Arial"/>
          <w:iCs/>
          <w:sz w:val="20"/>
          <w:szCs w:val="20"/>
          <w:lang w:eastAsia="es-ES"/>
        </w:rPr>
        <w:t>“Si fuera necesario ejecutar alguna unidad de obra no comprendida en la Base de Precios del Contrato, los precios de aplicación de la misma serán elaborados de acuerdo con la base de precios de referencia denominada “Precio Centro de la Construcción, (Edificación, Urbanización y Mantenimiento) año 2016.”</w:t>
      </w:r>
      <w:r w:rsidRPr="00EC2542">
        <w:rPr>
          <w:rFonts w:eastAsia="Times New Roman" w:cs="Arial"/>
          <w:i/>
          <w:sz w:val="20"/>
          <w:szCs w:val="20"/>
          <w:lang w:eastAsia="es-ES"/>
        </w:rPr>
        <w:t xml:space="preserve"> </w:t>
      </w:r>
    </w:p>
    <w:p w:rsidR="00EC2542" w:rsidRDefault="00EC2542" w:rsidP="0008294F">
      <w:pPr>
        <w:spacing w:after="0" w:line="240" w:lineRule="auto"/>
        <w:ind w:left="540"/>
        <w:jc w:val="both"/>
        <w:rPr>
          <w:rFonts w:eastAsia="Times New Roman" w:cs="Arial"/>
          <w:i/>
          <w:sz w:val="20"/>
          <w:szCs w:val="20"/>
          <w:lang w:eastAsia="es-ES"/>
        </w:rPr>
      </w:pPr>
    </w:p>
    <w:p w:rsidR="00EC2542" w:rsidRPr="00EC2542" w:rsidRDefault="00EC2542" w:rsidP="0008294F">
      <w:pPr>
        <w:spacing w:after="0" w:line="240" w:lineRule="auto"/>
        <w:ind w:left="540"/>
        <w:jc w:val="both"/>
        <w:rPr>
          <w:rFonts w:eastAsia="Times New Roman" w:cs="Arial"/>
          <w:i/>
          <w:sz w:val="20"/>
          <w:szCs w:val="20"/>
          <w:lang w:eastAsia="es-ES"/>
        </w:rPr>
      </w:pPr>
      <w:r w:rsidRPr="00EC2542">
        <w:rPr>
          <w:rFonts w:eastAsia="Times New Roman" w:cs="Arial"/>
          <w:i/>
          <w:sz w:val="20"/>
          <w:szCs w:val="20"/>
          <w:lang w:eastAsia="es-ES"/>
        </w:rPr>
        <w:t>En este sentido, los precios nuevos incorporados no están recogidos por la mencionada base de precios</w:t>
      </w:r>
      <w:proofErr w:type="gramStart"/>
      <w:r w:rsidRPr="00EC2542">
        <w:rPr>
          <w:rFonts w:eastAsia="Times New Roman" w:cs="Arial"/>
          <w:i/>
          <w:sz w:val="20"/>
          <w:szCs w:val="20"/>
          <w:lang w:eastAsia="es-ES"/>
        </w:rPr>
        <w:t>.</w:t>
      </w:r>
      <w:r w:rsidRPr="00EC2542">
        <w:rPr>
          <w:rFonts w:eastAsia="Times New Roman" w:cs="Arial"/>
          <w:i/>
          <w:iCs/>
          <w:sz w:val="20"/>
          <w:szCs w:val="20"/>
          <w:shd w:val="clear" w:color="auto" w:fill="FFFFFF"/>
          <w:lang w:eastAsia="es-ES"/>
        </w:rPr>
        <w:t xml:space="preserve"> ”</w:t>
      </w:r>
      <w:proofErr w:type="gramEnd"/>
    </w:p>
    <w:p w:rsidR="001D2D78" w:rsidRPr="00EC2542" w:rsidRDefault="001D2D78" w:rsidP="0008294F">
      <w:pPr>
        <w:spacing w:after="0" w:line="240" w:lineRule="auto"/>
        <w:ind w:right="-2"/>
        <w:jc w:val="both"/>
        <w:rPr>
          <w:rFonts w:cs="Arial"/>
          <w:b/>
        </w:rPr>
      </w:pPr>
    </w:p>
    <w:p w:rsidR="00C114DD" w:rsidRDefault="00C114DD" w:rsidP="0008294F">
      <w:pPr>
        <w:spacing w:after="0" w:line="240" w:lineRule="auto"/>
        <w:ind w:right="-2"/>
        <w:jc w:val="both"/>
        <w:rPr>
          <w:rFonts w:cs="Arial"/>
        </w:rPr>
      </w:pPr>
      <w:r w:rsidRPr="00531B62">
        <w:rPr>
          <w:rFonts w:cs="Arial"/>
          <w:b/>
        </w:rPr>
        <w:t>3</w:t>
      </w:r>
      <w:r w:rsidRPr="00531B62">
        <w:rPr>
          <w:rFonts w:cs="Arial"/>
        </w:rPr>
        <w:t xml:space="preserve">. Con fecha </w:t>
      </w:r>
      <w:r w:rsidR="00EC2542">
        <w:rPr>
          <w:rFonts w:cs="Arial"/>
        </w:rPr>
        <w:t>26</w:t>
      </w:r>
      <w:r w:rsidR="0001462B" w:rsidRPr="00531B62">
        <w:rPr>
          <w:rFonts w:cs="Arial"/>
        </w:rPr>
        <w:t xml:space="preserve"> de </w:t>
      </w:r>
      <w:r w:rsidR="00EC2542">
        <w:rPr>
          <w:rFonts w:cs="Arial"/>
        </w:rPr>
        <w:t>dic</w:t>
      </w:r>
      <w:r w:rsidR="0001462B">
        <w:rPr>
          <w:rFonts w:cs="Arial"/>
        </w:rPr>
        <w:t>iembre</w:t>
      </w:r>
      <w:r w:rsidR="0001462B" w:rsidRPr="00531B62">
        <w:rPr>
          <w:rFonts w:cs="Arial"/>
        </w:rPr>
        <w:t xml:space="preserve"> de 20</w:t>
      </w:r>
      <w:r w:rsidR="0001462B">
        <w:rPr>
          <w:rFonts w:cs="Arial"/>
        </w:rPr>
        <w:t>19</w:t>
      </w:r>
      <w:r w:rsidRPr="00531B62">
        <w:rPr>
          <w:rFonts w:cs="Arial"/>
        </w:rPr>
        <w:t xml:space="preserve">, </w:t>
      </w:r>
      <w:r w:rsidR="0001462B">
        <w:rPr>
          <w:rFonts w:cs="Arial"/>
        </w:rPr>
        <w:t>se formula escrito de contestación a</w:t>
      </w:r>
      <w:r w:rsidR="00EC2542">
        <w:rPr>
          <w:rFonts w:cs="Arial"/>
        </w:rPr>
        <w:t xml:space="preserve"> </w:t>
      </w:r>
      <w:r w:rsidR="0001462B">
        <w:rPr>
          <w:rFonts w:cs="Arial"/>
        </w:rPr>
        <w:t>l</w:t>
      </w:r>
      <w:r w:rsidR="00EC2542">
        <w:rPr>
          <w:rFonts w:cs="Arial"/>
        </w:rPr>
        <w:t>a actuación interesada</w:t>
      </w:r>
      <w:r w:rsidR="0001462B">
        <w:rPr>
          <w:rFonts w:cs="Arial"/>
        </w:rPr>
        <w:t xml:space="preserve"> en el que se incluyen las siguientes </w:t>
      </w:r>
      <w:r w:rsidR="00EC2542">
        <w:rPr>
          <w:rFonts w:cs="Arial"/>
        </w:rPr>
        <w:t>manifestaciones</w:t>
      </w:r>
      <w:r w:rsidR="0001462B">
        <w:rPr>
          <w:rFonts w:cs="Arial"/>
        </w:rPr>
        <w:t xml:space="preserve">: </w:t>
      </w:r>
    </w:p>
    <w:p w:rsidR="00CD4538" w:rsidRDefault="00CD4538" w:rsidP="0008294F">
      <w:pPr>
        <w:spacing w:after="0" w:line="240" w:lineRule="auto"/>
        <w:ind w:right="-2"/>
        <w:jc w:val="both"/>
        <w:rPr>
          <w:rFonts w:cs="Arial"/>
        </w:rPr>
      </w:pPr>
    </w:p>
    <w:p w:rsidR="00EC2542" w:rsidRPr="00EC2542" w:rsidRDefault="00EC2542" w:rsidP="0008294F">
      <w:pPr>
        <w:spacing w:after="0" w:line="240" w:lineRule="auto"/>
        <w:ind w:left="708"/>
        <w:jc w:val="both"/>
        <w:rPr>
          <w:rFonts w:eastAsia="Times New Roman" w:cs="Arial"/>
          <w:i/>
          <w:color w:val="000000"/>
          <w:sz w:val="20"/>
          <w:szCs w:val="20"/>
          <w:lang w:eastAsia="es-ES"/>
        </w:rPr>
      </w:pPr>
      <w:r>
        <w:rPr>
          <w:rFonts w:eastAsia="Times New Roman" w:cs="Arial"/>
          <w:i/>
          <w:color w:val="000000"/>
          <w:sz w:val="20"/>
          <w:szCs w:val="20"/>
          <w:lang w:eastAsia="es-ES"/>
        </w:rPr>
        <w:t>“</w:t>
      </w:r>
      <w:r w:rsidRPr="00EC2542">
        <w:rPr>
          <w:rFonts w:eastAsia="Times New Roman" w:cs="Arial"/>
          <w:i/>
          <w:color w:val="000000"/>
          <w:sz w:val="20"/>
          <w:szCs w:val="20"/>
          <w:lang w:eastAsia="es-ES"/>
        </w:rPr>
        <w:t xml:space="preserve">-En relación a los precios contradictorios que aparecen en las certificaciones, hay que aclarar que </w:t>
      </w:r>
      <w:r w:rsidRPr="00EC2542">
        <w:rPr>
          <w:rFonts w:eastAsia="Times New Roman" w:cs="Arial"/>
          <w:bCs/>
          <w:i/>
          <w:color w:val="000000"/>
          <w:sz w:val="20"/>
          <w:szCs w:val="20"/>
          <w:lang w:eastAsia="es-ES"/>
        </w:rPr>
        <w:t>son precios incluidos en el proyecto de ejecución</w:t>
      </w:r>
      <w:r w:rsidRPr="00EC2542">
        <w:rPr>
          <w:rFonts w:eastAsia="Times New Roman" w:cs="Arial"/>
          <w:i/>
          <w:color w:val="000000"/>
          <w:sz w:val="20"/>
          <w:szCs w:val="20"/>
          <w:lang w:eastAsia="es-ES"/>
        </w:rPr>
        <w:t xml:space="preserve"> por lo que no se trata de modificaciones del proyecto.</w:t>
      </w:r>
    </w:p>
    <w:p w:rsidR="00EC2542" w:rsidRPr="00EC2542" w:rsidRDefault="00EC2542" w:rsidP="0008294F">
      <w:pPr>
        <w:spacing w:after="0" w:line="240" w:lineRule="auto"/>
        <w:ind w:left="708"/>
        <w:jc w:val="both"/>
        <w:rPr>
          <w:rFonts w:eastAsia="Times New Roman" w:cs="Arial"/>
          <w:i/>
          <w:color w:val="000000"/>
          <w:sz w:val="20"/>
          <w:szCs w:val="20"/>
          <w:lang w:eastAsia="es-ES"/>
        </w:rPr>
      </w:pPr>
      <w:r w:rsidRPr="00EC2542">
        <w:rPr>
          <w:rFonts w:eastAsia="Times New Roman" w:cs="Arial"/>
          <w:i/>
          <w:color w:val="000000"/>
          <w:sz w:val="20"/>
          <w:szCs w:val="20"/>
          <w:lang w:eastAsia="es-ES"/>
        </w:rPr>
        <w:t> </w:t>
      </w:r>
    </w:p>
    <w:p w:rsidR="00EC2542" w:rsidRPr="00EC2542" w:rsidRDefault="00EC2542" w:rsidP="0008294F">
      <w:pPr>
        <w:spacing w:after="0" w:line="240" w:lineRule="auto"/>
        <w:ind w:left="708"/>
        <w:jc w:val="both"/>
        <w:rPr>
          <w:rFonts w:eastAsia="Times New Roman" w:cs="Arial"/>
          <w:i/>
          <w:color w:val="000000"/>
          <w:sz w:val="20"/>
          <w:szCs w:val="20"/>
          <w:lang w:eastAsia="es-ES"/>
        </w:rPr>
      </w:pPr>
      <w:r w:rsidRPr="00EC2542">
        <w:rPr>
          <w:rFonts w:eastAsia="Times New Roman" w:cs="Arial"/>
          <w:bCs/>
          <w:i/>
          <w:color w:val="000000"/>
          <w:sz w:val="20"/>
          <w:szCs w:val="20"/>
          <w:lang w:eastAsia="es-ES"/>
        </w:rPr>
        <w:t xml:space="preserve">La firma del contrato derivado de la obra es posterior a la firma del Acta de precios contradictorios. Por lo </w:t>
      </w:r>
      <w:proofErr w:type="gramStart"/>
      <w:r w:rsidRPr="00EC2542">
        <w:rPr>
          <w:rFonts w:eastAsia="Times New Roman" w:cs="Arial"/>
          <w:bCs/>
          <w:i/>
          <w:color w:val="000000"/>
          <w:sz w:val="20"/>
          <w:szCs w:val="20"/>
          <w:lang w:eastAsia="es-ES"/>
        </w:rPr>
        <w:t>tanto</w:t>
      </w:r>
      <w:proofErr w:type="gramEnd"/>
      <w:r w:rsidRPr="00EC2542">
        <w:rPr>
          <w:rFonts w:eastAsia="Times New Roman" w:cs="Arial"/>
          <w:bCs/>
          <w:i/>
          <w:color w:val="000000"/>
          <w:sz w:val="20"/>
          <w:szCs w:val="20"/>
          <w:lang w:eastAsia="es-ES"/>
        </w:rPr>
        <w:t xml:space="preserve"> no se trata de unidades nuevas, si no de unidades contenidas en el proyecto.</w:t>
      </w:r>
    </w:p>
    <w:p w:rsidR="00EC2542" w:rsidRPr="00EC2542" w:rsidRDefault="00EC2542" w:rsidP="0008294F">
      <w:pPr>
        <w:spacing w:after="0" w:line="240" w:lineRule="auto"/>
        <w:ind w:left="708"/>
        <w:jc w:val="both"/>
        <w:rPr>
          <w:rFonts w:eastAsia="Times New Roman" w:cs="Arial"/>
          <w:i/>
          <w:color w:val="000000"/>
          <w:sz w:val="20"/>
          <w:szCs w:val="20"/>
          <w:lang w:eastAsia="es-ES"/>
        </w:rPr>
      </w:pPr>
      <w:r w:rsidRPr="00EC2542">
        <w:rPr>
          <w:rFonts w:eastAsia="Times New Roman" w:cs="Arial"/>
          <w:i/>
          <w:color w:val="000000"/>
          <w:sz w:val="20"/>
          <w:szCs w:val="20"/>
          <w:lang w:eastAsia="es-ES"/>
        </w:rPr>
        <w:t> </w:t>
      </w:r>
    </w:p>
    <w:p w:rsidR="00EC2542" w:rsidRPr="00EC2542" w:rsidRDefault="00EC2542" w:rsidP="0008294F">
      <w:pPr>
        <w:spacing w:after="0" w:line="240" w:lineRule="auto"/>
        <w:ind w:left="708"/>
        <w:jc w:val="both"/>
        <w:rPr>
          <w:rFonts w:eastAsia="Times New Roman" w:cs="Arial"/>
          <w:i/>
          <w:color w:val="000000"/>
          <w:sz w:val="20"/>
          <w:szCs w:val="20"/>
          <w:lang w:eastAsia="es-ES"/>
        </w:rPr>
      </w:pPr>
      <w:r w:rsidRPr="00EC2542">
        <w:rPr>
          <w:rFonts w:eastAsia="Times New Roman" w:cs="Arial"/>
          <w:i/>
          <w:iCs/>
          <w:color w:val="000000"/>
          <w:sz w:val="20"/>
          <w:szCs w:val="20"/>
          <w:lang w:eastAsia="es-ES"/>
        </w:rPr>
        <w:t>- L</w:t>
      </w:r>
      <w:r w:rsidRPr="00EC2542">
        <w:rPr>
          <w:rFonts w:eastAsia="Times New Roman" w:cs="Arial"/>
          <w:bCs/>
          <w:i/>
          <w:iCs/>
          <w:color w:val="000000"/>
          <w:sz w:val="20"/>
          <w:szCs w:val="20"/>
          <w:lang w:eastAsia="es-ES"/>
        </w:rPr>
        <w:t>os precios contradictorios contenidos en el proyecto que no aparecen en la base de datos "Precio Centro de la Construcción, (Edificación, Urbanización y Mantenimiento) año 2.016 han sido redactados con arreglo a los precios simples contenidos en esta base.</w:t>
      </w:r>
      <w:r w:rsidRPr="00EC2542">
        <w:rPr>
          <w:rFonts w:eastAsia="Times New Roman" w:cs="Arial"/>
          <w:i/>
          <w:iCs/>
          <w:color w:val="000000"/>
          <w:sz w:val="20"/>
          <w:szCs w:val="20"/>
          <w:lang w:eastAsia="es-ES"/>
        </w:rPr>
        <w:t xml:space="preserve"> Tal y como indica la cláusula 4^ del párrafo 14 del PCAP y según consta en las Actas de Precios Contradictorios.</w:t>
      </w:r>
      <w:r>
        <w:rPr>
          <w:rFonts w:eastAsia="Times New Roman" w:cs="Arial"/>
          <w:i/>
          <w:iCs/>
          <w:color w:val="000000"/>
          <w:sz w:val="20"/>
          <w:szCs w:val="20"/>
          <w:lang w:eastAsia="es-ES"/>
        </w:rPr>
        <w:t>”</w:t>
      </w:r>
    </w:p>
    <w:p w:rsidR="002862DB" w:rsidRPr="00EC2542" w:rsidRDefault="002862DB" w:rsidP="0008294F">
      <w:pPr>
        <w:spacing w:after="0" w:line="240" w:lineRule="auto"/>
        <w:ind w:left="708" w:right="-2"/>
        <w:jc w:val="both"/>
        <w:rPr>
          <w:rFonts w:cs="Arial"/>
          <w:i/>
          <w:sz w:val="20"/>
          <w:szCs w:val="20"/>
        </w:rPr>
      </w:pPr>
    </w:p>
    <w:p w:rsidR="00C114DD" w:rsidRDefault="00C114DD" w:rsidP="0008294F">
      <w:pPr>
        <w:spacing w:after="0" w:line="240" w:lineRule="auto"/>
        <w:ind w:right="-2"/>
        <w:jc w:val="both"/>
        <w:rPr>
          <w:rFonts w:cs="Arial"/>
          <w:i/>
          <w:sz w:val="20"/>
          <w:szCs w:val="20"/>
        </w:rPr>
      </w:pPr>
      <w:r w:rsidRPr="00531B62">
        <w:rPr>
          <w:rFonts w:cs="Arial"/>
          <w:b/>
        </w:rPr>
        <w:t xml:space="preserve">4. </w:t>
      </w:r>
      <w:r w:rsidRPr="00531B62">
        <w:rPr>
          <w:rFonts w:cs="Arial"/>
        </w:rPr>
        <w:t xml:space="preserve">Con fecha </w:t>
      </w:r>
      <w:r w:rsidR="002862DB">
        <w:rPr>
          <w:rFonts w:cs="Arial"/>
        </w:rPr>
        <w:t>2</w:t>
      </w:r>
      <w:r w:rsidR="00EC2542">
        <w:rPr>
          <w:rFonts w:cs="Arial"/>
        </w:rPr>
        <w:t>7</w:t>
      </w:r>
      <w:r w:rsidR="002862DB" w:rsidRPr="00531B62">
        <w:rPr>
          <w:rFonts w:cs="Arial"/>
        </w:rPr>
        <w:t xml:space="preserve"> de </w:t>
      </w:r>
      <w:r w:rsidR="00EC2542">
        <w:rPr>
          <w:rFonts w:cs="Arial"/>
        </w:rPr>
        <w:t>diciem</w:t>
      </w:r>
      <w:r w:rsidR="002862DB">
        <w:rPr>
          <w:rFonts w:cs="Arial"/>
        </w:rPr>
        <w:t>bre</w:t>
      </w:r>
      <w:r w:rsidR="002862DB" w:rsidRPr="00531B62">
        <w:rPr>
          <w:rFonts w:cs="Arial"/>
        </w:rPr>
        <w:t xml:space="preserve"> de 20</w:t>
      </w:r>
      <w:r w:rsidR="002862DB">
        <w:rPr>
          <w:rFonts w:cs="Arial"/>
        </w:rPr>
        <w:t>19</w:t>
      </w:r>
      <w:r w:rsidRPr="00531B62">
        <w:rPr>
          <w:rFonts w:cs="Arial"/>
        </w:rPr>
        <w:t>, la Intervención D</w:t>
      </w:r>
      <w:r w:rsidR="002862DB">
        <w:rPr>
          <w:rFonts w:cs="Arial"/>
        </w:rPr>
        <w:t xml:space="preserve">elegada </w:t>
      </w:r>
      <w:r w:rsidR="00EC2542">
        <w:rPr>
          <w:rFonts w:cs="Arial"/>
        </w:rPr>
        <w:t xml:space="preserve">formula reparo en base al artículo </w:t>
      </w:r>
      <w:r w:rsidR="00EC2542" w:rsidRPr="00233881">
        <w:rPr>
          <w:rFonts w:cs="Arial"/>
        </w:rPr>
        <w:t xml:space="preserve">87 c) </w:t>
      </w:r>
      <w:r w:rsidR="00EC2542" w:rsidRPr="00531B62">
        <w:rPr>
          <w:rFonts w:cs="Arial"/>
        </w:rPr>
        <w:t>de la Ley 9/1990</w:t>
      </w:r>
      <w:r w:rsidR="00EC2542">
        <w:rPr>
          <w:rFonts w:cs="Arial"/>
        </w:rPr>
        <w:t>, por los motivos señalados en la actuación interesada de 23 de diciembre de 2019</w:t>
      </w:r>
      <w:r w:rsidR="008864E4">
        <w:rPr>
          <w:rFonts w:cs="Arial"/>
        </w:rPr>
        <w:t>, reparo reiterado el 12 de febrero de 2020</w:t>
      </w:r>
      <w:r w:rsidR="00EC2542">
        <w:rPr>
          <w:rFonts w:cs="Arial"/>
        </w:rPr>
        <w:t>.</w:t>
      </w:r>
    </w:p>
    <w:p w:rsidR="00CD4538" w:rsidRPr="00BE4ED6" w:rsidRDefault="00CD4538" w:rsidP="0008294F">
      <w:pPr>
        <w:spacing w:after="0" w:line="240" w:lineRule="auto"/>
        <w:ind w:right="-2"/>
        <w:jc w:val="both"/>
        <w:rPr>
          <w:rFonts w:cs="Arial"/>
          <w:sz w:val="20"/>
          <w:szCs w:val="20"/>
        </w:rPr>
      </w:pPr>
    </w:p>
    <w:p w:rsidR="00FB03C4" w:rsidRDefault="008864E4" w:rsidP="0008294F">
      <w:pPr>
        <w:autoSpaceDE w:val="0"/>
        <w:autoSpaceDN w:val="0"/>
        <w:adjustRightInd w:val="0"/>
        <w:spacing w:after="0" w:line="240" w:lineRule="auto"/>
        <w:jc w:val="both"/>
        <w:rPr>
          <w:rFonts w:eastAsiaTheme="minorHAnsi" w:cs="Arial"/>
          <w:bCs/>
          <w:color w:val="000000"/>
        </w:rPr>
      </w:pPr>
      <w:r>
        <w:rPr>
          <w:rFonts w:cs="Arial"/>
          <w:b/>
        </w:rPr>
        <w:t>5</w:t>
      </w:r>
      <w:r w:rsidR="00185006" w:rsidRPr="00185006">
        <w:rPr>
          <w:rFonts w:cs="Arial"/>
        </w:rPr>
        <w:t>.Con fecha 2</w:t>
      </w:r>
      <w:r>
        <w:rPr>
          <w:rFonts w:cs="Arial"/>
        </w:rPr>
        <w:t>6</w:t>
      </w:r>
      <w:r w:rsidR="00185006" w:rsidRPr="00185006">
        <w:rPr>
          <w:rFonts w:cs="Arial"/>
        </w:rPr>
        <w:t xml:space="preserve"> de mayo de 2020, se emite por el Jefe del Área de Obras del AMAS con el visto bueno del Subdirector General de In</w:t>
      </w:r>
      <w:r w:rsidR="001E0E16">
        <w:rPr>
          <w:rFonts w:cs="Arial"/>
        </w:rPr>
        <w:t xml:space="preserve">fraestructuras y Equipamientos </w:t>
      </w:r>
      <w:r w:rsidR="00185006">
        <w:rPr>
          <w:rFonts w:eastAsiaTheme="minorHAnsi" w:cs="Arial"/>
          <w:bCs/>
          <w:color w:val="000000"/>
        </w:rPr>
        <w:t>informe de discrepancia</w:t>
      </w:r>
      <w:r w:rsidR="00185006" w:rsidRPr="00185006">
        <w:rPr>
          <w:rFonts w:eastAsiaTheme="minorHAnsi" w:cs="Arial"/>
          <w:bCs/>
          <w:color w:val="000000"/>
        </w:rPr>
        <w:t xml:space="preserve"> al informe desfavorable de </w:t>
      </w:r>
      <w:r w:rsidR="00185006">
        <w:rPr>
          <w:rFonts w:eastAsiaTheme="minorHAnsi" w:cs="Arial"/>
          <w:bCs/>
          <w:color w:val="000000"/>
        </w:rPr>
        <w:t>la I</w:t>
      </w:r>
      <w:r w:rsidR="00185006" w:rsidRPr="00185006">
        <w:rPr>
          <w:rFonts w:eastAsiaTheme="minorHAnsi" w:cs="Arial"/>
          <w:bCs/>
          <w:color w:val="000000"/>
        </w:rPr>
        <w:t>ntervención</w:t>
      </w:r>
      <w:r w:rsidR="00185006">
        <w:rPr>
          <w:rFonts w:eastAsiaTheme="minorHAnsi" w:cs="Arial"/>
          <w:bCs/>
          <w:color w:val="000000"/>
        </w:rPr>
        <w:t xml:space="preserve"> D</w:t>
      </w:r>
      <w:r w:rsidR="00185006" w:rsidRPr="00185006">
        <w:rPr>
          <w:rFonts w:eastAsiaTheme="minorHAnsi" w:cs="Arial"/>
          <w:bCs/>
          <w:color w:val="000000"/>
        </w:rPr>
        <w:t xml:space="preserve">elegada </w:t>
      </w:r>
      <w:r>
        <w:rPr>
          <w:rFonts w:eastAsiaTheme="minorHAnsi" w:cs="Arial"/>
          <w:bCs/>
          <w:color w:val="000000"/>
        </w:rPr>
        <w:t xml:space="preserve">de </w:t>
      </w:r>
      <w:r w:rsidR="00185006" w:rsidRPr="00185006">
        <w:rPr>
          <w:rFonts w:eastAsiaTheme="minorHAnsi" w:cs="Arial"/>
          <w:bCs/>
          <w:color w:val="000000"/>
        </w:rPr>
        <w:t>12 de febrero de 2020</w:t>
      </w:r>
      <w:r w:rsidR="00185006">
        <w:rPr>
          <w:rFonts w:eastAsiaTheme="minorHAnsi" w:cs="Arial"/>
          <w:bCs/>
          <w:color w:val="000000"/>
        </w:rPr>
        <w:t xml:space="preserve">. </w:t>
      </w:r>
    </w:p>
    <w:p w:rsidR="00FB03C4" w:rsidRDefault="00FB03C4" w:rsidP="0008294F">
      <w:pPr>
        <w:autoSpaceDE w:val="0"/>
        <w:autoSpaceDN w:val="0"/>
        <w:adjustRightInd w:val="0"/>
        <w:spacing w:after="0" w:line="240" w:lineRule="auto"/>
        <w:jc w:val="both"/>
        <w:rPr>
          <w:rFonts w:eastAsiaTheme="minorHAnsi" w:cs="Arial"/>
          <w:bCs/>
          <w:color w:val="000000"/>
        </w:rPr>
      </w:pPr>
    </w:p>
    <w:p w:rsidR="00FB03C4" w:rsidRDefault="00FB03C4" w:rsidP="0008294F">
      <w:pPr>
        <w:autoSpaceDE w:val="0"/>
        <w:autoSpaceDN w:val="0"/>
        <w:adjustRightInd w:val="0"/>
        <w:spacing w:after="0" w:line="240" w:lineRule="auto"/>
        <w:jc w:val="both"/>
        <w:rPr>
          <w:rFonts w:eastAsiaTheme="minorHAnsi" w:cs="Arial"/>
          <w:bCs/>
          <w:color w:val="000000"/>
        </w:rPr>
      </w:pPr>
      <w:r>
        <w:rPr>
          <w:rFonts w:eastAsiaTheme="minorHAnsi" w:cs="Arial"/>
          <w:bCs/>
          <w:color w:val="000000"/>
        </w:rPr>
        <w:t xml:space="preserve">En dicho informe se fundamenta la discrepancia </w:t>
      </w:r>
      <w:r w:rsidR="006E4C9C">
        <w:rPr>
          <w:rFonts w:eastAsiaTheme="minorHAnsi" w:cs="Arial"/>
          <w:bCs/>
          <w:color w:val="000000"/>
        </w:rPr>
        <w:t xml:space="preserve">reiterando los argumentos empleados en la contestación a la actuación interesada y añadiendo </w:t>
      </w:r>
      <w:r>
        <w:rPr>
          <w:rFonts w:eastAsiaTheme="minorHAnsi" w:cs="Arial"/>
          <w:bCs/>
          <w:color w:val="000000"/>
        </w:rPr>
        <w:t xml:space="preserve">las siguientes consideraciones: </w:t>
      </w:r>
    </w:p>
    <w:p w:rsidR="008864E4" w:rsidRPr="008864E4" w:rsidRDefault="008864E4" w:rsidP="0008294F">
      <w:pPr>
        <w:spacing w:after="0" w:line="240" w:lineRule="auto"/>
        <w:ind w:left="1608"/>
        <w:jc w:val="both"/>
        <w:rPr>
          <w:rFonts w:eastAsia="Times New Roman" w:cs="Arial"/>
          <w:i/>
          <w:color w:val="000000"/>
          <w:sz w:val="20"/>
          <w:szCs w:val="20"/>
          <w:lang w:eastAsia="es-ES"/>
        </w:rPr>
      </w:pPr>
      <w:r w:rsidRPr="008864E4">
        <w:rPr>
          <w:rFonts w:eastAsia="Times New Roman" w:cs="Arial"/>
          <w:i/>
          <w:color w:val="000000"/>
          <w:sz w:val="20"/>
          <w:szCs w:val="20"/>
          <w:lang w:eastAsia="es-ES"/>
        </w:rPr>
        <w:t> </w:t>
      </w:r>
    </w:p>
    <w:p w:rsidR="008864E4" w:rsidRPr="008864E4" w:rsidRDefault="008864E4" w:rsidP="0008294F">
      <w:pPr>
        <w:numPr>
          <w:ilvl w:val="0"/>
          <w:numId w:val="37"/>
        </w:numPr>
        <w:tabs>
          <w:tab w:val="clear" w:pos="720"/>
          <w:tab w:val="num" w:pos="1248"/>
        </w:tabs>
        <w:spacing w:after="0" w:line="240" w:lineRule="auto"/>
        <w:ind w:left="1068"/>
        <w:jc w:val="both"/>
        <w:textAlignment w:val="center"/>
        <w:rPr>
          <w:rFonts w:eastAsia="Times New Roman" w:cs="Arial"/>
          <w:i/>
          <w:sz w:val="20"/>
          <w:szCs w:val="20"/>
          <w:lang w:eastAsia="es-ES"/>
        </w:rPr>
      </w:pPr>
      <w:r w:rsidRPr="008864E4">
        <w:rPr>
          <w:rFonts w:eastAsia="Times New Roman" w:cs="Arial"/>
          <w:i/>
          <w:color w:val="000000"/>
          <w:sz w:val="20"/>
          <w:szCs w:val="20"/>
          <w:lang w:eastAsia="es-ES"/>
        </w:rPr>
        <w:t>Toda la documentación del proyecto, incluida la referente a los precios contradictorios fue remitida a Intervención Delegada en noviembre de 2018. En</w:t>
      </w:r>
      <w:r w:rsidRPr="008864E4">
        <w:rPr>
          <w:rFonts w:eastAsia="Times New Roman" w:cs="Arial"/>
          <w:bCs/>
          <w:i/>
          <w:color w:val="000000"/>
          <w:sz w:val="20"/>
          <w:szCs w:val="20"/>
          <w:lang w:eastAsia="es-ES"/>
        </w:rPr>
        <w:t xml:space="preserve"> el proyecto estaban reflejados los precios contradictorios codificados como “APU” y se incluía, además, el acta de aprobación de los precios contradictorios. El documento contable de Autorización y Disposición de Gasto (AD/2018/0000498823) así como la Resolución del Gerente de la AMAS y Contrato Derivado se fiscalizaron favorablemente por la Intervención Delegada Adjunta con fecha 21 de noviembre de 2018.</w:t>
      </w:r>
    </w:p>
    <w:p w:rsidR="008864E4" w:rsidRPr="008864E4" w:rsidRDefault="008864E4" w:rsidP="0008294F">
      <w:pPr>
        <w:spacing w:after="0" w:line="240" w:lineRule="auto"/>
        <w:ind w:left="1608"/>
        <w:jc w:val="both"/>
        <w:rPr>
          <w:rFonts w:eastAsia="Times New Roman" w:cs="Arial"/>
          <w:i/>
          <w:color w:val="000000"/>
          <w:sz w:val="20"/>
          <w:szCs w:val="20"/>
          <w:lang w:eastAsia="es-ES"/>
        </w:rPr>
      </w:pPr>
      <w:r w:rsidRPr="008864E4">
        <w:rPr>
          <w:rFonts w:eastAsia="Times New Roman" w:cs="Arial"/>
          <w:i/>
          <w:color w:val="000000"/>
          <w:sz w:val="20"/>
          <w:szCs w:val="20"/>
          <w:lang w:eastAsia="es-ES"/>
        </w:rPr>
        <w:t> </w:t>
      </w:r>
    </w:p>
    <w:p w:rsidR="008864E4" w:rsidRPr="008864E4" w:rsidRDefault="008864E4" w:rsidP="0008294F">
      <w:pPr>
        <w:numPr>
          <w:ilvl w:val="0"/>
          <w:numId w:val="38"/>
        </w:numPr>
        <w:tabs>
          <w:tab w:val="clear" w:pos="720"/>
          <w:tab w:val="num" w:pos="1248"/>
        </w:tabs>
        <w:spacing w:after="0" w:line="240" w:lineRule="auto"/>
        <w:ind w:left="1068"/>
        <w:jc w:val="both"/>
        <w:textAlignment w:val="center"/>
        <w:rPr>
          <w:rFonts w:eastAsia="Times New Roman" w:cs="Arial"/>
          <w:i/>
          <w:sz w:val="20"/>
          <w:szCs w:val="20"/>
          <w:lang w:eastAsia="es-ES"/>
        </w:rPr>
      </w:pPr>
      <w:r w:rsidRPr="008864E4">
        <w:rPr>
          <w:rFonts w:eastAsia="Times New Roman" w:cs="Arial"/>
          <w:i/>
          <w:color w:val="000000"/>
          <w:sz w:val="20"/>
          <w:szCs w:val="20"/>
          <w:lang w:eastAsia="es-ES"/>
        </w:rPr>
        <w:t>Se firmó el contrato derivado el 23 de noviembre de 2018 y el 27 de diciembre de 2018 se firmó el Acta de Comprobación de Replanteo. Las diez certificaciones anteriores a las 11</w:t>
      </w:r>
      <w:r>
        <w:rPr>
          <w:rFonts w:eastAsia="Times New Roman" w:cs="Arial"/>
          <w:i/>
          <w:color w:val="000000"/>
          <w:sz w:val="20"/>
          <w:szCs w:val="20"/>
          <w:lang w:eastAsia="es-ES"/>
        </w:rPr>
        <w:t>ª</w:t>
      </w:r>
      <w:r w:rsidRPr="008864E4">
        <w:rPr>
          <w:rFonts w:eastAsia="Times New Roman" w:cs="Arial"/>
          <w:i/>
          <w:color w:val="000000"/>
          <w:sz w:val="20"/>
          <w:szCs w:val="20"/>
          <w:lang w:eastAsia="es-ES"/>
        </w:rPr>
        <w:t xml:space="preserve"> y 12</w:t>
      </w:r>
      <w:r>
        <w:rPr>
          <w:rFonts w:eastAsia="Times New Roman" w:cs="Arial"/>
          <w:i/>
          <w:color w:val="000000"/>
          <w:sz w:val="20"/>
          <w:szCs w:val="20"/>
          <w:lang w:eastAsia="es-ES"/>
        </w:rPr>
        <w:t>ª</w:t>
      </w:r>
      <w:r w:rsidRPr="008864E4">
        <w:rPr>
          <w:rFonts w:eastAsia="Times New Roman" w:cs="Arial"/>
          <w:i/>
          <w:color w:val="000000"/>
          <w:sz w:val="20"/>
          <w:szCs w:val="20"/>
          <w:lang w:eastAsia="es-ES"/>
        </w:rPr>
        <w:t xml:space="preserve"> y última están fiscalizadas y abonadas, conteniendo las partidas ejecutadas con precios contradictorios.</w:t>
      </w:r>
    </w:p>
    <w:p w:rsidR="008864E4" w:rsidRPr="008864E4" w:rsidRDefault="008864E4" w:rsidP="0008294F">
      <w:pPr>
        <w:spacing w:after="0" w:line="240" w:lineRule="auto"/>
        <w:ind w:left="1068"/>
        <w:jc w:val="both"/>
        <w:textAlignment w:val="center"/>
        <w:rPr>
          <w:rFonts w:eastAsia="Times New Roman" w:cs="Arial"/>
          <w:i/>
          <w:sz w:val="20"/>
          <w:szCs w:val="20"/>
          <w:lang w:eastAsia="es-ES"/>
        </w:rPr>
      </w:pPr>
    </w:p>
    <w:p w:rsidR="008864E4" w:rsidRPr="008864E4" w:rsidRDefault="008864E4" w:rsidP="0008294F">
      <w:pPr>
        <w:numPr>
          <w:ilvl w:val="0"/>
          <w:numId w:val="38"/>
        </w:numPr>
        <w:tabs>
          <w:tab w:val="clear" w:pos="720"/>
          <w:tab w:val="num" w:pos="1248"/>
        </w:tabs>
        <w:spacing w:after="0" w:line="240" w:lineRule="auto"/>
        <w:ind w:left="1068"/>
        <w:jc w:val="both"/>
        <w:textAlignment w:val="center"/>
        <w:rPr>
          <w:rFonts w:eastAsia="Times New Roman" w:cs="Arial"/>
          <w:i/>
          <w:sz w:val="20"/>
          <w:szCs w:val="20"/>
          <w:lang w:eastAsia="es-ES"/>
        </w:rPr>
      </w:pPr>
      <w:r w:rsidRPr="008864E4">
        <w:rPr>
          <w:rFonts w:eastAsia="Times New Roman" w:cs="Arial"/>
          <w:bCs/>
          <w:i/>
          <w:color w:val="000000"/>
          <w:sz w:val="20"/>
          <w:szCs w:val="20"/>
          <w:lang w:eastAsia="es-ES"/>
        </w:rPr>
        <w:t xml:space="preserve">La firma del contrato derivado de la obra es posterior a la firma del acta de precios contradictorios. Por lo </w:t>
      </w:r>
      <w:proofErr w:type="gramStart"/>
      <w:r w:rsidRPr="008864E4">
        <w:rPr>
          <w:rFonts w:eastAsia="Times New Roman" w:cs="Arial"/>
          <w:bCs/>
          <w:i/>
          <w:color w:val="000000"/>
          <w:sz w:val="20"/>
          <w:szCs w:val="20"/>
          <w:lang w:eastAsia="es-ES"/>
        </w:rPr>
        <w:t>tanto</w:t>
      </w:r>
      <w:proofErr w:type="gramEnd"/>
      <w:r w:rsidRPr="008864E4">
        <w:rPr>
          <w:rFonts w:eastAsia="Times New Roman" w:cs="Arial"/>
          <w:bCs/>
          <w:i/>
          <w:color w:val="000000"/>
          <w:sz w:val="20"/>
          <w:szCs w:val="20"/>
          <w:lang w:eastAsia="es-ES"/>
        </w:rPr>
        <w:t xml:space="preserve"> no se trata de unidades nuevas, sino de unidades contenidas en el proyecto. No se producen modificaciones sustanciales en el Acuerdo Marco de obras.</w:t>
      </w:r>
    </w:p>
    <w:p w:rsidR="008864E4" w:rsidRPr="008864E4" w:rsidRDefault="008864E4" w:rsidP="0008294F">
      <w:pPr>
        <w:spacing w:after="0" w:line="240" w:lineRule="auto"/>
        <w:ind w:left="1608"/>
        <w:jc w:val="both"/>
        <w:rPr>
          <w:rFonts w:eastAsia="Times New Roman" w:cs="Arial"/>
          <w:i/>
          <w:color w:val="000000"/>
          <w:sz w:val="20"/>
          <w:szCs w:val="20"/>
          <w:lang w:eastAsia="es-ES"/>
        </w:rPr>
      </w:pPr>
      <w:r w:rsidRPr="008864E4">
        <w:rPr>
          <w:rFonts w:eastAsia="Times New Roman" w:cs="Arial"/>
          <w:i/>
          <w:color w:val="000000"/>
          <w:sz w:val="20"/>
          <w:szCs w:val="20"/>
          <w:lang w:eastAsia="es-ES"/>
        </w:rPr>
        <w:t> </w:t>
      </w:r>
    </w:p>
    <w:p w:rsidR="008864E4" w:rsidRPr="008864E4" w:rsidRDefault="008864E4" w:rsidP="0008294F">
      <w:pPr>
        <w:numPr>
          <w:ilvl w:val="0"/>
          <w:numId w:val="39"/>
        </w:numPr>
        <w:tabs>
          <w:tab w:val="clear" w:pos="720"/>
          <w:tab w:val="num" w:pos="1248"/>
        </w:tabs>
        <w:spacing w:after="0" w:line="240" w:lineRule="auto"/>
        <w:ind w:left="1068"/>
        <w:jc w:val="both"/>
        <w:textAlignment w:val="center"/>
        <w:rPr>
          <w:rFonts w:eastAsia="Times New Roman" w:cs="Arial"/>
          <w:i/>
          <w:sz w:val="20"/>
          <w:szCs w:val="20"/>
          <w:lang w:eastAsia="es-ES"/>
        </w:rPr>
      </w:pPr>
      <w:r w:rsidRPr="008864E4">
        <w:rPr>
          <w:rFonts w:eastAsia="Times New Roman" w:cs="Arial"/>
          <w:i/>
          <w:color w:val="000000"/>
          <w:sz w:val="20"/>
          <w:szCs w:val="20"/>
          <w:lang w:eastAsia="es-ES"/>
        </w:rPr>
        <w:t>Se considera que, por seguridad jurídica, no procede cuestionar la redacción de los precios contradictorios en estas dos certificaciones cuando dichos precios forma parte del contrato firmado con el contratista, que fue fiscalizado previamente por la Intervención Delegada. De la misma forma que ya han sido tramitadas y fiscalizadas favorablemente las anteriores certificaciones que contenían los citados precios.</w:t>
      </w:r>
    </w:p>
    <w:p w:rsidR="008864E4" w:rsidRPr="008864E4" w:rsidRDefault="008864E4" w:rsidP="0008294F">
      <w:pPr>
        <w:spacing w:after="0" w:line="240" w:lineRule="auto"/>
        <w:ind w:left="1608"/>
        <w:jc w:val="both"/>
        <w:rPr>
          <w:rFonts w:eastAsia="Times New Roman" w:cs="Arial"/>
          <w:i/>
          <w:color w:val="000000"/>
          <w:sz w:val="20"/>
          <w:szCs w:val="20"/>
          <w:lang w:eastAsia="es-ES"/>
        </w:rPr>
      </w:pPr>
      <w:r w:rsidRPr="008864E4">
        <w:rPr>
          <w:rFonts w:eastAsia="Times New Roman" w:cs="Arial"/>
          <w:i/>
          <w:color w:val="000000"/>
          <w:sz w:val="20"/>
          <w:szCs w:val="20"/>
          <w:lang w:eastAsia="es-ES"/>
        </w:rPr>
        <w:t> </w:t>
      </w:r>
    </w:p>
    <w:p w:rsidR="008864E4" w:rsidRPr="008864E4" w:rsidRDefault="008864E4" w:rsidP="0008294F">
      <w:pPr>
        <w:numPr>
          <w:ilvl w:val="0"/>
          <w:numId w:val="40"/>
        </w:numPr>
        <w:tabs>
          <w:tab w:val="clear" w:pos="720"/>
          <w:tab w:val="num" w:pos="1248"/>
        </w:tabs>
        <w:spacing w:after="0" w:line="240" w:lineRule="auto"/>
        <w:ind w:left="1068"/>
        <w:jc w:val="both"/>
        <w:textAlignment w:val="center"/>
        <w:rPr>
          <w:rFonts w:eastAsia="Times New Roman" w:cs="Arial"/>
          <w:i/>
          <w:sz w:val="20"/>
          <w:szCs w:val="20"/>
          <w:lang w:eastAsia="es-ES"/>
        </w:rPr>
      </w:pPr>
      <w:r w:rsidRPr="008864E4">
        <w:rPr>
          <w:rFonts w:eastAsia="Times New Roman" w:cs="Arial"/>
          <w:i/>
          <w:color w:val="000000"/>
          <w:sz w:val="20"/>
          <w:szCs w:val="20"/>
          <w:lang w:eastAsia="es-ES"/>
        </w:rPr>
        <w:t>La obra está ejecutada y terminada desde el 5 de noviembre de 2019. Se solicita designación de Intervención y con fecha 13 de diciembre de 2019 la Intervención General resolvió no designar r</w:t>
      </w:r>
      <w:r>
        <w:rPr>
          <w:rFonts w:eastAsia="Times New Roman" w:cs="Arial"/>
          <w:i/>
          <w:color w:val="000000"/>
          <w:sz w:val="20"/>
          <w:szCs w:val="20"/>
          <w:lang w:eastAsia="es-ES"/>
        </w:rPr>
        <w:t>epresentante para la recepción.</w:t>
      </w:r>
    </w:p>
    <w:p w:rsidR="00FB03C4" w:rsidRDefault="00FB03C4" w:rsidP="0008294F">
      <w:pPr>
        <w:spacing w:after="0" w:line="240" w:lineRule="auto"/>
        <w:ind w:left="708"/>
        <w:jc w:val="both"/>
        <w:rPr>
          <w:rFonts w:eastAsiaTheme="minorHAnsi" w:cs="Arial"/>
          <w:bCs/>
          <w:color w:val="000000"/>
        </w:rPr>
      </w:pPr>
    </w:p>
    <w:p w:rsidR="00185006" w:rsidRDefault="008864E4" w:rsidP="0008294F">
      <w:pPr>
        <w:autoSpaceDE w:val="0"/>
        <w:autoSpaceDN w:val="0"/>
        <w:adjustRightInd w:val="0"/>
        <w:spacing w:after="0" w:line="240" w:lineRule="auto"/>
        <w:jc w:val="both"/>
        <w:rPr>
          <w:rFonts w:eastAsiaTheme="minorHAnsi" w:cs="Arial"/>
          <w:bCs/>
          <w:color w:val="000000"/>
        </w:rPr>
      </w:pPr>
      <w:r>
        <w:rPr>
          <w:rFonts w:eastAsiaTheme="minorHAnsi" w:cs="Arial"/>
          <w:b/>
          <w:bCs/>
          <w:color w:val="000000"/>
        </w:rPr>
        <w:t>6</w:t>
      </w:r>
      <w:r w:rsidR="00FB03C4" w:rsidRPr="00FB03C4">
        <w:rPr>
          <w:rFonts w:eastAsiaTheme="minorHAnsi" w:cs="Arial"/>
          <w:b/>
          <w:bCs/>
          <w:color w:val="000000"/>
        </w:rPr>
        <w:t>.-</w:t>
      </w:r>
      <w:r w:rsidR="00FB03C4">
        <w:rPr>
          <w:rFonts w:eastAsiaTheme="minorHAnsi" w:cs="Arial"/>
          <w:bCs/>
          <w:color w:val="000000"/>
        </w:rPr>
        <w:t xml:space="preserve"> </w:t>
      </w:r>
      <w:r w:rsidR="00185006">
        <w:rPr>
          <w:rFonts w:eastAsiaTheme="minorHAnsi" w:cs="Arial"/>
          <w:bCs/>
          <w:color w:val="000000"/>
        </w:rPr>
        <w:t>El oficio de remisión a esta Intervención General del citado informe es suscrito por el Gerente del</w:t>
      </w:r>
      <w:r w:rsidR="00185006" w:rsidRPr="00185006">
        <w:rPr>
          <w:rFonts w:eastAsiaTheme="minorHAnsi" w:cs="Arial"/>
          <w:bCs/>
          <w:color w:val="000000"/>
        </w:rPr>
        <w:t xml:space="preserve"> </w:t>
      </w:r>
      <w:r w:rsidR="00185006">
        <w:rPr>
          <w:rFonts w:eastAsiaTheme="minorHAnsi" w:cs="Arial"/>
          <w:bCs/>
          <w:color w:val="000000"/>
        </w:rPr>
        <w:t>AMAS con fecha 11 de junio de 2020 y enviado por correo electrónico al buzón genérico de este Centro Directivo por el Jefe de Servicio de Control Presupuestario del organismo con la misma fecha.</w:t>
      </w:r>
    </w:p>
    <w:p w:rsidR="00FB03C4" w:rsidRDefault="00FB03C4" w:rsidP="0008294F">
      <w:pPr>
        <w:autoSpaceDE w:val="0"/>
        <w:autoSpaceDN w:val="0"/>
        <w:adjustRightInd w:val="0"/>
        <w:spacing w:after="0" w:line="240" w:lineRule="auto"/>
        <w:jc w:val="both"/>
        <w:rPr>
          <w:rFonts w:eastAsiaTheme="minorHAnsi" w:cs="Arial"/>
          <w:bCs/>
          <w:color w:val="000000"/>
        </w:rPr>
      </w:pPr>
    </w:p>
    <w:p w:rsidR="00FB03C4" w:rsidRDefault="00FB03C4" w:rsidP="0008294F">
      <w:pPr>
        <w:autoSpaceDE w:val="0"/>
        <w:autoSpaceDN w:val="0"/>
        <w:adjustRightInd w:val="0"/>
        <w:spacing w:after="0" w:line="240" w:lineRule="auto"/>
        <w:jc w:val="both"/>
        <w:rPr>
          <w:rFonts w:eastAsiaTheme="minorHAnsi" w:cs="Arial"/>
          <w:bCs/>
          <w:color w:val="000000"/>
        </w:rPr>
      </w:pPr>
      <w:r>
        <w:rPr>
          <w:rFonts w:eastAsiaTheme="minorHAnsi" w:cs="Arial"/>
          <w:bCs/>
          <w:color w:val="000000"/>
        </w:rPr>
        <w:t xml:space="preserve">Dicho correo fue reiterado con fecha 29 de septiembre por el Jefe de Servicio de Control Presupuestario a la misma dirección de correo electrónico con copia al Interventor delegado del AMAS. Con fecha 1 de octubre desde la dirección </w:t>
      </w:r>
      <w:r w:rsidR="0070699D">
        <w:rPr>
          <w:rFonts w:eastAsiaTheme="minorHAnsi" w:cs="Arial"/>
          <w:bCs/>
          <w:color w:val="000000"/>
        </w:rPr>
        <w:t>d</w:t>
      </w:r>
      <w:r>
        <w:rPr>
          <w:rFonts w:eastAsiaTheme="minorHAnsi" w:cs="Arial"/>
          <w:bCs/>
          <w:color w:val="000000"/>
        </w:rPr>
        <w:t xml:space="preserve">e correo genérico a la que se remitió el </w:t>
      </w:r>
      <w:r w:rsidR="0070699D">
        <w:rPr>
          <w:rFonts w:eastAsiaTheme="minorHAnsi" w:cs="Arial"/>
          <w:bCs/>
          <w:color w:val="000000"/>
        </w:rPr>
        <w:t>informe</w:t>
      </w:r>
      <w:r>
        <w:rPr>
          <w:rFonts w:eastAsiaTheme="minorHAnsi" w:cs="Arial"/>
          <w:bCs/>
          <w:color w:val="000000"/>
        </w:rPr>
        <w:t xml:space="preserve"> de discrepancia, se c</w:t>
      </w:r>
      <w:r w:rsidR="0070699D">
        <w:rPr>
          <w:rFonts w:eastAsiaTheme="minorHAnsi" w:cs="Arial"/>
          <w:bCs/>
          <w:color w:val="000000"/>
        </w:rPr>
        <w:t>ontesta en el siguiente sentido:</w:t>
      </w:r>
    </w:p>
    <w:p w:rsidR="00A04474" w:rsidRDefault="00A04474" w:rsidP="0008294F">
      <w:pPr>
        <w:autoSpaceDE w:val="0"/>
        <w:autoSpaceDN w:val="0"/>
        <w:adjustRightInd w:val="0"/>
        <w:spacing w:after="0" w:line="240" w:lineRule="auto"/>
        <w:jc w:val="both"/>
        <w:rPr>
          <w:rFonts w:eastAsiaTheme="minorHAnsi" w:cs="Arial"/>
          <w:bCs/>
          <w:color w:val="000000"/>
        </w:rPr>
      </w:pPr>
    </w:p>
    <w:p w:rsidR="00FB03C4" w:rsidRPr="0070699D" w:rsidRDefault="0070699D" w:rsidP="0008294F">
      <w:pPr>
        <w:spacing w:after="0" w:line="240" w:lineRule="auto"/>
        <w:ind w:left="708"/>
        <w:jc w:val="both"/>
        <w:rPr>
          <w:rFonts w:eastAsia="Times New Roman" w:cs="Arial"/>
          <w:bCs/>
          <w:i/>
          <w:sz w:val="20"/>
          <w:szCs w:val="20"/>
          <w:lang w:eastAsia="es-ES"/>
        </w:rPr>
      </w:pPr>
      <w:r w:rsidRPr="0070699D">
        <w:rPr>
          <w:rFonts w:eastAsia="Times New Roman" w:cs="Arial"/>
          <w:bCs/>
          <w:i/>
          <w:sz w:val="20"/>
          <w:szCs w:val="20"/>
          <w:lang w:eastAsia="es-ES"/>
        </w:rPr>
        <w:t>“</w:t>
      </w:r>
      <w:r w:rsidR="00FB03C4" w:rsidRPr="0070699D">
        <w:rPr>
          <w:rFonts w:eastAsia="Times New Roman" w:cs="Arial"/>
          <w:bCs/>
          <w:i/>
          <w:sz w:val="20"/>
          <w:szCs w:val="20"/>
          <w:lang w:eastAsia="es-ES"/>
        </w:rPr>
        <w:t xml:space="preserve">En relación con el correo en el que se reitera otro de fecha 11 de junio por el que se remitían expedientes de discrepancias a la Intervención General, se indica que si bien no se tiene constancia de su recepción, ni se ha seguido el procedimiento que para la tramitación de este tipo de expedientes se señala en la </w:t>
      </w:r>
      <w:r w:rsidR="00FB03C4" w:rsidRPr="0070699D">
        <w:rPr>
          <w:rFonts w:eastAsia="Times New Roman"/>
          <w:bCs/>
          <w:i/>
          <w:iCs/>
          <w:sz w:val="20"/>
          <w:szCs w:val="20"/>
          <w:lang w:eastAsia="es-ES"/>
        </w:rPr>
        <w:t>Instrucción de 28 de marzo de 2006 de la Intervención General de la Comunidad de Madrid, por la que se establece el procedimiento de elevación de las consultas y discrepancias</w:t>
      </w:r>
      <w:r w:rsidR="00FB03C4" w:rsidRPr="0070699D">
        <w:rPr>
          <w:rFonts w:eastAsia="Times New Roman"/>
          <w:bCs/>
          <w:iCs/>
          <w:sz w:val="20"/>
          <w:szCs w:val="20"/>
          <w:lang w:eastAsia="es-ES"/>
        </w:rPr>
        <w:t xml:space="preserve"> planteadas ante la Intervención General</w:t>
      </w:r>
      <w:r w:rsidR="00FB03C4" w:rsidRPr="0070699D">
        <w:rPr>
          <w:rFonts w:eastAsia="Times New Roman" w:cs="Arial"/>
          <w:bCs/>
          <w:i/>
          <w:sz w:val="20"/>
          <w:szCs w:val="20"/>
          <w:lang w:eastAsia="es-ES"/>
        </w:rPr>
        <w:t>, se va a proceder a su registro y tramitación.</w:t>
      </w:r>
      <w:r w:rsidRPr="0070699D">
        <w:rPr>
          <w:rFonts w:eastAsia="Times New Roman" w:cs="Arial"/>
          <w:bCs/>
          <w:i/>
          <w:sz w:val="20"/>
          <w:szCs w:val="20"/>
          <w:lang w:eastAsia="es-ES"/>
        </w:rPr>
        <w:t>”</w:t>
      </w:r>
    </w:p>
    <w:p w:rsidR="00C114DD" w:rsidRPr="00531B62" w:rsidRDefault="00C114DD" w:rsidP="0008294F">
      <w:pPr>
        <w:spacing w:after="0" w:line="240" w:lineRule="auto"/>
        <w:jc w:val="both"/>
        <w:rPr>
          <w:rFonts w:cs="Arial"/>
        </w:rPr>
      </w:pPr>
      <w:r w:rsidRPr="00531B62">
        <w:rPr>
          <w:rFonts w:cs="Arial"/>
        </w:rPr>
        <w:t>Tras el análisis de los antecedentes anteriormente descritos, y a fin de resolver la discrepancia, esta Intervención General estima oportuno hacer las siguientes</w:t>
      </w:r>
    </w:p>
    <w:p w:rsidR="00311BB3" w:rsidRPr="00531B62" w:rsidRDefault="00C114DD" w:rsidP="0008294F">
      <w:pPr>
        <w:spacing w:after="0" w:line="240" w:lineRule="auto"/>
        <w:ind w:right="-2"/>
        <w:jc w:val="both"/>
        <w:rPr>
          <w:rFonts w:cs="Arial"/>
        </w:rPr>
      </w:pPr>
      <w:r w:rsidRPr="00531B62">
        <w:rPr>
          <w:rFonts w:cs="Arial"/>
        </w:rPr>
        <w:t xml:space="preserve"> </w:t>
      </w:r>
    </w:p>
    <w:p w:rsidR="00C114DD" w:rsidRDefault="00C114DD" w:rsidP="0008294F">
      <w:pPr>
        <w:spacing w:after="0" w:line="240" w:lineRule="auto"/>
        <w:ind w:right="-2"/>
        <w:jc w:val="center"/>
        <w:rPr>
          <w:rFonts w:cs="Arial"/>
          <w:b/>
        </w:rPr>
      </w:pPr>
      <w:r w:rsidRPr="00531B62">
        <w:rPr>
          <w:rFonts w:cs="Arial"/>
          <w:b/>
        </w:rPr>
        <w:t>CONSIDERACIONES</w:t>
      </w:r>
    </w:p>
    <w:p w:rsidR="00C114DD" w:rsidRDefault="00C114DD" w:rsidP="0008294F">
      <w:pPr>
        <w:spacing w:after="0" w:line="240" w:lineRule="auto"/>
        <w:ind w:right="-2"/>
        <w:jc w:val="center"/>
        <w:rPr>
          <w:rFonts w:cs="Arial"/>
          <w:b/>
        </w:rPr>
      </w:pPr>
      <w:r w:rsidRPr="00531B62">
        <w:rPr>
          <w:rFonts w:cs="Arial"/>
          <w:b/>
        </w:rPr>
        <w:t>I</w:t>
      </w:r>
    </w:p>
    <w:p w:rsidR="001E0E16" w:rsidRPr="00531B62" w:rsidRDefault="001E0E16" w:rsidP="0008294F">
      <w:pPr>
        <w:spacing w:after="0" w:line="240" w:lineRule="auto"/>
        <w:ind w:right="-2"/>
        <w:jc w:val="center"/>
        <w:rPr>
          <w:rFonts w:cs="Arial"/>
          <w:b/>
        </w:rPr>
      </w:pPr>
    </w:p>
    <w:p w:rsidR="00186536" w:rsidRDefault="00186536" w:rsidP="0008294F">
      <w:pPr>
        <w:spacing w:after="0" w:line="240" w:lineRule="auto"/>
        <w:jc w:val="both"/>
        <w:rPr>
          <w:rFonts w:cs="Arial"/>
        </w:rPr>
      </w:pPr>
      <w:r>
        <w:rPr>
          <w:rFonts w:cs="Arial"/>
        </w:rPr>
        <w:t xml:space="preserve">Con carácter previo al análisis de </w:t>
      </w:r>
      <w:r w:rsidR="00C114DD" w:rsidRPr="00531B62">
        <w:rPr>
          <w:rFonts w:cs="Arial"/>
        </w:rPr>
        <w:t xml:space="preserve">las alegaciones formuladas por el órgano gestor en su escrito de discrepancia, </w:t>
      </w:r>
      <w:r w:rsidRPr="00186536">
        <w:rPr>
          <w:rFonts w:cs="Arial"/>
        </w:rPr>
        <w:t>resulta conveniente recordar que la formulación de discrepancias debe realizarse conforme al procedimiento estable</w:t>
      </w:r>
      <w:r w:rsidR="00311BB3">
        <w:rPr>
          <w:rFonts w:cs="Arial"/>
        </w:rPr>
        <w:t>cido en la Instrucción de esta I</w:t>
      </w:r>
      <w:r w:rsidRPr="00186536">
        <w:rPr>
          <w:rFonts w:cs="Arial"/>
        </w:rPr>
        <w:t xml:space="preserve">ntervención General de 28 de marzo de 2006 por la que se establece el procedimiento de elevación de las consultas y discrepancias planteadas ante la Intervención General. </w:t>
      </w:r>
    </w:p>
    <w:p w:rsidR="00186536" w:rsidRDefault="00186536" w:rsidP="0008294F">
      <w:pPr>
        <w:spacing w:after="0" w:line="240" w:lineRule="auto"/>
        <w:jc w:val="both"/>
        <w:rPr>
          <w:rFonts w:cs="Arial"/>
        </w:rPr>
      </w:pPr>
    </w:p>
    <w:p w:rsidR="008909A0" w:rsidRDefault="00186536" w:rsidP="0008294F">
      <w:pPr>
        <w:spacing w:after="0" w:line="240" w:lineRule="auto"/>
        <w:jc w:val="both"/>
        <w:rPr>
          <w:rFonts w:eastAsiaTheme="minorHAnsi" w:cs="Arial"/>
          <w:color w:val="000000"/>
        </w:rPr>
      </w:pPr>
      <w:r>
        <w:rPr>
          <w:rFonts w:cs="Arial"/>
        </w:rPr>
        <w:t xml:space="preserve">En este sentido, </w:t>
      </w:r>
      <w:r>
        <w:rPr>
          <w:rFonts w:eastAsiaTheme="minorHAnsi" w:cs="Arial"/>
          <w:color w:val="000000"/>
        </w:rPr>
        <w:t xml:space="preserve">la Instrucción Cuarta establece expresamente </w:t>
      </w:r>
      <w:r w:rsidRPr="00186536">
        <w:rPr>
          <w:rFonts w:eastAsiaTheme="minorHAnsi" w:cs="Arial"/>
          <w:color w:val="000000"/>
        </w:rPr>
        <w:t>que</w:t>
      </w:r>
      <w:r w:rsidRPr="00186536">
        <w:rPr>
          <w:rFonts w:eastAsiaTheme="minorHAnsi" w:cs="Arial"/>
          <w:i/>
          <w:color w:val="000000"/>
        </w:rPr>
        <w:t xml:space="preserve"> “</w:t>
      </w:r>
      <w:r>
        <w:rPr>
          <w:rFonts w:cs="Arial"/>
          <w:i/>
        </w:rPr>
        <w:t>l</w:t>
      </w:r>
      <w:r w:rsidRPr="00186536">
        <w:rPr>
          <w:rFonts w:cs="Arial"/>
          <w:i/>
        </w:rPr>
        <w:t>as consultas y discrepancias se elevarán a la Intervención General a través de las correspondientes Intervenciones Delegadas”,</w:t>
      </w:r>
      <w:r>
        <w:rPr>
          <w:rFonts w:cs="Arial"/>
          <w:b/>
        </w:rPr>
        <w:t xml:space="preserve"> </w:t>
      </w:r>
      <w:r w:rsidR="008909A0">
        <w:rPr>
          <w:rFonts w:eastAsiaTheme="minorHAnsi" w:cs="Arial"/>
          <w:color w:val="000000"/>
        </w:rPr>
        <w:t xml:space="preserve">procedimiento que no ha sido observado en la tramitación efectuada por el órgano gestor. </w:t>
      </w:r>
    </w:p>
    <w:p w:rsidR="00CD4538" w:rsidRDefault="00CD4538" w:rsidP="0008294F">
      <w:pPr>
        <w:spacing w:after="0" w:line="240" w:lineRule="auto"/>
        <w:jc w:val="both"/>
        <w:rPr>
          <w:rFonts w:cs="Arial"/>
        </w:rPr>
      </w:pPr>
      <w:r>
        <w:rPr>
          <w:rFonts w:cs="Arial"/>
        </w:rPr>
        <w:t xml:space="preserve"> </w:t>
      </w:r>
    </w:p>
    <w:p w:rsidR="008909A0" w:rsidRDefault="008909A0" w:rsidP="0008294F">
      <w:pPr>
        <w:spacing w:after="0" w:line="240" w:lineRule="auto"/>
        <w:jc w:val="both"/>
      </w:pPr>
      <w:r>
        <w:rPr>
          <w:rFonts w:cs="Arial"/>
        </w:rPr>
        <w:t xml:space="preserve">Por otra parte, cualquier trámite administrativo debe realizarse mediante </w:t>
      </w:r>
      <w:r w:rsidRPr="00186536">
        <w:rPr>
          <w:rFonts w:cs="Arial"/>
        </w:rPr>
        <w:t>su</w:t>
      </w:r>
      <w:r>
        <w:rPr>
          <w:rFonts w:cs="Arial"/>
          <w:b/>
        </w:rPr>
        <w:t xml:space="preserve"> </w:t>
      </w:r>
      <w:r w:rsidRPr="00186536">
        <w:rPr>
          <w:rFonts w:cs="Arial"/>
        </w:rPr>
        <w:t>planteamiento</w:t>
      </w:r>
      <w:r>
        <w:rPr>
          <w:rFonts w:cs="Arial"/>
        </w:rPr>
        <w:t xml:space="preserve"> </w:t>
      </w:r>
      <w:r>
        <w:rPr>
          <w:rFonts w:eastAsiaTheme="minorHAnsi" w:cs="Arial"/>
          <w:color w:val="000000"/>
        </w:rPr>
        <w:t>formal a través del corre</w:t>
      </w:r>
      <w:r w:rsidR="001E0E16">
        <w:rPr>
          <w:rFonts w:eastAsiaTheme="minorHAnsi" w:cs="Arial"/>
          <w:color w:val="000000"/>
        </w:rPr>
        <w:t xml:space="preserve">spondiente registro. Por ello, </w:t>
      </w:r>
      <w:r>
        <w:rPr>
          <w:rFonts w:eastAsiaTheme="minorHAnsi" w:cs="Arial"/>
          <w:color w:val="000000"/>
        </w:rPr>
        <w:t>una discrepancia comunicada mediante su envío a un buzón de correo genérico no cumple los requerimientos procedimentales básicos, al no permitir</w:t>
      </w:r>
      <w:r w:rsidR="00186DFD">
        <w:rPr>
          <w:rFonts w:eastAsiaTheme="minorHAnsi" w:cs="Arial"/>
          <w:color w:val="000000"/>
        </w:rPr>
        <w:t xml:space="preserve"> la configuración actual del correo electrónico en la Comunidad de Madrid </w:t>
      </w:r>
      <w:r>
        <w:rPr>
          <w:rFonts w:eastAsiaTheme="minorHAnsi" w:cs="Arial"/>
          <w:color w:val="000000"/>
        </w:rPr>
        <w:t xml:space="preserve">acreditar la fecha de entrega y recepción, elementos fundamentales para el cómputo de plazos. En el presente caso nos encontramos con un ejemplo evidente de las consecuencias de la inobservancia de este requerimiento básico de la tramitación administrativa, al no haberse producido la recepción correcta del primer correo remitido, sin que pueda determinarse el motivo de tal circunstancia. </w:t>
      </w:r>
    </w:p>
    <w:p w:rsidR="008909A0" w:rsidRDefault="008909A0" w:rsidP="0008294F">
      <w:pPr>
        <w:spacing w:after="0" w:line="240" w:lineRule="auto"/>
        <w:jc w:val="both"/>
      </w:pPr>
    </w:p>
    <w:p w:rsidR="00186DFD" w:rsidRDefault="008909A0" w:rsidP="0008294F">
      <w:pPr>
        <w:spacing w:after="0" w:line="240" w:lineRule="auto"/>
        <w:jc w:val="both"/>
        <w:rPr>
          <w:rFonts w:cs="Arial"/>
        </w:rPr>
      </w:pPr>
      <w:r>
        <w:rPr>
          <w:rFonts w:cs="Arial"/>
        </w:rPr>
        <w:t xml:space="preserve">También debe señalarse que, conforme a la Instrucción Tercera, </w:t>
      </w:r>
      <w:r w:rsidR="00A568A7" w:rsidRPr="00F605BF">
        <w:rPr>
          <w:rFonts w:cs="Arial"/>
        </w:rPr>
        <w:t xml:space="preserve">los escritos de consulta y discrepancia se </w:t>
      </w:r>
      <w:r w:rsidR="00A568A7" w:rsidRPr="008909A0">
        <w:rPr>
          <w:rFonts w:cs="Arial"/>
        </w:rPr>
        <w:t>remitirán a este Centro Directivo completos, acompañados de la documentación oportuna en original o fotocopia compulsada.</w:t>
      </w:r>
      <w:r>
        <w:rPr>
          <w:rFonts w:cs="Arial"/>
        </w:rPr>
        <w:t xml:space="preserve"> A este respecto debemos señalar que la documentación remitida consiste en un archivo </w:t>
      </w:r>
      <w:proofErr w:type="spellStart"/>
      <w:r>
        <w:rPr>
          <w:rFonts w:cs="Arial"/>
        </w:rPr>
        <w:t>pdf</w:t>
      </w:r>
      <w:proofErr w:type="spellEnd"/>
      <w:r w:rsidR="00610BA5">
        <w:rPr>
          <w:rFonts w:cs="Arial"/>
        </w:rPr>
        <w:t xml:space="preserve"> que contiene documentación escaneada del expediente. E</w:t>
      </w:r>
      <w:r w:rsidR="00887E58">
        <w:rPr>
          <w:rFonts w:cs="Arial"/>
        </w:rPr>
        <w:t>n</w:t>
      </w:r>
      <w:r w:rsidR="00610BA5">
        <w:rPr>
          <w:rFonts w:cs="Arial"/>
        </w:rPr>
        <w:t xml:space="preserve"> relación con dicho documento debe indicarse que para una correcta remisión del mismo debería haberse incorporado certificación expedida por el órgano competente acerca de su correspondencia con el expediente original. </w:t>
      </w:r>
    </w:p>
    <w:p w:rsidR="00186DFD" w:rsidRDefault="00186DFD" w:rsidP="0008294F">
      <w:pPr>
        <w:spacing w:after="0" w:line="240" w:lineRule="auto"/>
        <w:jc w:val="both"/>
        <w:rPr>
          <w:rFonts w:cs="Arial"/>
        </w:rPr>
      </w:pPr>
    </w:p>
    <w:p w:rsidR="00781B3D" w:rsidRDefault="00610BA5" w:rsidP="0008294F">
      <w:pPr>
        <w:spacing w:after="0" w:line="240" w:lineRule="auto"/>
        <w:jc w:val="both"/>
        <w:rPr>
          <w:rFonts w:cs="Arial"/>
        </w:rPr>
      </w:pPr>
      <w:r>
        <w:rPr>
          <w:rFonts w:cs="Arial"/>
        </w:rPr>
        <w:t>Asimismo, ha de señalarse que la documentación remitida resulta incompleta al no incorporarse los Pliegos de Cláusulas Administrativas Particulares</w:t>
      </w:r>
      <w:r w:rsidR="00887E58">
        <w:rPr>
          <w:rFonts w:cs="Arial"/>
        </w:rPr>
        <w:t xml:space="preserve"> y de</w:t>
      </w:r>
      <w:r>
        <w:rPr>
          <w:rFonts w:cs="Arial"/>
        </w:rPr>
        <w:t xml:space="preserve"> </w:t>
      </w:r>
      <w:r w:rsidR="00887E58">
        <w:rPr>
          <w:rFonts w:cs="Arial"/>
        </w:rPr>
        <w:t xml:space="preserve">Prescripciones Técnicas Particulares que rigen el </w:t>
      </w:r>
      <w:r>
        <w:rPr>
          <w:rFonts w:cs="Arial"/>
        </w:rPr>
        <w:t>Acuerdo Marco</w:t>
      </w:r>
      <w:r w:rsidR="00887E58">
        <w:rPr>
          <w:rFonts w:cs="Arial"/>
        </w:rPr>
        <w:t xml:space="preserve"> del que se deriva el contrato de obras objeto de la presente discrepancia</w:t>
      </w:r>
      <w:r w:rsidR="008864E4">
        <w:rPr>
          <w:rFonts w:cs="Arial"/>
        </w:rPr>
        <w:t xml:space="preserve"> y confusa, al intercalarse documentos dentro de otros distintos</w:t>
      </w:r>
      <w:r w:rsidR="00887E58">
        <w:rPr>
          <w:rFonts w:cs="Arial"/>
        </w:rPr>
        <w:t xml:space="preserve">. </w:t>
      </w:r>
    </w:p>
    <w:p w:rsidR="00781B3D" w:rsidRDefault="00781B3D" w:rsidP="0008294F">
      <w:pPr>
        <w:spacing w:after="0" w:line="240" w:lineRule="auto"/>
        <w:jc w:val="both"/>
        <w:rPr>
          <w:rFonts w:cs="Arial"/>
        </w:rPr>
      </w:pPr>
    </w:p>
    <w:p w:rsidR="00781B3D" w:rsidRDefault="00887E58" w:rsidP="0008294F">
      <w:pPr>
        <w:spacing w:after="0" w:line="240" w:lineRule="auto"/>
        <w:jc w:val="both"/>
        <w:rPr>
          <w:rFonts w:cs="Arial"/>
        </w:rPr>
      </w:pPr>
      <w:r>
        <w:rPr>
          <w:rFonts w:cs="Arial"/>
        </w:rPr>
        <w:t>Igualmente, en relación con el proyecto de ejecución de las obras</w:t>
      </w:r>
      <w:r w:rsidR="00781B3D">
        <w:rPr>
          <w:rFonts w:cs="Arial"/>
        </w:rPr>
        <w:t xml:space="preserve"> la documentación remitida resulta confusa e incompleta. Los documentos remitidos en esta materia son los siguientes (se enumeran en el mismo orden en que aparecen en el archivo remitido): </w:t>
      </w:r>
    </w:p>
    <w:p w:rsidR="00781B3D" w:rsidRDefault="00781B3D" w:rsidP="0008294F">
      <w:pPr>
        <w:spacing w:after="0" w:line="240" w:lineRule="auto"/>
        <w:jc w:val="both"/>
        <w:rPr>
          <w:rFonts w:cs="Arial"/>
        </w:rPr>
      </w:pPr>
    </w:p>
    <w:p w:rsidR="00781B3D" w:rsidRDefault="00A77300" w:rsidP="0008294F">
      <w:pPr>
        <w:pStyle w:val="Prrafodelista"/>
        <w:numPr>
          <w:ilvl w:val="0"/>
          <w:numId w:val="28"/>
        </w:numPr>
        <w:spacing w:after="0" w:line="240" w:lineRule="auto"/>
        <w:jc w:val="both"/>
        <w:rPr>
          <w:rFonts w:eastAsia="Times New Roman" w:cs="Arial"/>
          <w:lang w:eastAsia="es-ES"/>
        </w:rPr>
      </w:pPr>
      <w:r>
        <w:rPr>
          <w:rFonts w:eastAsia="Times New Roman" w:cs="Arial"/>
          <w:lang w:eastAsia="es-ES"/>
        </w:rPr>
        <w:t>Hoja denominada “</w:t>
      </w:r>
      <w:r w:rsidR="00781B3D" w:rsidRPr="00781B3D">
        <w:rPr>
          <w:rFonts w:eastAsia="Times New Roman" w:cs="Arial"/>
          <w:i/>
          <w:sz w:val="20"/>
          <w:szCs w:val="20"/>
          <w:lang w:eastAsia="es-ES"/>
        </w:rPr>
        <w:t xml:space="preserve">PROYECTO DE </w:t>
      </w:r>
      <w:r w:rsidR="00351CB7">
        <w:rPr>
          <w:rFonts w:eastAsia="Times New Roman" w:cs="Arial"/>
          <w:i/>
          <w:sz w:val="20"/>
          <w:szCs w:val="20"/>
          <w:lang w:eastAsia="es-ES"/>
        </w:rPr>
        <w:t>LA REFORMA DE CUBIERTA EN LA ZONA DE COCINA DE LA RESIDENCIA DE PERSONAS MAYORES DE VILLAVICIOSA DE ODÓN</w:t>
      </w:r>
      <w:r w:rsidR="00781B3D" w:rsidRPr="00781B3D">
        <w:rPr>
          <w:rFonts w:eastAsia="Times New Roman" w:cs="Arial"/>
          <w:i/>
          <w:sz w:val="20"/>
          <w:szCs w:val="20"/>
          <w:lang w:eastAsia="es-ES"/>
        </w:rPr>
        <w:t>. RESUMEN DE CAPÍTULOS</w:t>
      </w:r>
      <w:r w:rsidR="00781B3D" w:rsidRPr="00781B3D">
        <w:rPr>
          <w:rFonts w:eastAsia="Times New Roman" w:cs="Arial"/>
          <w:lang w:eastAsia="es-ES"/>
        </w:rPr>
        <w:t>”</w:t>
      </w:r>
      <w:r w:rsidR="00781B3D">
        <w:rPr>
          <w:rFonts w:eastAsia="Times New Roman" w:cs="Arial"/>
          <w:lang w:eastAsia="es-ES"/>
        </w:rPr>
        <w:t xml:space="preserve">, </w:t>
      </w:r>
      <w:r w:rsidR="00781B3D" w:rsidRPr="00781B3D">
        <w:rPr>
          <w:rFonts w:eastAsia="Times New Roman" w:cs="Arial"/>
          <w:lang w:eastAsia="es-ES"/>
        </w:rPr>
        <w:t>suscrita por la Subdirectora General de Infraestructuras y Equipamientos y el representante del contratista en fecha “</w:t>
      </w:r>
      <w:r w:rsidR="00781B3D" w:rsidRPr="00781B3D">
        <w:rPr>
          <w:rFonts w:eastAsia="Times New Roman" w:cs="Arial"/>
          <w:i/>
          <w:lang w:eastAsia="es-ES"/>
        </w:rPr>
        <w:t>octubre de 2018</w:t>
      </w:r>
      <w:r w:rsidRPr="00781B3D">
        <w:rPr>
          <w:rFonts w:eastAsia="Times New Roman" w:cs="Arial"/>
          <w:lang w:eastAsia="es-ES"/>
        </w:rPr>
        <w:t>”,</w:t>
      </w:r>
      <w:r w:rsidR="00781B3D" w:rsidRPr="00781B3D">
        <w:rPr>
          <w:rFonts w:eastAsia="Times New Roman" w:cs="Arial"/>
          <w:lang w:eastAsia="es-ES"/>
        </w:rPr>
        <w:t xml:space="preserve"> incluida en la página 8</w:t>
      </w:r>
      <w:r w:rsidR="00351CB7">
        <w:rPr>
          <w:rFonts w:eastAsia="Times New Roman" w:cs="Arial"/>
          <w:lang w:eastAsia="es-ES"/>
        </w:rPr>
        <w:t>4 del archivo remitido</w:t>
      </w:r>
      <w:r w:rsidR="00873101">
        <w:rPr>
          <w:rFonts w:eastAsia="Times New Roman" w:cs="Arial"/>
          <w:lang w:eastAsia="es-ES"/>
        </w:rPr>
        <w:t xml:space="preserve"> entre diversa documentación relativa a la adjudicación del contrato</w:t>
      </w:r>
      <w:r w:rsidR="00B46E92">
        <w:rPr>
          <w:rFonts w:eastAsia="Times New Roman" w:cs="Arial"/>
          <w:lang w:eastAsia="es-ES"/>
        </w:rPr>
        <w:t>.</w:t>
      </w:r>
    </w:p>
    <w:p w:rsidR="00B46E92" w:rsidRDefault="00B46E92" w:rsidP="0008294F">
      <w:pPr>
        <w:pStyle w:val="Prrafodelista"/>
        <w:spacing w:after="0" w:line="240" w:lineRule="auto"/>
        <w:jc w:val="both"/>
        <w:rPr>
          <w:rFonts w:eastAsia="Times New Roman" w:cs="Arial"/>
          <w:lang w:eastAsia="es-ES"/>
        </w:rPr>
      </w:pPr>
    </w:p>
    <w:p w:rsidR="00B46E92" w:rsidRDefault="0081590A" w:rsidP="0008294F">
      <w:pPr>
        <w:pStyle w:val="Prrafodelista"/>
        <w:numPr>
          <w:ilvl w:val="0"/>
          <w:numId w:val="28"/>
        </w:numPr>
        <w:spacing w:after="0" w:line="240" w:lineRule="auto"/>
        <w:jc w:val="both"/>
        <w:rPr>
          <w:rFonts w:eastAsia="Times New Roman" w:cs="Arial"/>
          <w:lang w:eastAsia="es-ES"/>
        </w:rPr>
      </w:pPr>
      <w:r>
        <w:rPr>
          <w:rFonts w:eastAsia="Times New Roman" w:cs="Arial"/>
          <w:lang w:eastAsia="es-ES"/>
        </w:rPr>
        <w:t>Documento</w:t>
      </w:r>
      <w:r w:rsidR="00B46E92">
        <w:rPr>
          <w:rFonts w:eastAsia="Times New Roman" w:cs="Arial"/>
          <w:lang w:eastAsia="es-ES"/>
        </w:rPr>
        <w:t xml:space="preserve"> de </w:t>
      </w:r>
      <w:r w:rsidR="00351CB7">
        <w:rPr>
          <w:rFonts w:eastAsia="Times New Roman" w:cs="Arial"/>
          <w:lang w:eastAsia="es-ES"/>
        </w:rPr>
        <w:t xml:space="preserve">13 páginas </w:t>
      </w:r>
      <w:r w:rsidR="00B46E92">
        <w:rPr>
          <w:rFonts w:eastAsia="Times New Roman" w:cs="Arial"/>
          <w:lang w:eastAsia="es-ES"/>
        </w:rPr>
        <w:t xml:space="preserve">denominado </w:t>
      </w:r>
      <w:r>
        <w:rPr>
          <w:rFonts w:eastAsia="Times New Roman" w:cs="Arial"/>
          <w:lang w:eastAsia="es-ES"/>
        </w:rPr>
        <w:t>“</w:t>
      </w:r>
      <w:r w:rsidRPr="001E0E16">
        <w:rPr>
          <w:rFonts w:eastAsia="Times New Roman" w:cs="Arial"/>
          <w:i/>
          <w:sz w:val="20"/>
          <w:szCs w:val="20"/>
          <w:lang w:eastAsia="es-ES"/>
        </w:rPr>
        <w:t>PRESUPUESTO</w:t>
      </w:r>
      <w:r w:rsidR="00B46E92" w:rsidRPr="001E0E16">
        <w:rPr>
          <w:rFonts w:eastAsia="Times New Roman" w:cs="Arial"/>
          <w:i/>
          <w:sz w:val="20"/>
          <w:szCs w:val="20"/>
          <w:lang w:eastAsia="es-ES"/>
        </w:rPr>
        <w:t xml:space="preserve"> </w:t>
      </w:r>
      <w:r w:rsidR="00351CB7">
        <w:rPr>
          <w:rFonts w:eastAsia="Times New Roman" w:cs="Arial"/>
          <w:i/>
          <w:sz w:val="20"/>
          <w:szCs w:val="20"/>
          <w:lang w:eastAsia="es-ES"/>
        </w:rPr>
        <w:t xml:space="preserve">POR CAPÍTULOS. </w:t>
      </w:r>
      <w:r w:rsidR="00351CB7" w:rsidRPr="00781B3D">
        <w:rPr>
          <w:rFonts w:eastAsia="Times New Roman" w:cs="Arial"/>
          <w:i/>
          <w:sz w:val="20"/>
          <w:szCs w:val="20"/>
          <w:lang w:eastAsia="es-ES"/>
        </w:rPr>
        <w:t xml:space="preserve">PROYECTO DE </w:t>
      </w:r>
      <w:r w:rsidR="00351CB7">
        <w:rPr>
          <w:rFonts w:eastAsia="Times New Roman" w:cs="Arial"/>
          <w:i/>
          <w:sz w:val="20"/>
          <w:szCs w:val="20"/>
          <w:lang w:eastAsia="es-ES"/>
        </w:rPr>
        <w:t>LA REFORMA DE CUBIERTA EN LA ZONA DE COCINA DE LA RESIDENCIA DE PERSONAS MAYORES DE VILLAVICIOSA DE ODÓN</w:t>
      </w:r>
      <w:r w:rsidR="00351CB7" w:rsidRPr="00781B3D">
        <w:rPr>
          <w:rFonts w:eastAsia="Times New Roman" w:cs="Arial"/>
          <w:i/>
          <w:sz w:val="20"/>
          <w:szCs w:val="20"/>
          <w:lang w:eastAsia="es-ES"/>
        </w:rPr>
        <w:t>.</w:t>
      </w:r>
      <w:r w:rsidRPr="007201C0">
        <w:rPr>
          <w:rFonts w:eastAsia="Times New Roman" w:cs="Arial"/>
          <w:i/>
          <w:sz w:val="20"/>
          <w:szCs w:val="20"/>
          <w:lang w:eastAsia="es-ES"/>
        </w:rPr>
        <w:t>”</w:t>
      </w:r>
      <w:r>
        <w:rPr>
          <w:rFonts w:eastAsia="Times New Roman" w:cs="Arial"/>
          <w:lang w:eastAsia="es-ES"/>
        </w:rPr>
        <w:t xml:space="preserve"> </w:t>
      </w:r>
      <w:r w:rsidR="00351CB7">
        <w:rPr>
          <w:rFonts w:eastAsia="Times New Roman" w:cs="Arial"/>
          <w:lang w:eastAsia="es-ES"/>
        </w:rPr>
        <w:t>(páginas 103 a 115 d</w:t>
      </w:r>
      <w:r w:rsidR="008369DB">
        <w:rPr>
          <w:rFonts w:eastAsia="Times New Roman" w:cs="Arial"/>
          <w:lang w:eastAsia="es-ES"/>
        </w:rPr>
        <w:t>el archivo)</w:t>
      </w:r>
      <w:r>
        <w:rPr>
          <w:rFonts w:eastAsia="Times New Roman" w:cs="Arial"/>
          <w:lang w:eastAsia="es-ES"/>
        </w:rPr>
        <w:t>.</w:t>
      </w:r>
      <w:r w:rsidR="007201C0">
        <w:rPr>
          <w:rFonts w:eastAsia="Times New Roman" w:cs="Arial"/>
          <w:lang w:eastAsia="es-ES"/>
        </w:rPr>
        <w:t xml:space="preserve"> </w:t>
      </w:r>
    </w:p>
    <w:p w:rsidR="00351CB7" w:rsidRPr="00351CB7" w:rsidRDefault="00351CB7" w:rsidP="0008294F">
      <w:pPr>
        <w:pStyle w:val="Prrafodelista"/>
        <w:spacing w:after="0" w:line="240" w:lineRule="auto"/>
        <w:rPr>
          <w:rFonts w:eastAsia="Times New Roman" w:cs="Arial"/>
          <w:lang w:eastAsia="es-ES"/>
        </w:rPr>
      </w:pPr>
    </w:p>
    <w:p w:rsidR="00351CB7" w:rsidRPr="008369DB" w:rsidRDefault="00351CB7" w:rsidP="0008294F">
      <w:pPr>
        <w:pStyle w:val="Prrafodelista"/>
        <w:numPr>
          <w:ilvl w:val="0"/>
          <w:numId w:val="28"/>
        </w:numPr>
        <w:spacing w:after="0" w:line="240" w:lineRule="auto"/>
        <w:jc w:val="both"/>
        <w:rPr>
          <w:rFonts w:eastAsia="Times New Roman" w:cs="Arial"/>
          <w:lang w:eastAsia="es-ES"/>
        </w:rPr>
      </w:pPr>
      <w:r w:rsidRPr="008369DB">
        <w:rPr>
          <w:rFonts w:eastAsia="Times New Roman" w:cs="Arial"/>
          <w:lang w:eastAsia="es-ES"/>
        </w:rPr>
        <w:t xml:space="preserve">Documento de 2 páginas denominado </w:t>
      </w:r>
      <w:r w:rsidRPr="008369DB">
        <w:rPr>
          <w:rFonts w:eastAsia="Times New Roman" w:cs="Arial"/>
          <w:i/>
          <w:sz w:val="20"/>
          <w:szCs w:val="20"/>
          <w:lang w:eastAsia="es-ES"/>
        </w:rPr>
        <w:t xml:space="preserve">RESUMEN DE PRESUPUESTO. PROYECTO DE LA REFORMA DE CUBIERTA EN LA ZONA DE COCINA DE LA RESIDENCIA DE PERSONAS MAYORES DE VILLAVICIOSA DE </w:t>
      </w:r>
      <w:r w:rsidR="00A77300" w:rsidRPr="008369DB">
        <w:rPr>
          <w:rFonts w:eastAsia="Times New Roman" w:cs="Arial"/>
          <w:i/>
          <w:sz w:val="20"/>
          <w:szCs w:val="20"/>
          <w:lang w:eastAsia="es-ES"/>
        </w:rPr>
        <w:t>ODÓN”</w:t>
      </w:r>
      <w:r w:rsidRPr="008369DB">
        <w:rPr>
          <w:rFonts w:eastAsia="Times New Roman" w:cs="Arial"/>
          <w:i/>
          <w:sz w:val="20"/>
          <w:szCs w:val="20"/>
          <w:lang w:eastAsia="es-ES"/>
        </w:rPr>
        <w:t xml:space="preserve"> (</w:t>
      </w:r>
      <w:r w:rsidRPr="008369DB">
        <w:rPr>
          <w:rFonts w:eastAsia="Times New Roman" w:cs="Arial"/>
          <w:lang w:eastAsia="es-ES"/>
        </w:rPr>
        <w:t>páginas 116 a 119 del</w:t>
      </w:r>
      <w:r w:rsidR="008369DB">
        <w:rPr>
          <w:rFonts w:eastAsia="Times New Roman" w:cs="Arial"/>
          <w:lang w:eastAsia="es-ES"/>
        </w:rPr>
        <w:t xml:space="preserve"> </w:t>
      </w:r>
      <w:r w:rsidRPr="008369DB">
        <w:rPr>
          <w:rFonts w:eastAsia="Times New Roman" w:cs="Arial"/>
          <w:lang w:eastAsia="es-ES"/>
        </w:rPr>
        <w:t>archivo),</w:t>
      </w:r>
      <w:r w:rsidRPr="008369DB">
        <w:rPr>
          <w:rFonts w:eastAsia="Times New Roman" w:cs="Arial"/>
          <w:sz w:val="20"/>
          <w:szCs w:val="20"/>
          <w:lang w:eastAsia="es-ES"/>
        </w:rPr>
        <w:t xml:space="preserve"> </w:t>
      </w:r>
      <w:r w:rsidRPr="008369DB">
        <w:rPr>
          <w:rFonts w:eastAsia="Times New Roman" w:cs="Arial"/>
          <w:lang w:eastAsia="es-ES"/>
        </w:rPr>
        <w:t xml:space="preserve">suscrito por el arquitecto autor del proyecto y la antefirma de </w:t>
      </w:r>
      <w:r w:rsidRPr="008369DB">
        <w:rPr>
          <w:rFonts w:eastAsia="Times New Roman" w:cs="Arial"/>
          <w:i/>
          <w:lang w:eastAsia="es-ES"/>
        </w:rPr>
        <w:t>“la propiedad</w:t>
      </w:r>
      <w:r w:rsidR="00873101">
        <w:rPr>
          <w:rFonts w:eastAsia="Times New Roman" w:cs="Arial"/>
          <w:i/>
          <w:lang w:eastAsia="es-ES"/>
        </w:rPr>
        <w:t>.</w:t>
      </w:r>
      <w:r w:rsidRPr="008369DB">
        <w:rPr>
          <w:rFonts w:eastAsia="Times New Roman" w:cs="Arial"/>
          <w:i/>
          <w:lang w:eastAsia="es-ES"/>
        </w:rPr>
        <w:t xml:space="preserve"> Consejería de Asuntos Sociales</w:t>
      </w:r>
      <w:r w:rsidR="00873101">
        <w:rPr>
          <w:rFonts w:eastAsia="Times New Roman" w:cs="Arial"/>
          <w:i/>
          <w:lang w:eastAsia="es-ES"/>
        </w:rPr>
        <w:t>.</w:t>
      </w:r>
      <w:r w:rsidRPr="008369DB">
        <w:rPr>
          <w:rFonts w:eastAsia="Times New Roman" w:cs="Arial"/>
          <w:i/>
          <w:lang w:eastAsia="es-ES"/>
        </w:rPr>
        <w:t xml:space="preserve"> Comunidad de Madrid” </w:t>
      </w:r>
      <w:r w:rsidRPr="008369DB">
        <w:rPr>
          <w:rFonts w:eastAsia="Times New Roman" w:cs="Arial"/>
          <w:lang w:eastAsia="es-ES"/>
        </w:rPr>
        <w:t>(no suscrito), fechado “</w:t>
      </w:r>
      <w:r w:rsidRPr="008369DB">
        <w:rPr>
          <w:rFonts w:eastAsia="Times New Roman" w:cs="Arial"/>
          <w:i/>
          <w:lang w:eastAsia="es-ES"/>
        </w:rPr>
        <w:t>en Madrid, octubre de 2018</w:t>
      </w:r>
      <w:r w:rsidRPr="008369DB">
        <w:rPr>
          <w:rFonts w:eastAsia="Times New Roman" w:cs="Arial"/>
          <w:lang w:eastAsia="es-ES"/>
        </w:rPr>
        <w:t>”,</w:t>
      </w:r>
    </w:p>
    <w:p w:rsidR="0081590A" w:rsidRPr="0081590A" w:rsidRDefault="0081590A" w:rsidP="0008294F">
      <w:pPr>
        <w:pStyle w:val="Prrafodelista"/>
        <w:spacing w:after="0" w:line="240" w:lineRule="auto"/>
        <w:rPr>
          <w:rFonts w:eastAsia="Times New Roman" w:cs="Arial"/>
          <w:lang w:eastAsia="es-ES"/>
        </w:rPr>
      </w:pPr>
    </w:p>
    <w:p w:rsidR="00887E58" w:rsidRDefault="007201C0" w:rsidP="0008294F">
      <w:pPr>
        <w:spacing w:after="0" w:line="240" w:lineRule="auto"/>
        <w:jc w:val="both"/>
        <w:rPr>
          <w:rFonts w:cs="Arial"/>
        </w:rPr>
      </w:pPr>
      <w:r>
        <w:rPr>
          <w:rFonts w:cs="Arial"/>
        </w:rPr>
        <w:t xml:space="preserve">En conclusión, </w:t>
      </w:r>
      <w:r w:rsidR="00887E58">
        <w:rPr>
          <w:rFonts w:cs="Arial"/>
        </w:rPr>
        <w:t>solo se remite</w:t>
      </w:r>
      <w:r w:rsidR="00186DFD">
        <w:rPr>
          <w:rFonts w:cs="Arial"/>
        </w:rPr>
        <w:t xml:space="preserve"> el documento</w:t>
      </w:r>
      <w:r w:rsidR="00887E58">
        <w:rPr>
          <w:rFonts w:cs="Arial"/>
        </w:rPr>
        <w:t xml:space="preserve"> </w:t>
      </w:r>
      <w:r w:rsidR="00186DFD" w:rsidRPr="00186DFD">
        <w:rPr>
          <w:rFonts w:cs="Arial"/>
          <w:i/>
        </w:rPr>
        <w:t>“</w:t>
      </w:r>
      <w:r w:rsidR="00887E58" w:rsidRPr="00186DFD">
        <w:rPr>
          <w:rFonts w:cs="Arial"/>
          <w:i/>
        </w:rPr>
        <w:t>Mediciones y presupuesto desglosado</w:t>
      </w:r>
      <w:r w:rsidR="00186DFD" w:rsidRPr="00186DFD">
        <w:rPr>
          <w:rFonts w:cs="Arial"/>
        </w:rPr>
        <w:t>”</w:t>
      </w:r>
      <w:r w:rsidR="001E0E16">
        <w:rPr>
          <w:rFonts w:cs="Arial"/>
        </w:rPr>
        <w:t>,</w:t>
      </w:r>
      <w:r>
        <w:rPr>
          <w:rFonts w:cs="Arial"/>
        </w:rPr>
        <w:t xml:space="preserve"> (con dudas </w:t>
      </w:r>
      <w:r w:rsidR="00703686">
        <w:rPr>
          <w:rFonts w:cs="Arial"/>
        </w:rPr>
        <w:t>acerca de la versión</w:t>
      </w:r>
      <w:r w:rsidR="00873101">
        <w:rPr>
          <w:rFonts w:cs="Arial"/>
        </w:rPr>
        <w:t xml:space="preserve"> </w:t>
      </w:r>
      <w:r w:rsidR="00703686">
        <w:rPr>
          <w:rFonts w:cs="Arial"/>
        </w:rPr>
        <w:t xml:space="preserve">y carácter definitivo del documento remitido </w:t>
      </w:r>
      <w:r>
        <w:rPr>
          <w:rFonts w:cs="Arial"/>
        </w:rPr>
        <w:t xml:space="preserve">que se derivan de la descripción anterior) </w:t>
      </w:r>
      <w:r w:rsidR="00887E58" w:rsidRPr="00186DFD">
        <w:rPr>
          <w:rFonts w:cs="Arial"/>
        </w:rPr>
        <w:t>pero no</w:t>
      </w:r>
      <w:r w:rsidR="00186DFD">
        <w:rPr>
          <w:rFonts w:cs="Arial"/>
        </w:rPr>
        <w:t xml:space="preserve"> el resto de elementos del proyecto, específicamente</w:t>
      </w:r>
      <w:r w:rsidR="00887E58" w:rsidRPr="00186DFD">
        <w:rPr>
          <w:rFonts w:cs="Arial"/>
        </w:rPr>
        <w:t xml:space="preserve"> la </w:t>
      </w:r>
      <w:r w:rsidR="00BE037D">
        <w:rPr>
          <w:rFonts w:cs="Arial"/>
        </w:rPr>
        <w:t xml:space="preserve">memoria y la </w:t>
      </w:r>
      <w:r w:rsidR="00887E58" w:rsidRPr="00186DFD">
        <w:rPr>
          <w:rFonts w:cs="Arial"/>
        </w:rPr>
        <w:t>relación de precios u</w:t>
      </w:r>
      <w:r w:rsidR="00F46496">
        <w:rPr>
          <w:rFonts w:cs="Arial"/>
        </w:rPr>
        <w:t>nitarios y descompuestos</w:t>
      </w:r>
      <w:r>
        <w:rPr>
          <w:rFonts w:cs="Arial"/>
        </w:rPr>
        <w:t>.</w:t>
      </w:r>
    </w:p>
    <w:p w:rsidR="00186DFD" w:rsidRDefault="00345196" w:rsidP="0008294F">
      <w:pPr>
        <w:spacing w:after="0" w:line="240" w:lineRule="auto"/>
        <w:jc w:val="both"/>
        <w:rPr>
          <w:rFonts w:cs="Arial"/>
        </w:rPr>
      </w:pPr>
      <w:r>
        <w:rPr>
          <w:rFonts w:cs="Arial"/>
        </w:rPr>
        <w:t xml:space="preserve"> </w:t>
      </w:r>
    </w:p>
    <w:p w:rsidR="00186DFD" w:rsidRDefault="00BE037D" w:rsidP="0008294F">
      <w:pPr>
        <w:spacing w:after="0" w:line="240" w:lineRule="auto"/>
        <w:jc w:val="both"/>
        <w:rPr>
          <w:rFonts w:cs="Arial"/>
        </w:rPr>
      </w:pPr>
      <w:r>
        <w:rPr>
          <w:rFonts w:cs="Arial"/>
        </w:rPr>
        <w:t xml:space="preserve">Sin perjuicio de </w:t>
      </w:r>
      <w:r w:rsidR="00186DFD" w:rsidRPr="001E0E16">
        <w:rPr>
          <w:rFonts w:cs="Arial"/>
        </w:rPr>
        <w:t xml:space="preserve">lo anterior, con la finalidad de no introducir demoras adicionales en la tramitación del expediente, se ha procedido a la valoración y análisis del mismo, para lo cual se ha solicitado de la Intervención Delegada la remisión de los Pliegos del Acuerdo Marco y se ha optado por obviar el análisis </w:t>
      </w:r>
      <w:r>
        <w:rPr>
          <w:rFonts w:cs="Arial"/>
        </w:rPr>
        <w:t xml:space="preserve">del </w:t>
      </w:r>
      <w:r w:rsidR="00006FDE" w:rsidRPr="001E0E16">
        <w:rPr>
          <w:rFonts w:cs="Arial"/>
        </w:rPr>
        <w:t>proyecto</w:t>
      </w:r>
      <w:r w:rsidR="00186DFD" w:rsidRPr="001E0E16">
        <w:rPr>
          <w:rFonts w:cs="Arial"/>
        </w:rPr>
        <w:t>, entendiendo que, por los argumentos que se recogen a continuación, resulta posible llegar a una conclusión final sobre la discrepancia prescindiendo de esta cuestión.</w:t>
      </w:r>
      <w:r w:rsidR="00186DFD">
        <w:rPr>
          <w:rFonts w:cs="Arial"/>
        </w:rPr>
        <w:t xml:space="preserve"> </w:t>
      </w:r>
    </w:p>
    <w:p w:rsidR="00186DFD" w:rsidRDefault="00186DFD" w:rsidP="0008294F">
      <w:pPr>
        <w:spacing w:after="0" w:line="240" w:lineRule="auto"/>
        <w:jc w:val="both"/>
        <w:rPr>
          <w:rFonts w:cs="Arial"/>
        </w:rPr>
      </w:pPr>
    </w:p>
    <w:p w:rsidR="00C114DD" w:rsidRDefault="00C114DD" w:rsidP="0008294F">
      <w:pPr>
        <w:spacing w:after="0" w:line="240" w:lineRule="auto"/>
        <w:jc w:val="center"/>
        <w:rPr>
          <w:rFonts w:cs="Arial"/>
          <w:b/>
        </w:rPr>
      </w:pPr>
      <w:r w:rsidRPr="00531B62">
        <w:rPr>
          <w:rFonts w:cs="Arial"/>
          <w:b/>
        </w:rPr>
        <w:t>II</w:t>
      </w:r>
    </w:p>
    <w:p w:rsidR="001E0E16" w:rsidRPr="00531B62" w:rsidRDefault="001E0E16" w:rsidP="0008294F">
      <w:pPr>
        <w:spacing w:after="0" w:line="240" w:lineRule="auto"/>
        <w:jc w:val="center"/>
        <w:rPr>
          <w:rFonts w:cs="Arial"/>
          <w:b/>
        </w:rPr>
      </w:pPr>
    </w:p>
    <w:p w:rsidR="00CD4538" w:rsidRDefault="00293A58" w:rsidP="0008294F">
      <w:pPr>
        <w:spacing w:after="0" w:line="240" w:lineRule="auto"/>
        <w:ind w:right="-2"/>
        <w:jc w:val="both"/>
        <w:rPr>
          <w:rFonts w:cs="Arial"/>
        </w:rPr>
      </w:pPr>
      <w:r>
        <w:rPr>
          <w:rFonts w:cs="Arial"/>
        </w:rPr>
        <w:t>Por la trascendencia de su valoración en un sentido u otro de cara a la resolución de la discrepancia, p</w:t>
      </w:r>
      <w:r w:rsidRPr="00293A58">
        <w:rPr>
          <w:rFonts w:cs="Arial"/>
        </w:rPr>
        <w:t xml:space="preserve">roceder analizar en primer lugar la alegación relativa </w:t>
      </w:r>
      <w:r>
        <w:rPr>
          <w:rFonts w:cs="Arial"/>
        </w:rPr>
        <w:t xml:space="preserve">al hecho de que </w:t>
      </w:r>
      <w:r w:rsidR="00F46496">
        <w:rPr>
          <w:rFonts w:cs="Arial"/>
        </w:rPr>
        <w:t>ante</w:t>
      </w:r>
      <w:r>
        <w:rPr>
          <w:rFonts w:cs="Arial"/>
        </w:rPr>
        <w:t xml:space="preserve"> la fiscalización favorable</w:t>
      </w:r>
      <w:r w:rsidR="00B9614C">
        <w:rPr>
          <w:rFonts w:cs="Arial"/>
        </w:rPr>
        <w:t xml:space="preserve"> </w:t>
      </w:r>
      <w:r>
        <w:rPr>
          <w:rFonts w:cs="Arial"/>
        </w:rPr>
        <w:t>de la adjudicación del contrato basado y, en consecuencia, del proyecto y las nuevas unidades de obra no incluidas en la Base de Precios, no procede enjuiciar en fase de reconocimiento de obligaciones la adecuada formulación de dichas unidades y los correspondientes precios contradictorios.</w:t>
      </w:r>
    </w:p>
    <w:p w:rsidR="000B75BB" w:rsidRPr="00293A58" w:rsidRDefault="000B75BB" w:rsidP="0008294F">
      <w:pPr>
        <w:spacing w:after="0" w:line="240" w:lineRule="auto"/>
        <w:ind w:right="-2"/>
        <w:jc w:val="both"/>
        <w:rPr>
          <w:rFonts w:cs="Arial"/>
        </w:rPr>
      </w:pPr>
    </w:p>
    <w:p w:rsidR="000B75BB" w:rsidRDefault="000B75BB" w:rsidP="0008294F">
      <w:pPr>
        <w:spacing w:after="0" w:line="240" w:lineRule="auto"/>
        <w:ind w:right="-2"/>
        <w:jc w:val="both"/>
        <w:rPr>
          <w:rFonts w:cs="Arial"/>
          <w:i/>
        </w:rPr>
      </w:pPr>
      <w:r w:rsidRPr="004E3EEE">
        <w:rPr>
          <w:rFonts w:cs="Arial"/>
        </w:rPr>
        <w:t xml:space="preserve">De conformidad con el artículo </w:t>
      </w:r>
      <w:r>
        <w:rPr>
          <w:rFonts w:cs="Arial"/>
        </w:rPr>
        <w:t xml:space="preserve">16.2 </w:t>
      </w:r>
      <w:r w:rsidRPr="004E3EEE">
        <w:rPr>
          <w:rFonts w:cs="Arial"/>
        </w:rPr>
        <w:t>de la Ley 9/1990</w:t>
      </w:r>
      <w:r>
        <w:rPr>
          <w:rFonts w:cs="Arial"/>
        </w:rPr>
        <w:t>: “</w:t>
      </w:r>
      <w:r w:rsidRPr="000B75BB">
        <w:rPr>
          <w:rFonts w:cs="Arial"/>
          <w:i/>
        </w:rPr>
        <w:t>la función interventora tiene por objeto controlar todos los actos de la Administración de la Comunidad y de sus Organismos Autónomos que den lugar al reconocimiento de derechos y obligaciones de contenido económico, así como los ingresos y pagos que de ellos se deriven, y la recaudación, inversión, o aplicación en general de los caudales públicos, con el fin de asegurar que la administración de la Hacienda se ajuste a las disposiciones legales aplicables en cada caso.”</w:t>
      </w:r>
    </w:p>
    <w:p w:rsidR="000B75BB" w:rsidRPr="000B75BB" w:rsidRDefault="000B75BB" w:rsidP="0008294F">
      <w:pPr>
        <w:spacing w:after="0" w:line="240" w:lineRule="auto"/>
        <w:ind w:right="-2"/>
        <w:jc w:val="both"/>
        <w:rPr>
          <w:rFonts w:cs="Arial"/>
          <w:i/>
        </w:rPr>
      </w:pPr>
    </w:p>
    <w:p w:rsidR="004E3EEE" w:rsidRDefault="004E3EEE" w:rsidP="0008294F">
      <w:pPr>
        <w:spacing w:after="0" w:line="240" w:lineRule="auto"/>
        <w:ind w:right="-2"/>
        <w:jc w:val="both"/>
        <w:rPr>
          <w:rFonts w:cs="Arial"/>
        </w:rPr>
      </w:pPr>
      <w:r>
        <w:rPr>
          <w:rFonts w:cs="Arial"/>
        </w:rPr>
        <w:t>El a</w:t>
      </w:r>
      <w:r w:rsidRPr="004E3EEE">
        <w:rPr>
          <w:rFonts w:cs="Arial"/>
        </w:rPr>
        <w:t>rtículo 83</w:t>
      </w:r>
      <w:r>
        <w:rPr>
          <w:rFonts w:cs="Arial"/>
        </w:rPr>
        <w:t>.2 de dicha Ley concreta el ámbito de la funci</w:t>
      </w:r>
      <w:r w:rsidR="000B75BB">
        <w:rPr>
          <w:rFonts w:cs="Arial"/>
        </w:rPr>
        <w:t>ón interventora:</w:t>
      </w:r>
    </w:p>
    <w:p w:rsidR="002A2794" w:rsidRDefault="002A2794" w:rsidP="0008294F">
      <w:pPr>
        <w:spacing w:after="0" w:line="240" w:lineRule="auto"/>
        <w:ind w:right="-2"/>
        <w:jc w:val="both"/>
        <w:rPr>
          <w:rFonts w:cs="Arial"/>
        </w:rPr>
      </w:pPr>
    </w:p>
    <w:p w:rsidR="004E3EEE" w:rsidRDefault="004E3EEE" w:rsidP="0008294F">
      <w:pPr>
        <w:spacing w:after="0" w:line="240" w:lineRule="auto"/>
        <w:ind w:left="709"/>
        <w:jc w:val="both"/>
        <w:rPr>
          <w:rFonts w:cs="Arial"/>
          <w:i/>
          <w:sz w:val="20"/>
          <w:szCs w:val="20"/>
        </w:rPr>
      </w:pPr>
      <w:r w:rsidRPr="004E3EEE">
        <w:rPr>
          <w:rFonts w:cs="Arial"/>
          <w:i/>
          <w:sz w:val="20"/>
          <w:szCs w:val="20"/>
        </w:rPr>
        <w:t>“2. El ejercicio de la expresada función comprenderá: </w:t>
      </w:r>
    </w:p>
    <w:p w:rsidR="004E3EEE" w:rsidRPr="004E3EEE" w:rsidRDefault="004E3EEE" w:rsidP="0008294F">
      <w:pPr>
        <w:spacing w:after="0" w:line="240" w:lineRule="auto"/>
        <w:ind w:left="709"/>
        <w:jc w:val="both"/>
        <w:rPr>
          <w:rFonts w:cs="Arial"/>
          <w:i/>
          <w:sz w:val="20"/>
          <w:szCs w:val="20"/>
        </w:rPr>
      </w:pPr>
    </w:p>
    <w:p w:rsidR="004E3EEE" w:rsidRDefault="004E3EEE" w:rsidP="00F57C7F">
      <w:pPr>
        <w:spacing w:after="0" w:line="240" w:lineRule="auto"/>
        <w:ind w:left="709"/>
        <w:jc w:val="both"/>
        <w:rPr>
          <w:rFonts w:cs="Arial"/>
          <w:i/>
          <w:sz w:val="20"/>
          <w:szCs w:val="20"/>
        </w:rPr>
      </w:pPr>
      <w:r w:rsidRPr="004E3EEE">
        <w:rPr>
          <w:rFonts w:cs="Arial"/>
          <w:i/>
          <w:sz w:val="20"/>
          <w:szCs w:val="20"/>
        </w:rPr>
        <w:t>a)   La intervención previa de todo acto, documento o expediente susceptible de producir derechos y obligaciones de contenido económico o movimiento de fondos y valores.</w:t>
      </w:r>
    </w:p>
    <w:p w:rsidR="00F57C7F" w:rsidRDefault="00F57C7F" w:rsidP="00F57C7F">
      <w:pPr>
        <w:spacing w:after="0" w:line="240" w:lineRule="auto"/>
        <w:ind w:left="709"/>
        <w:jc w:val="both"/>
        <w:rPr>
          <w:rFonts w:cs="Arial"/>
          <w:i/>
          <w:sz w:val="20"/>
          <w:szCs w:val="20"/>
        </w:rPr>
      </w:pPr>
    </w:p>
    <w:p w:rsidR="004E3EEE" w:rsidRDefault="004E3EEE" w:rsidP="00F57C7F">
      <w:pPr>
        <w:spacing w:after="0" w:line="240" w:lineRule="auto"/>
        <w:ind w:left="709"/>
        <w:jc w:val="both"/>
        <w:rPr>
          <w:rFonts w:cs="Arial"/>
          <w:i/>
          <w:sz w:val="20"/>
          <w:szCs w:val="20"/>
        </w:rPr>
      </w:pPr>
      <w:r w:rsidRPr="004E3EEE">
        <w:rPr>
          <w:rFonts w:cs="Arial"/>
          <w:i/>
          <w:sz w:val="20"/>
          <w:szCs w:val="20"/>
        </w:rPr>
        <w:t>b)   La intervención formal de la ordenación del pago.</w:t>
      </w:r>
    </w:p>
    <w:p w:rsidR="0008294F" w:rsidRDefault="0008294F" w:rsidP="00F57C7F">
      <w:pPr>
        <w:spacing w:after="0" w:line="240" w:lineRule="auto"/>
        <w:ind w:left="709"/>
        <w:jc w:val="both"/>
        <w:rPr>
          <w:rFonts w:cs="Arial"/>
          <w:i/>
          <w:sz w:val="20"/>
          <w:szCs w:val="20"/>
        </w:rPr>
      </w:pPr>
    </w:p>
    <w:p w:rsidR="004E3EEE" w:rsidRDefault="004E3EEE" w:rsidP="00F57C7F">
      <w:pPr>
        <w:spacing w:after="0" w:line="240" w:lineRule="auto"/>
        <w:ind w:left="709"/>
        <w:jc w:val="both"/>
        <w:rPr>
          <w:rFonts w:cs="Arial"/>
          <w:i/>
          <w:sz w:val="20"/>
          <w:szCs w:val="20"/>
        </w:rPr>
      </w:pPr>
      <w:r w:rsidRPr="004E3EEE">
        <w:rPr>
          <w:rFonts w:cs="Arial"/>
          <w:i/>
          <w:sz w:val="20"/>
          <w:szCs w:val="20"/>
        </w:rPr>
        <w:t>c)   La intervención material del pago.</w:t>
      </w:r>
      <w:r w:rsidR="00337F78">
        <w:rPr>
          <w:rFonts w:cs="Arial"/>
          <w:i/>
          <w:sz w:val="20"/>
          <w:szCs w:val="20"/>
        </w:rPr>
        <w:t xml:space="preserve"> </w:t>
      </w:r>
    </w:p>
    <w:p w:rsidR="0008294F" w:rsidRDefault="0008294F" w:rsidP="00F57C7F">
      <w:pPr>
        <w:spacing w:after="0" w:line="240" w:lineRule="auto"/>
        <w:ind w:left="709"/>
        <w:jc w:val="both"/>
        <w:rPr>
          <w:rFonts w:cs="Arial"/>
          <w:i/>
          <w:sz w:val="20"/>
          <w:szCs w:val="20"/>
        </w:rPr>
      </w:pPr>
    </w:p>
    <w:p w:rsidR="004E3EEE" w:rsidRPr="004E3EEE" w:rsidRDefault="004E3EEE" w:rsidP="00F57C7F">
      <w:pPr>
        <w:spacing w:after="0" w:line="240" w:lineRule="auto"/>
        <w:ind w:left="709"/>
        <w:jc w:val="both"/>
        <w:rPr>
          <w:rFonts w:cs="Arial"/>
          <w:i/>
          <w:sz w:val="20"/>
          <w:szCs w:val="20"/>
        </w:rPr>
      </w:pPr>
      <w:r w:rsidRPr="004E3EEE">
        <w:rPr>
          <w:rFonts w:cs="Arial"/>
          <w:i/>
          <w:sz w:val="20"/>
          <w:szCs w:val="20"/>
        </w:rPr>
        <w:t>d)   La intervención de la aplicación o empleo de las cantidades destinadas a obras, suministros, adquisiciones o servicios, que comprenderá el examen documental.”</w:t>
      </w:r>
    </w:p>
    <w:p w:rsidR="000B75BB" w:rsidRDefault="000B75BB" w:rsidP="0008294F">
      <w:pPr>
        <w:spacing w:after="0" w:line="240" w:lineRule="auto"/>
        <w:ind w:right="-2"/>
        <w:jc w:val="both"/>
        <w:rPr>
          <w:rFonts w:cs="Arial"/>
        </w:rPr>
      </w:pPr>
    </w:p>
    <w:p w:rsidR="004E3EEE" w:rsidRDefault="004E3EEE" w:rsidP="0008294F">
      <w:pPr>
        <w:spacing w:after="0" w:line="240" w:lineRule="auto"/>
        <w:ind w:right="-2"/>
        <w:jc w:val="both"/>
        <w:rPr>
          <w:rFonts w:cs="Arial"/>
        </w:rPr>
      </w:pPr>
      <w:r>
        <w:rPr>
          <w:rFonts w:cs="Arial"/>
        </w:rPr>
        <w:t>Por su parte, el a</w:t>
      </w:r>
      <w:r w:rsidRPr="00706224">
        <w:rPr>
          <w:rFonts w:cs="Arial"/>
        </w:rPr>
        <w:t>rtículo 68</w:t>
      </w:r>
      <w:r>
        <w:rPr>
          <w:rFonts w:cs="Arial"/>
        </w:rPr>
        <w:t xml:space="preserve"> define el concepto de las distintas fases que </w:t>
      </w:r>
      <w:r w:rsidRPr="00706224">
        <w:rPr>
          <w:rFonts w:cs="Arial"/>
        </w:rPr>
        <w:t>comprenden el proceso del gasto:</w:t>
      </w:r>
    </w:p>
    <w:p w:rsidR="000B75BB" w:rsidRPr="00706224" w:rsidRDefault="000B75BB" w:rsidP="0008294F">
      <w:pPr>
        <w:spacing w:after="0" w:line="240" w:lineRule="auto"/>
        <w:ind w:right="-2"/>
        <w:jc w:val="both"/>
        <w:rPr>
          <w:rFonts w:cs="Arial"/>
        </w:rPr>
      </w:pPr>
    </w:p>
    <w:p w:rsidR="004E3EEE" w:rsidRDefault="004E3EEE" w:rsidP="0008294F">
      <w:pPr>
        <w:spacing w:after="0" w:line="240" w:lineRule="auto"/>
        <w:ind w:left="709"/>
        <w:jc w:val="both"/>
        <w:rPr>
          <w:rFonts w:cs="Arial"/>
          <w:i/>
          <w:sz w:val="20"/>
          <w:szCs w:val="20"/>
        </w:rPr>
      </w:pPr>
      <w:r w:rsidRPr="00706224">
        <w:rPr>
          <w:rFonts w:cs="Arial"/>
          <w:i/>
          <w:sz w:val="20"/>
          <w:szCs w:val="20"/>
        </w:rPr>
        <w:t>a)   Autorización, es el acto de previsión en virtud del cual la autoridad competente acepta una propuesta para la realización del gasto, calculado de forma cierta o aproximada por exceso, reservando a tal fin el importe de la propuesta, del crédito presupuestario adecuado, habida cuenta de la finalidad y naturaleza económica del gasto.</w:t>
      </w:r>
    </w:p>
    <w:p w:rsidR="004E3EEE" w:rsidRPr="00706224" w:rsidRDefault="004E3EEE" w:rsidP="0008294F">
      <w:pPr>
        <w:spacing w:after="0" w:line="240" w:lineRule="auto"/>
        <w:ind w:left="709"/>
        <w:jc w:val="both"/>
        <w:rPr>
          <w:rFonts w:cs="Arial"/>
          <w:i/>
          <w:sz w:val="20"/>
          <w:szCs w:val="20"/>
        </w:rPr>
      </w:pPr>
    </w:p>
    <w:p w:rsidR="004E3EEE" w:rsidRDefault="004E3EEE" w:rsidP="0008294F">
      <w:pPr>
        <w:spacing w:after="0" w:line="240" w:lineRule="auto"/>
        <w:ind w:left="709"/>
        <w:jc w:val="both"/>
        <w:rPr>
          <w:rFonts w:cs="Arial"/>
          <w:i/>
          <w:sz w:val="20"/>
          <w:szCs w:val="20"/>
        </w:rPr>
      </w:pPr>
      <w:r w:rsidRPr="00706224">
        <w:rPr>
          <w:rFonts w:cs="Arial"/>
          <w:i/>
          <w:sz w:val="20"/>
          <w:szCs w:val="20"/>
        </w:rPr>
        <w:t>b)   Disposición, es el acto en virtud del cual la autoridad competente acuerda, concierta o determina, según los casos, después de cumplir los trámites que con acuerdo a derecho procedan, la cuantía concreta que debe alcanzar el compromiso económico para la realización de todo tipo de actuaciones por un tercero. Con los actos de disposición o compromiso queda formalizada la reserva del crédito por un importe y condiciones exactamente determinadas.</w:t>
      </w:r>
    </w:p>
    <w:p w:rsidR="004E3EEE" w:rsidRPr="00706224" w:rsidRDefault="004E3EEE" w:rsidP="0008294F">
      <w:pPr>
        <w:spacing w:after="0" w:line="240" w:lineRule="auto"/>
        <w:ind w:left="709"/>
        <w:jc w:val="both"/>
        <w:rPr>
          <w:rFonts w:cs="Arial"/>
          <w:i/>
          <w:sz w:val="20"/>
          <w:szCs w:val="20"/>
        </w:rPr>
      </w:pPr>
    </w:p>
    <w:p w:rsidR="004E3EEE" w:rsidRDefault="004E3EEE" w:rsidP="0008294F">
      <w:pPr>
        <w:spacing w:after="0" w:line="240" w:lineRule="auto"/>
        <w:ind w:left="709"/>
        <w:jc w:val="both"/>
        <w:rPr>
          <w:rFonts w:cs="Arial"/>
          <w:i/>
          <w:sz w:val="20"/>
          <w:szCs w:val="20"/>
        </w:rPr>
      </w:pPr>
      <w:r w:rsidRPr="00706224">
        <w:rPr>
          <w:rFonts w:cs="Arial"/>
          <w:i/>
          <w:sz w:val="20"/>
          <w:szCs w:val="20"/>
        </w:rPr>
        <w:t>c)   Reconocimiento de la obligación es la operación por la que se contrae en cuentas los créditos exigibles contra la Administración comunitaria, reconociendo que ésta queda obligada frente a un tercero a cumplir una prestación dineraria.</w:t>
      </w:r>
    </w:p>
    <w:p w:rsidR="004E3EEE" w:rsidRPr="00706224" w:rsidRDefault="004E3EEE" w:rsidP="0008294F">
      <w:pPr>
        <w:spacing w:after="0" w:line="240" w:lineRule="auto"/>
        <w:ind w:left="709"/>
        <w:jc w:val="both"/>
        <w:rPr>
          <w:rFonts w:cs="Arial"/>
          <w:i/>
          <w:sz w:val="20"/>
          <w:szCs w:val="20"/>
        </w:rPr>
      </w:pPr>
    </w:p>
    <w:p w:rsidR="004E3EEE" w:rsidRPr="00706224" w:rsidRDefault="004E3EEE" w:rsidP="0008294F">
      <w:pPr>
        <w:spacing w:after="0" w:line="240" w:lineRule="auto"/>
        <w:ind w:left="709"/>
        <w:jc w:val="both"/>
        <w:rPr>
          <w:rFonts w:cs="Arial"/>
          <w:i/>
          <w:sz w:val="20"/>
          <w:szCs w:val="20"/>
        </w:rPr>
      </w:pPr>
      <w:r w:rsidRPr="00706224">
        <w:rPr>
          <w:rFonts w:cs="Arial"/>
          <w:i/>
          <w:sz w:val="20"/>
          <w:szCs w:val="20"/>
        </w:rPr>
        <w:t>d)   Propuesta de pago, es la operación por la que el representante autorizado del Centro gestor que ha reconocido la existencia de una obligación de pagar en favor de un tercero, solicita de la Consejería de Hacienda, o persona que tenga encomendada las funciones adscritas en el artículo 111 de la presente Ley, que, de acuerdo con la normativa vigente, realice su pago.</w:t>
      </w:r>
    </w:p>
    <w:p w:rsidR="000B75BB" w:rsidRDefault="000B75BB" w:rsidP="0008294F">
      <w:pPr>
        <w:spacing w:after="0" w:line="240" w:lineRule="auto"/>
        <w:ind w:left="708" w:right="-2"/>
        <w:jc w:val="both"/>
        <w:rPr>
          <w:rFonts w:cs="Arial"/>
          <w:i/>
          <w:sz w:val="20"/>
          <w:szCs w:val="20"/>
        </w:rPr>
      </w:pPr>
    </w:p>
    <w:p w:rsidR="004E3EEE" w:rsidRDefault="004E3EEE" w:rsidP="0008294F">
      <w:pPr>
        <w:spacing w:after="0" w:line="240" w:lineRule="auto"/>
        <w:ind w:left="708" w:right="-2"/>
        <w:jc w:val="both"/>
        <w:rPr>
          <w:rFonts w:cs="Arial"/>
          <w:i/>
          <w:sz w:val="20"/>
          <w:szCs w:val="20"/>
        </w:rPr>
      </w:pPr>
      <w:r w:rsidRPr="004E3EEE">
        <w:rPr>
          <w:rFonts w:cs="Arial"/>
          <w:i/>
          <w:sz w:val="20"/>
          <w:szCs w:val="20"/>
        </w:rPr>
        <w:t>2. Las fases referidas en las cuatro letras del apartado anterior han de ser realizadas sin omisiones en el orden expuesto, aunque pueden ser acumuladas y emitidas en un solo acto y un solo documento que recoja más de una fase.</w:t>
      </w:r>
    </w:p>
    <w:p w:rsidR="000B75BB" w:rsidRPr="004E3EEE" w:rsidRDefault="000B75BB" w:rsidP="0008294F">
      <w:pPr>
        <w:spacing w:after="0" w:line="240" w:lineRule="auto"/>
        <w:ind w:left="708" w:right="-2"/>
        <w:jc w:val="both"/>
        <w:rPr>
          <w:rFonts w:cs="Arial"/>
          <w:i/>
          <w:sz w:val="20"/>
          <w:szCs w:val="20"/>
        </w:rPr>
      </w:pPr>
    </w:p>
    <w:p w:rsidR="004E3EEE" w:rsidRDefault="004E3EEE" w:rsidP="0008294F">
      <w:pPr>
        <w:spacing w:after="0" w:line="240" w:lineRule="auto"/>
        <w:ind w:right="-2"/>
        <w:jc w:val="both"/>
        <w:rPr>
          <w:rFonts w:cs="Arial"/>
        </w:rPr>
      </w:pPr>
      <w:r>
        <w:rPr>
          <w:rFonts w:cs="Arial"/>
        </w:rPr>
        <w:t>De conformidad con lo anterior, en el expediente objeto de la presente discrepancia</w:t>
      </w:r>
      <w:r w:rsidR="00BE037D">
        <w:rPr>
          <w:rFonts w:cs="Arial"/>
        </w:rPr>
        <w:t xml:space="preserve"> la tramitación de gasto </w:t>
      </w:r>
      <w:r>
        <w:rPr>
          <w:rFonts w:cs="Arial"/>
        </w:rPr>
        <w:t>y su correspondiente fiscalización comprende las siguientes actuaciones:</w:t>
      </w:r>
    </w:p>
    <w:p w:rsidR="000B75BB" w:rsidRDefault="000B75BB" w:rsidP="0008294F">
      <w:pPr>
        <w:spacing w:after="0" w:line="240" w:lineRule="auto"/>
        <w:ind w:right="-2"/>
        <w:jc w:val="both"/>
        <w:rPr>
          <w:rFonts w:cs="Arial"/>
        </w:rPr>
      </w:pPr>
    </w:p>
    <w:p w:rsidR="004E3EEE" w:rsidRDefault="004E3EEE" w:rsidP="0008294F">
      <w:pPr>
        <w:spacing w:after="0" w:line="240" w:lineRule="auto"/>
        <w:ind w:left="708" w:right="-2"/>
        <w:jc w:val="both"/>
        <w:rPr>
          <w:rFonts w:cs="Arial"/>
        </w:rPr>
      </w:pPr>
      <w:r>
        <w:rPr>
          <w:rFonts w:cs="Arial"/>
        </w:rPr>
        <w:t xml:space="preserve">1.- Autorización y disposición del gasto correspondiente a la adjudicación del contrato </w:t>
      </w:r>
      <w:r w:rsidRPr="004E3EEE">
        <w:rPr>
          <w:rFonts w:cs="Arial"/>
        </w:rPr>
        <w:t xml:space="preserve">de obras </w:t>
      </w:r>
      <w:r w:rsidR="006E4C9C" w:rsidRPr="00F14F1D">
        <w:rPr>
          <w:rFonts w:eastAsiaTheme="minorHAnsi" w:cs="Arial"/>
          <w:i/>
        </w:rPr>
        <w:t>"Obras del proyecto de reforma de la cubierta en zona de cocina de la Residencia de Mayores Villaviciosa de Odón”</w:t>
      </w:r>
      <w:r w:rsidR="006E4C9C">
        <w:rPr>
          <w:rFonts w:eastAsiaTheme="minorHAnsi" w:cs="Arial"/>
          <w:b/>
          <w:bCs/>
          <w:color w:val="000000"/>
          <w:sz w:val="20"/>
          <w:szCs w:val="20"/>
        </w:rPr>
        <w:t>,</w:t>
      </w:r>
      <w:r w:rsidRPr="004E3EEE">
        <w:rPr>
          <w:rFonts w:cs="Arial"/>
        </w:rPr>
        <w:t xml:space="preserve"> basado en el Acuerdo Marco</w:t>
      </w:r>
      <w:r>
        <w:rPr>
          <w:rFonts w:cs="Arial"/>
        </w:rPr>
        <w:t xml:space="preserve"> </w:t>
      </w:r>
      <w:r w:rsidRPr="004E3EEE">
        <w:rPr>
          <w:rFonts w:cs="Arial"/>
        </w:rPr>
        <w:t>para las obras de reforma, reparación y conservación de los inmuebles adscritos a la Agenc</w:t>
      </w:r>
      <w:r w:rsidR="00793393">
        <w:rPr>
          <w:rFonts w:cs="Arial"/>
        </w:rPr>
        <w:t>ia Madrileña de Atención Social.</w:t>
      </w:r>
    </w:p>
    <w:p w:rsidR="000B75BB" w:rsidRDefault="000B75BB" w:rsidP="0008294F">
      <w:pPr>
        <w:spacing w:after="0" w:line="240" w:lineRule="auto"/>
        <w:ind w:left="708" w:right="-2"/>
        <w:jc w:val="both"/>
        <w:rPr>
          <w:rFonts w:cs="Arial"/>
        </w:rPr>
      </w:pPr>
    </w:p>
    <w:p w:rsidR="004E3EEE" w:rsidRDefault="004E3EEE" w:rsidP="0008294F">
      <w:pPr>
        <w:spacing w:after="0" w:line="240" w:lineRule="auto"/>
        <w:ind w:left="708" w:right="-2"/>
        <w:jc w:val="both"/>
        <w:rPr>
          <w:rFonts w:cs="Arial"/>
        </w:rPr>
      </w:pPr>
      <w:r>
        <w:rPr>
          <w:rFonts w:cs="Arial"/>
        </w:rPr>
        <w:t xml:space="preserve">2.- Reconocimiento de las obligaciones correspondientes a las certificaciones de obras relativas a la ejecución del citado contrato basado, reconocimiento concretado en la tramitación de </w:t>
      </w:r>
      <w:r w:rsidR="0008294F">
        <w:rPr>
          <w:rFonts w:cs="Arial"/>
        </w:rPr>
        <w:t xml:space="preserve">doce </w:t>
      </w:r>
      <w:r>
        <w:rPr>
          <w:rFonts w:cs="Arial"/>
        </w:rPr>
        <w:t>certificaciones de obra, siendo la fiscalización de la</w:t>
      </w:r>
      <w:r w:rsidR="006E4C9C">
        <w:rPr>
          <w:rFonts w:cs="Arial"/>
        </w:rPr>
        <w:t>s</w:t>
      </w:r>
      <w:r>
        <w:rPr>
          <w:rFonts w:cs="Arial"/>
        </w:rPr>
        <w:t xml:space="preserve"> certificaci</w:t>
      </w:r>
      <w:r w:rsidR="006E4C9C">
        <w:rPr>
          <w:rFonts w:cs="Arial"/>
        </w:rPr>
        <w:t>ones</w:t>
      </w:r>
      <w:r>
        <w:rPr>
          <w:rFonts w:cs="Arial"/>
        </w:rPr>
        <w:t xml:space="preserve"> nº </w:t>
      </w:r>
      <w:r w:rsidR="006E4C9C">
        <w:rPr>
          <w:rFonts w:cs="Arial"/>
        </w:rPr>
        <w:t>11</w:t>
      </w:r>
      <w:r>
        <w:rPr>
          <w:rFonts w:cs="Arial"/>
        </w:rPr>
        <w:t xml:space="preserve"> y </w:t>
      </w:r>
      <w:r w:rsidR="006E4C9C">
        <w:rPr>
          <w:rFonts w:cs="Arial"/>
        </w:rPr>
        <w:t>12</w:t>
      </w:r>
      <w:r>
        <w:rPr>
          <w:rFonts w:cs="Arial"/>
        </w:rPr>
        <w:t xml:space="preserve"> la que genera la presente discrepancia.</w:t>
      </w:r>
    </w:p>
    <w:p w:rsidR="000B75BB" w:rsidRDefault="000B75BB" w:rsidP="0008294F">
      <w:pPr>
        <w:spacing w:after="0" w:line="240" w:lineRule="auto"/>
        <w:ind w:left="708" w:right="-2"/>
        <w:jc w:val="both"/>
        <w:rPr>
          <w:rFonts w:cs="Arial"/>
        </w:rPr>
      </w:pPr>
    </w:p>
    <w:p w:rsidR="004E3EEE" w:rsidRDefault="004E3EEE" w:rsidP="0008294F">
      <w:pPr>
        <w:spacing w:after="0" w:line="240" w:lineRule="auto"/>
        <w:ind w:right="-2"/>
        <w:jc w:val="both"/>
        <w:rPr>
          <w:rFonts w:cs="Arial"/>
        </w:rPr>
      </w:pPr>
      <w:r>
        <w:rPr>
          <w:rFonts w:cs="Arial"/>
        </w:rPr>
        <w:t>Resulta necesario distinguir en todo el procedimiento el ámbito y contenido de los distintos actos fiscales efectuados, autorización y disposición de gasto por un lado y reconocimiento de obligaciones por otro.</w:t>
      </w:r>
    </w:p>
    <w:p w:rsidR="000B75BB" w:rsidRDefault="000B75BB" w:rsidP="0008294F">
      <w:pPr>
        <w:spacing w:after="0" w:line="240" w:lineRule="auto"/>
        <w:ind w:right="-2"/>
        <w:jc w:val="both"/>
        <w:rPr>
          <w:rFonts w:cs="Arial"/>
        </w:rPr>
      </w:pPr>
    </w:p>
    <w:p w:rsidR="004E3EEE" w:rsidRDefault="004E3EEE" w:rsidP="0008294F">
      <w:pPr>
        <w:spacing w:after="0" w:line="240" w:lineRule="auto"/>
        <w:ind w:right="-2"/>
        <w:jc w:val="both"/>
        <w:rPr>
          <w:i/>
          <w:lang w:val="es-ES_tradnl"/>
        </w:rPr>
      </w:pPr>
      <w:r>
        <w:rPr>
          <w:rFonts w:cs="Arial"/>
        </w:rPr>
        <w:t xml:space="preserve">Conforme al artículo </w:t>
      </w:r>
      <w:r w:rsidR="000B75BB">
        <w:rPr>
          <w:rFonts w:cs="Arial"/>
        </w:rPr>
        <w:t>7.2</w:t>
      </w:r>
      <w:r>
        <w:rPr>
          <w:rFonts w:cs="Arial"/>
        </w:rPr>
        <w:t xml:space="preserve"> del </w:t>
      </w:r>
      <w:r w:rsidRPr="004E3EEE">
        <w:rPr>
          <w:rFonts w:cs="Arial"/>
        </w:rPr>
        <w:t>Decreto 45/1997, de 20 de marzo, por el que se desarrolla el Régimen de Control Interno y Contable ejercido por la Intervención General de la Comunidad de Madrid</w:t>
      </w:r>
      <w:r w:rsidR="000B75BB">
        <w:rPr>
          <w:rFonts w:cs="Arial"/>
        </w:rPr>
        <w:t xml:space="preserve"> </w:t>
      </w:r>
      <w:r w:rsidR="000B75BB" w:rsidRPr="000B75BB">
        <w:rPr>
          <w:rFonts w:cs="Arial"/>
          <w:i/>
        </w:rPr>
        <w:t>“</w:t>
      </w:r>
      <w:r w:rsidRPr="000B75BB">
        <w:rPr>
          <w:i/>
          <w:lang w:val="es-ES_tradnl"/>
        </w:rPr>
        <w:t>La función interventora tiene por objeto garantizar que cada acto de gestión se ajuste a la normativa aplicable en cada caso, al cumplimiento de las normas relativas a la disciplina presupuestaria y a los procedimientos de gestión de gastos, ingresos y aplicación de fondos y caudales públicos.</w:t>
      </w:r>
      <w:r w:rsidR="000B75BB" w:rsidRPr="000B75BB">
        <w:rPr>
          <w:i/>
          <w:lang w:val="es-ES_tradnl"/>
        </w:rPr>
        <w:t>”</w:t>
      </w:r>
    </w:p>
    <w:p w:rsidR="000B75BB" w:rsidRDefault="000B75BB" w:rsidP="0008294F">
      <w:pPr>
        <w:spacing w:after="0" w:line="240" w:lineRule="auto"/>
        <w:ind w:right="-2"/>
        <w:jc w:val="both"/>
        <w:rPr>
          <w:i/>
          <w:lang w:val="es-ES_tradnl"/>
        </w:rPr>
      </w:pPr>
    </w:p>
    <w:p w:rsidR="000B75BB" w:rsidRPr="000B75BB" w:rsidRDefault="000B75BB" w:rsidP="0008294F">
      <w:pPr>
        <w:spacing w:after="0" w:line="240" w:lineRule="auto"/>
        <w:ind w:right="-2"/>
        <w:jc w:val="both"/>
        <w:rPr>
          <w:lang w:val="es-ES_tradnl"/>
        </w:rPr>
      </w:pPr>
      <w:r w:rsidRPr="000B75BB">
        <w:rPr>
          <w:lang w:val="es-ES_tradnl"/>
        </w:rPr>
        <w:t xml:space="preserve">El citado Decreto no detalla el contenido de las comprobaciones a efectuar en el proceso de fiscalización de las fases de autorización y disposición del gasto (aspecto que si desarrolla en el caso del reconocimiento de obligaciones como veremos más adelante) pero </w:t>
      </w:r>
      <w:r w:rsidR="00A84B2B">
        <w:rPr>
          <w:lang w:val="es-ES_tradnl"/>
        </w:rPr>
        <w:t xml:space="preserve">en aplicación del artículo 16 de la Ley 9/1990 deben dirigirse a garantizar que la tramitación se </w:t>
      </w:r>
      <w:r w:rsidR="00A84B2B" w:rsidRPr="00A84B2B">
        <w:rPr>
          <w:lang w:val="es-ES_tradnl"/>
        </w:rPr>
        <w:t>ajuste a las disposiciones legales aplicables.</w:t>
      </w:r>
    </w:p>
    <w:p w:rsidR="00F83A3E" w:rsidRDefault="00F83A3E" w:rsidP="0008294F">
      <w:pPr>
        <w:spacing w:after="0" w:line="240" w:lineRule="auto"/>
        <w:ind w:right="-2"/>
        <w:jc w:val="both"/>
        <w:rPr>
          <w:lang w:val="es-ES_tradnl"/>
        </w:rPr>
      </w:pPr>
    </w:p>
    <w:p w:rsidR="00A84B2B" w:rsidRDefault="00A84B2B" w:rsidP="0008294F">
      <w:pPr>
        <w:spacing w:after="0" w:line="240" w:lineRule="auto"/>
        <w:ind w:right="-2"/>
        <w:jc w:val="both"/>
        <w:rPr>
          <w:lang w:val="es-ES_tradnl"/>
        </w:rPr>
      </w:pPr>
      <w:r>
        <w:rPr>
          <w:lang w:val="es-ES_tradnl"/>
        </w:rPr>
        <w:t xml:space="preserve">En el presente caso ello implica, en los aspectos relevantes para la resolución de la presente discrepancia, que en el proceso de fiscalización de la adjudicación del contrato de obras debió comprobarse por el Interventor actuante la adecuación del proyecto de obras a la legalidad lo que incluye, en lo que a los efectos del presente informe interesa, </w:t>
      </w:r>
      <w:r w:rsidR="0090684C">
        <w:rPr>
          <w:lang w:val="es-ES_tradnl"/>
        </w:rPr>
        <w:t xml:space="preserve">la justificación de </w:t>
      </w:r>
      <w:r>
        <w:rPr>
          <w:lang w:val="es-ES_tradnl"/>
        </w:rPr>
        <w:t>las siguientes cuestiones</w:t>
      </w:r>
      <w:r w:rsidR="004230E7">
        <w:rPr>
          <w:lang w:val="es-ES_tradnl"/>
        </w:rPr>
        <w:t xml:space="preserve"> relacionadas con la fijación de los precios</w:t>
      </w:r>
      <w:r>
        <w:rPr>
          <w:lang w:val="es-ES_tradnl"/>
        </w:rPr>
        <w:t>:</w:t>
      </w:r>
    </w:p>
    <w:p w:rsidR="001E0E16" w:rsidRPr="000B75BB" w:rsidRDefault="001E0E16" w:rsidP="0008294F">
      <w:pPr>
        <w:spacing w:after="0" w:line="240" w:lineRule="auto"/>
        <w:ind w:right="-2"/>
        <w:jc w:val="both"/>
        <w:rPr>
          <w:lang w:val="es-ES_tradnl"/>
        </w:rPr>
      </w:pPr>
    </w:p>
    <w:p w:rsidR="00A84B2B" w:rsidRPr="004230E7" w:rsidRDefault="00A84B2B" w:rsidP="0008294F">
      <w:pPr>
        <w:pStyle w:val="Prrafodelista"/>
        <w:numPr>
          <w:ilvl w:val="0"/>
          <w:numId w:val="30"/>
        </w:numPr>
        <w:spacing w:after="0" w:line="240" w:lineRule="auto"/>
        <w:ind w:right="-2"/>
        <w:jc w:val="both"/>
        <w:rPr>
          <w:rFonts w:cs="Arial"/>
        </w:rPr>
      </w:pPr>
      <w:r w:rsidRPr="004230E7">
        <w:rPr>
          <w:rFonts w:cs="Arial"/>
        </w:rPr>
        <w:t>De conformidad con la Cláusula 36 del Pliego de Cláusulas Administrativas Particulares que rige el Acuerdo Marco</w:t>
      </w:r>
      <w:r w:rsidR="004230E7">
        <w:rPr>
          <w:rFonts w:cs="Arial"/>
        </w:rPr>
        <w:t>,</w:t>
      </w:r>
      <w:r w:rsidRPr="004230E7">
        <w:rPr>
          <w:rFonts w:cs="Arial"/>
        </w:rPr>
        <w:t xml:space="preserve"> que el contrato basado se tramita</w:t>
      </w:r>
      <w:r w:rsidR="004230E7">
        <w:rPr>
          <w:rFonts w:cs="Arial"/>
        </w:rPr>
        <w:t>ba</w:t>
      </w:r>
      <w:r w:rsidRPr="004230E7">
        <w:rPr>
          <w:rFonts w:cs="Arial"/>
        </w:rPr>
        <w:t xml:space="preserve"> con sujeción a las cláusulas del mismo</w:t>
      </w:r>
      <w:r w:rsidR="004230E7" w:rsidRPr="004230E7">
        <w:rPr>
          <w:rFonts w:cs="Arial"/>
        </w:rPr>
        <w:t>.</w:t>
      </w:r>
    </w:p>
    <w:p w:rsidR="004230E7" w:rsidRPr="004230E7" w:rsidRDefault="004230E7" w:rsidP="0008294F">
      <w:pPr>
        <w:spacing w:after="0" w:line="240" w:lineRule="auto"/>
        <w:ind w:right="-2"/>
        <w:jc w:val="both"/>
        <w:rPr>
          <w:rFonts w:cs="Arial"/>
        </w:rPr>
      </w:pPr>
    </w:p>
    <w:p w:rsidR="00A84B2B" w:rsidRPr="004230E7" w:rsidRDefault="004230E7" w:rsidP="0008294F">
      <w:pPr>
        <w:pStyle w:val="Prrafodelista"/>
        <w:numPr>
          <w:ilvl w:val="0"/>
          <w:numId w:val="30"/>
        </w:numPr>
        <w:spacing w:after="0" w:line="240" w:lineRule="auto"/>
        <w:ind w:right="-2"/>
        <w:jc w:val="both"/>
        <w:rPr>
          <w:rFonts w:ascii="Calibri" w:eastAsia="Times New Roman" w:hAnsi="Calibri" w:cs="Calibri"/>
          <w:lang w:eastAsia="es-ES"/>
        </w:rPr>
      </w:pPr>
      <w:r w:rsidRPr="004230E7">
        <w:rPr>
          <w:rFonts w:cs="Arial"/>
        </w:rPr>
        <w:t>Como consecuencia de lo anterior que, en aplicación de la c</w:t>
      </w:r>
      <w:r w:rsidR="00A84B2B" w:rsidRPr="004230E7">
        <w:rPr>
          <w:rFonts w:cs="Arial"/>
        </w:rPr>
        <w:t>láusu</w:t>
      </w:r>
      <w:r w:rsidRPr="004230E7">
        <w:rPr>
          <w:rFonts w:cs="Arial"/>
        </w:rPr>
        <w:t>la 4</w:t>
      </w:r>
      <w:r>
        <w:rPr>
          <w:rFonts w:cs="Arial"/>
        </w:rPr>
        <w:t>,</w:t>
      </w:r>
      <w:r w:rsidRPr="004230E7">
        <w:rPr>
          <w:rFonts w:cs="Arial"/>
        </w:rPr>
        <w:t xml:space="preserve"> l</w:t>
      </w:r>
      <w:r w:rsidR="00A84B2B" w:rsidRPr="004230E7">
        <w:rPr>
          <w:rFonts w:cs="Arial"/>
        </w:rPr>
        <w:t>os precios de cada una de las partidas que compon</w:t>
      </w:r>
      <w:r>
        <w:rPr>
          <w:rFonts w:cs="Arial"/>
        </w:rPr>
        <w:t>ían</w:t>
      </w:r>
      <w:r w:rsidR="00A84B2B" w:rsidRPr="004230E7">
        <w:rPr>
          <w:rFonts w:cs="Arial"/>
        </w:rPr>
        <w:t xml:space="preserve"> </w:t>
      </w:r>
      <w:r w:rsidRPr="004230E7">
        <w:rPr>
          <w:rFonts w:cs="Arial"/>
        </w:rPr>
        <w:t xml:space="preserve">el </w:t>
      </w:r>
      <w:r w:rsidR="00A84B2B" w:rsidRPr="004230E7">
        <w:rPr>
          <w:rFonts w:cs="Arial"/>
        </w:rPr>
        <w:t xml:space="preserve">presupuesto de las obras </w:t>
      </w:r>
      <w:r w:rsidRPr="004230E7">
        <w:rPr>
          <w:rFonts w:cs="Arial"/>
        </w:rPr>
        <w:t>proced</w:t>
      </w:r>
      <w:r>
        <w:rPr>
          <w:rFonts w:cs="Arial"/>
        </w:rPr>
        <w:t>ía</w:t>
      </w:r>
      <w:r w:rsidRPr="004230E7">
        <w:rPr>
          <w:rFonts w:cs="Arial"/>
        </w:rPr>
        <w:t>n de</w:t>
      </w:r>
      <w:r w:rsidR="00A84B2B" w:rsidRPr="004230E7">
        <w:rPr>
          <w:rFonts w:cs="Arial"/>
        </w:rPr>
        <w:t xml:space="preserve"> la base de datos “Precio de la Construcción Centro (Edificación, Urbanización, Rehabilitación y Mantenimiento)</w:t>
      </w:r>
      <w:r>
        <w:rPr>
          <w:rFonts w:cs="Arial"/>
        </w:rPr>
        <w:t>”, año 2016</w:t>
      </w:r>
      <w:r w:rsidR="00D71EEF">
        <w:rPr>
          <w:rFonts w:cs="Arial"/>
        </w:rPr>
        <w:t>.</w:t>
      </w:r>
    </w:p>
    <w:p w:rsidR="004230E7" w:rsidRPr="004230E7" w:rsidRDefault="004230E7" w:rsidP="0008294F">
      <w:pPr>
        <w:pStyle w:val="Prrafodelista"/>
        <w:spacing w:after="0" w:line="240" w:lineRule="auto"/>
        <w:rPr>
          <w:rFonts w:ascii="Calibri" w:eastAsia="Times New Roman" w:hAnsi="Calibri" w:cs="Calibri"/>
          <w:lang w:eastAsia="es-ES"/>
        </w:rPr>
      </w:pPr>
    </w:p>
    <w:p w:rsidR="00A84B2B" w:rsidRPr="0090684C" w:rsidRDefault="004230E7" w:rsidP="0008294F">
      <w:pPr>
        <w:pStyle w:val="Prrafodelista"/>
        <w:numPr>
          <w:ilvl w:val="0"/>
          <w:numId w:val="30"/>
        </w:numPr>
        <w:spacing w:after="0" w:line="240" w:lineRule="auto"/>
        <w:ind w:right="-2"/>
        <w:jc w:val="both"/>
        <w:rPr>
          <w:rFonts w:cs="Arial"/>
        </w:rPr>
      </w:pPr>
      <w:r w:rsidRPr="0090684C">
        <w:rPr>
          <w:rFonts w:cs="Arial"/>
        </w:rPr>
        <w:t xml:space="preserve">En caso de que se propusiese (como así ocurrió) </w:t>
      </w:r>
      <w:r w:rsidR="00A84B2B" w:rsidRPr="0090684C">
        <w:rPr>
          <w:rFonts w:cs="Arial"/>
        </w:rPr>
        <w:t xml:space="preserve">ejecutar alguna unidad de obra no comprendida en la Base de Precios del Contrato, </w:t>
      </w:r>
      <w:r w:rsidRPr="0090684C">
        <w:rPr>
          <w:rFonts w:cs="Arial"/>
        </w:rPr>
        <w:t xml:space="preserve">que </w:t>
      </w:r>
      <w:r w:rsidR="00A84B2B" w:rsidRPr="0090684C">
        <w:rPr>
          <w:rFonts w:cs="Arial"/>
        </w:rPr>
        <w:t xml:space="preserve">los precios </w:t>
      </w:r>
      <w:r w:rsidRPr="0090684C">
        <w:rPr>
          <w:rFonts w:cs="Arial"/>
        </w:rPr>
        <w:t xml:space="preserve">habían sido </w:t>
      </w:r>
      <w:r w:rsidR="00A84B2B" w:rsidRPr="0090684C">
        <w:rPr>
          <w:rFonts w:cs="Arial"/>
        </w:rPr>
        <w:t xml:space="preserve">elaborados de acuerdo con la base de precios de referencia </w:t>
      </w:r>
      <w:r w:rsidRPr="0090684C">
        <w:rPr>
          <w:rFonts w:cs="Arial"/>
        </w:rPr>
        <w:t>o que si no se pudo elaborar el precio contradictorio de la forma indicada se siguió el procedimiento específico diseñado en el Acuerdo Marco</w:t>
      </w:r>
      <w:r w:rsidR="0090684C" w:rsidRPr="0090684C">
        <w:rPr>
          <w:rFonts w:cs="Arial"/>
        </w:rPr>
        <w:t xml:space="preserve"> que determina como debe realizarse el cálculo del precio y rendimientos de la mano de obra, del precio de los materiales y de los medios auxiliares</w:t>
      </w:r>
      <w:r w:rsidR="00D71EEF" w:rsidRPr="0090684C">
        <w:rPr>
          <w:rFonts w:cs="Arial"/>
        </w:rPr>
        <w:t>.</w:t>
      </w:r>
    </w:p>
    <w:p w:rsidR="002416EF" w:rsidRDefault="002416EF" w:rsidP="0008294F">
      <w:pPr>
        <w:spacing w:after="0" w:line="240" w:lineRule="auto"/>
        <w:ind w:right="-2"/>
        <w:jc w:val="both"/>
        <w:rPr>
          <w:rFonts w:cs="Arial"/>
        </w:rPr>
      </w:pPr>
    </w:p>
    <w:p w:rsidR="00B9614C" w:rsidRDefault="002416EF" w:rsidP="0008294F">
      <w:pPr>
        <w:spacing w:after="0" w:line="240" w:lineRule="auto"/>
        <w:ind w:right="-2"/>
        <w:jc w:val="both"/>
        <w:rPr>
          <w:rFonts w:cs="Arial"/>
        </w:rPr>
      </w:pPr>
      <w:r>
        <w:rPr>
          <w:rFonts w:cs="Arial"/>
        </w:rPr>
        <w:t xml:space="preserve">Por lo que se refiere al reconocimiento de la obligación, el artículo 24 </w:t>
      </w:r>
      <w:r w:rsidR="00B9614C" w:rsidRPr="004E3EEE">
        <w:rPr>
          <w:rFonts w:cs="Arial"/>
        </w:rPr>
        <w:t xml:space="preserve">del Decreto 45/1997, de 20 de marzo de 1997, </w:t>
      </w:r>
      <w:r>
        <w:rPr>
          <w:rFonts w:cs="Arial"/>
        </w:rPr>
        <w:t>establece lo siguiente:</w:t>
      </w:r>
    </w:p>
    <w:p w:rsidR="001E0E16" w:rsidRPr="004E3EEE" w:rsidRDefault="001E0E16" w:rsidP="0008294F">
      <w:pPr>
        <w:spacing w:after="0" w:line="240" w:lineRule="auto"/>
        <w:ind w:right="-2"/>
        <w:jc w:val="both"/>
        <w:rPr>
          <w:rFonts w:cs="Arial"/>
        </w:rPr>
      </w:pPr>
    </w:p>
    <w:p w:rsidR="00B9614C" w:rsidRDefault="002416EF" w:rsidP="0008294F">
      <w:pPr>
        <w:spacing w:after="0" w:line="240" w:lineRule="auto"/>
        <w:ind w:left="708" w:right="-2"/>
        <w:jc w:val="both"/>
        <w:rPr>
          <w:rFonts w:cs="Arial"/>
          <w:i/>
          <w:sz w:val="20"/>
          <w:szCs w:val="20"/>
        </w:rPr>
      </w:pPr>
      <w:r w:rsidRPr="002416EF">
        <w:rPr>
          <w:rFonts w:cs="Arial"/>
          <w:i/>
          <w:sz w:val="20"/>
          <w:szCs w:val="20"/>
        </w:rPr>
        <w:t>“</w:t>
      </w:r>
      <w:r w:rsidR="00B9614C" w:rsidRPr="00706224">
        <w:rPr>
          <w:rFonts w:cs="Arial"/>
          <w:i/>
          <w:sz w:val="20"/>
          <w:szCs w:val="20"/>
        </w:rPr>
        <w:t>Al efectuar la intervención previa del reconocimiento de obligaciones o propuestas de pago se deberá comprobar:</w:t>
      </w:r>
    </w:p>
    <w:p w:rsidR="0008294F" w:rsidRPr="00706224" w:rsidRDefault="0008294F" w:rsidP="0008294F">
      <w:pPr>
        <w:spacing w:after="0" w:line="240" w:lineRule="auto"/>
        <w:ind w:left="708" w:right="-2"/>
        <w:jc w:val="both"/>
        <w:rPr>
          <w:rFonts w:cs="Arial"/>
          <w:i/>
          <w:sz w:val="20"/>
          <w:szCs w:val="20"/>
        </w:rPr>
      </w:pPr>
    </w:p>
    <w:p w:rsidR="00B9614C" w:rsidRPr="00706224" w:rsidRDefault="00B9614C" w:rsidP="0008294F">
      <w:pPr>
        <w:spacing w:after="0" w:line="240" w:lineRule="auto"/>
        <w:ind w:left="708" w:right="-2"/>
        <w:jc w:val="both"/>
        <w:rPr>
          <w:rFonts w:cs="Arial"/>
          <w:i/>
          <w:sz w:val="20"/>
          <w:szCs w:val="20"/>
        </w:rPr>
      </w:pPr>
      <w:r w:rsidRPr="00706224">
        <w:rPr>
          <w:rFonts w:cs="Arial"/>
          <w:i/>
          <w:sz w:val="20"/>
          <w:szCs w:val="20"/>
        </w:rPr>
        <w:t> a) Que las obligaciones responden a gastos autorizados y dispuestos y, en su caso, fiscalizados favorablemente, salvo que todas las fases del gasto puedan realizarse simultáneamente.</w:t>
      </w:r>
    </w:p>
    <w:p w:rsidR="00B9614C" w:rsidRDefault="00B9614C" w:rsidP="0008294F">
      <w:pPr>
        <w:spacing w:after="0" w:line="240" w:lineRule="auto"/>
        <w:ind w:left="708" w:right="-2"/>
        <w:jc w:val="both"/>
        <w:rPr>
          <w:rFonts w:cs="Arial"/>
          <w:i/>
          <w:sz w:val="20"/>
          <w:szCs w:val="20"/>
        </w:rPr>
      </w:pPr>
      <w:r w:rsidRPr="00706224">
        <w:rPr>
          <w:rFonts w:cs="Arial"/>
          <w:i/>
          <w:sz w:val="20"/>
          <w:szCs w:val="20"/>
        </w:rPr>
        <w:t>b) Que los documentos justificativos de la obligación se ajustan a las disposiciones legales y reglamentarias que resulten de aplicación. En todo caso, en la documentación deberá constar:</w:t>
      </w:r>
    </w:p>
    <w:p w:rsidR="0008294F" w:rsidRPr="00706224" w:rsidRDefault="0008294F" w:rsidP="0008294F">
      <w:pPr>
        <w:spacing w:after="0" w:line="240" w:lineRule="auto"/>
        <w:ind w:left="708" w:right="-2"/>
        <w:jc w:val="both"/>
        <w:rPr>
          <w:rFonts w:cs="Arial"/>
          <w:i/>
          <w:sz w:val="20"/>
          <w:szCs w:val="20"/>
        </w:rPr>
      </w:pPr>
    </w:p>
    <w:p w:rsidR="00B9614C" w:rsidRPr="00706224" w:rsidRDefault="00B9614C" w:rsidP="0008294F">
      <w:pPr>
        <w:spacing w:after="0" w:line="240" w:lineRule="auto"/>
        <w:ind w:left="1416" w:right="-2"/>
        <w:jc w:val="both"/>
        <w:rPr>
          <w:rFonts w:cs="Arial"/>
          <w:i/>
          <w:sz w:val="20"/>
          <w:szCs w:val="20"/>
        </w:rPr>
      </w:pPr>
      <w:r w:rsidRPr="00706224">
        <w:rPr>
          <w:rFonts w:cs="Arial"/>
          <w:i/>
          <w:sz w:val="20"/>
          <w:szCs w:val="20"/>
        </w:rPr>
        <w:t>1. Identificación del acreedor.</w:t>
      </w:r>
    </w:p>
    <w:p w:rsidR="00B9614C" w:rsidRPr="00706224" w:rsidRDefault="00B9614C" w:rsidP="0008294F">
      <w:pPr>
        <w:spacing w:after="0" w:line="240" w:lineRule="auto"/>
        <w:ind w:left="1416" w:right="-2"/>
        <w:jc w:val="both"/>
        <w:rPr>
          <w:rFonts w:cs="Arial"/>
          <w:i/>
          <w:sz w:val="20"/>
          <w:szCs w:val="20"/>
        </w:rPr>
      </w:pPr>
      <w:r w:rsidRPr="00706224">
        <w:rPr>
          <w:rFonts w:cs="Arial"/>
          <w:i/>
          <w:sz w:val="20"/>
          <w:szCs w:val="20"/>
        </w:rPr>
        <w:t>2. Importe exacto de la obligación.</w:t>
      </w:r>
    </w:p>
    <w:p w:rsidR="00B9614C" w:rsidRDefault="00B9614C" w:rsidP="0008294F">
      <w:pPr>
        <w:spacing w:after="0" w:line="240" w:lineRule="auto"/>
        <w:ind w:left="1416" w:right="-2"/>
        <w:jc w:val="both"/>
        <w:rPr>
          <w:rFonts w:cs="Arial"/>
          <w:i/>
          <w:sz w:val="20"/>
          <w:szCs w:val="20"/>
        </w:rPr>
      </w:pPr>
      <w:r w:rsidRPr="00706224">
        <w:rPr>
          <w:rFonts w:cs="Arial"/>
          <w:i/>
          <w:sz w:val="20"/>
          <w:szCs w:val="20"/>
        </w:rPr>
        <w:t>3. El cumplimiento de la prestación, servicio u otra causa de las que derive la obligación del pago.</w:t>
      </w:r>
    </w:p>
    <w:p w:rsidR="0008294F" w:rsidRPr="00706224" w:rsidRDefault="0008294F" w:rsidP="0008294F">
      <w:pPr>
        <w:spacing w:after="0" w:line="240" w:lineRule="auto"/>
        <w:ind w:left="1416" w:right="-2"/>
        <w:jc w:val="both"/>
        <w:rPr>
          <w:rFonts w:cs="Arial"/>
          <w:i/>
          <w:sz w:val="20"/>
          <w:szCs w:val="20"/>
        </w:rPr>
      </w:pPr>
    </w:p>
    <w:p w:rsidR="00B9614C" w:rsidRDefault="00B9614C" w:rsidP="0008294F">
      <w:pPr>
        <w:spacing w:after="0" w:line="240" w:lineRule="auto"/>
        <w:ind w:left="708" w:right="-2"/>
        <w:jc w:val="both"/>
        <w:rPr>
          <w:rFonts w:cs="Arial"/>
          <w:i/>
          <w:sz w:val="20"/>
          <w:szCs w:val="20"/>
        </w:rPr>
      </w:pPr>
      <w:r w:rsidRPr="00706224">
        <w:rPr>
          <w:rFonts w:cs="Arial"/>
          <w:i/>
          <w:sz w:val="20"/>
          <w:szCs w:val="20"/>
        </w:rPr>
        <w:t>c) Que se haya comprobado materialmente, cuando proceda, la efectiva y conforme realización de la obra, servicio, suministro, adquisición o subvención, y que ha sido intervenida de conformidad, en su caso, dicha comprobación.</w:t>
      </w:r>
      <w:r w:rsidR="002416EF" w:rsidRPr="002416EF">
        <w:rPr>
          <w:rFonts w:cs="Arial"/>
          <w:i/>
          <w:sz w:val="20"/>
          <w:szCs w:val="20"/>
        </w:rPr>
        <w:t>”</w:t>
      </w:r>
    </w:p>
    <w:p w:rsidR="001E0E16" w:rsidRPr="00706224" w:rsidRDefault="001E0E16" w:rsidP="0008294F">
      <w:pPr>
        <w:spacing w:after="0" w:line="240" w:lineRule="auto"/>
        <w:ind w:left="708" w:right="-2"/>
        <w:jc w:val="both"/>
        <w:rPr>
          <w:rFonts w:cs="Arial"/>
          <w:i/>
          <w:sz w:val="20"/>
          <w:szCs w:val="20"/>
        </w:rPr>
      </w:pPr>
    </w:p>
    <w:p w:rsidR="002416EF" w:rsidRDefault="002416EF" w:rsidP="0008294F">
      <w:pPr>
        <w:spacing w:after="0" w:line="240" w:lineRule="auto"/>
        <w:ind w:right="-2"/>
        <w:jc w:val="both"/>
        <w:rPr>
          <w:rFonts w:cs="Arial"/>
        </w:rPr>
      </w:pPr>
      <w:r>
        <w:rPr>
          <w:rFonts w:cs="Arial"/>
        </w:rPr>
        <w:t xml:space="preserve">En consecuencia, en esta fase del procedimiento, la función interventora se centra en la verificación del derecho del </w:t>
      </w:r>
      <w:r w:rsidRPr="004E3EEE">
        <w:rPr>
          <w:rFonts w:cs="Arial"/>
        </w:rPr>
        <w:t xml:space="preserve">tercero </w:t>
      </w:r>
      <w:r>
        <w:rPr>
          <w:rFonts w:cs="Arial"/>
        </w:rPr>
        <w:t xml:space="preserve">al cobro </w:t>
      </w:r>
      <w:r w:rsidRPr="004E3EEE">
        <w:rPr>
          <w:rFonts w:cs="Arial"/>
        </w:rPr>
        <w:t xml:space="preserve">como consecuencia del cumplimiento por </w:t>
      </w:r>
      <w:r>
        <w:rPr>
          <w:rFonts w:cs="Arial"/>
        </w:rPr>
        <w:t xml:space="preserve">su </w:t>
      </w:r>
      <w:r w:rsidRPr="004E3EEE">
        <w:rPr>
          <w:rFonts w:cs="Arial"/>
        </w:rPr>
        <w:t xml:space="preserve">parte </w:t>
      </w:r>
      <w:r>
        <w:rPr>
          <w:rFonts w:cs="Arial"/>
        </w:rPr>
        <w:t xml:space="preserve">de </w:t>
      </w:r>
      <w:r w:rsidRPr="004E3EEE">
        <w:rPr>
          <w:rFonts w:cs="Arial"/>
        </w:rPr>
        <w:t xml:space="preserve">la prestación a que se </w:t>
      </w:r>
      <w:r>
        <w:rPr>
          <w:rFonts w:cs="Arial"/>
        </w:rPr>
        <w:t>ha</w:t>
      </w:r>
      <w:r w:rsidRPr="004E3EEE">
        <w:rPr>
          <w:rFonts w:cs="Arial"/>
        </w:rPr>
        <w:t xml:space="preserve"> comprometido</w:t>
      </w:r>
      <w:r>
        <w:rPr>
          <w:rFonts w:cs="Arial"/>
        </w:rPr>
        <w:t>,</w:t>
      </w:r>
      <w:r w:rsidRPr="002416EF">
        <w:rPr>
          <w:rFonts w:cs="Arial"/>
        </w:rPr>
        <w:t xml:space="preserve"> </w:t>
      </w:r>
      <w:r w:rsidRPr="004E3EEE">
        <w:rPr>
          <w:rFonts w:cs="Arial"/>
        </w:rPr>
        <w:t>según el principio del “</w:t>
      </w:r>
      <w:r w:rsidRPr="00D71EEF">
        <w:rPr>
          <w:rFonts w:cs="Arial"/>
          <w:i/>
        </w:rPr>
        <w:t>servicio hecho</w:t>
      </w:r>
      <w:r>
        <w:rPr>
          <w:rFonts w:cs="Arial"/>
        </w:rPr>
        <w:t xml:space="preserve">”, </w:t>
      </w:r>
      <w:r w:rsidRPr="004E3EEE">
        <w:rPr>
          <w:rFonts w:cs="Arial"/>
        </w:rPr>
        <w:t xml:space="preserve">de conformidad con </w:t>
      </w:r>
      <w:r>
        <w:rPr>
          <w:rFonts w:cs="Arial"/>
        </w:rPr>
        <w:t xml:space="preserve">las condiciones establecidas en la fase de </w:t>
      </w:r>
      <w:r w:rsidRPr="004E3EEE">
        <w:rPr>
          <w:rFonts w:cs="Arial"/>
        </w:rPr>
        <w:t>comprom</w:t>
      </w:r>
      <w:r>
        <w:rPr>
          <w:rFonts w:cs="Arial"/>
        </w:rPr>
        <w:t>iso</w:t>
      </w:r>
      <w:r w:rsidRPr="004E3EEE">
        <w:rPr>
          <w:rFonts w:cs="Arial"/>
        </w:rPr>
        <w:t xml:space="preserve"> </w:t>
      </w:r>
      <w:r>
        <w:rPr>
          <w:rFonts w:cs="Arial"/>
        </w:rPr>
        <w:t>d</w:t>
      </w:r>
      <w:r w:rsidRPr="004E3EEE">
        <w:rPr>
          <w:rFonts w:cs="Arial"/>
        </w:rPr>
        <w:t>el gasto</w:t>
      </w:r>
      <w:r w:rsidR="00C41D5E">
        <w:rPr>
          <w:rFonts w:cs="Arial"/>
        </w:rPr>
        <w:t>, condiciones que al haber sido objeto de fiscalización previa, deben presumirse ajustadas a la legalidad.</w:t>
      </w:r>
      <w:r w:rsidRPr="004E3EEE">
        <w:rPr>
          <w:rFonts w:cs="Arial"/>
        </w:rPr>
        <w:t xml:space="preserve"> </w:t>
      </w:r>
    </w:p>
    <w:p w:rsidR="001E0E16" w:rsidRDefault="001E0E16" w:rsidP="0008294F">
      <w:pPr>
        <w:spacing w:after="0" w:line="240" w:lineRule="auto"/>
        <w:ind w:right="-2"/>
        <w:jc w:val="both"/>
        <w:rPr>
          <w:rFonts w:cs="Arial"/>
        </w:rPr>
      </w:pPr>
    </w:p>
    <w:p w:rsidR="002416EF" w:rsidRDefault="00C41D5E" w:rsidP="0008294F">
      <w:pPr>
        <w:spacing w:after="0" w:line="240" w:lineRule="auto"/>
        <w:ind w:right="-2"/>
        <w:jc w:val="both"/>
        <w:rPr>
          <w:rFonts w:cs="Arial"/>
        </w:rPr>
      </w:pPr>
      <w:r>
        <w:rPr>
          <w:rFonts w:cs="Arial"/>
        </w:rPr>
        <w:t xml:space="preserve">En el caso concreto que nos ocupa y en lo que afecta </w:t>
      </w:r>
      <w:r w:rsidR="005C709C">
        <w:rPr>
          <w:rFonts w:cs="Arial"/>
        </w:rPr>
        <w:t>a las cuestiones debatidas en la</w:t>
      </w:r>
      <w:r>
        <w:rPr>
          <w:rFonts w:cs="Arial"/>
        </w:rPr>
        <w:t xml:space="preserve"> discrepancia, ello implica </w:t>
      </w:r>
      <w:r w:rsidR="00BE037D">
        <w:rPr>
          <w:rFonts w:cs="Arial"/>
        </w:rPr>
        <w:t xml:space="preserve">verificar </w:t>
      </w:r>
      <w:r>
        <w:rPr>
          <w:rFonts w:cs="Arial"/>
        </w:rPr>
        <w:t>la acreditación de la obra ejecutada por el contratista</w:t>
      </w:r>
      <w:r w:rsidR="00D71EEF">
        <w:rPr>
          <w:rFonts w:cs="Arial"/>
        </w:rPr>
        <w:t>, la conformidad de la Administración con la misma</w:t>
      </w:r>
      <w:r>
        <w:rPr>
          <w:rFonts w:cs="Arial"/>
        </w:rPr>
        <w:t xml:space="preserve"> y su sujeción y adecuación al proyecto de obras incorporado al contrato. </w:t>
      </w:r>
    </w:p>
    <w:p w:rsidR="00C41D5E" w:rsidRDefault="00C41D5E" w:rsidP="0008294F">
      <w:pPr>
        <w:spacing w:after="0" w:line="240" w:lineRule="auto"/>
        <w:ind w:right="-2"/>
        <w:jc w:val="both"/>
        <w:rPr>
          <w:rFonts w:cs="Arial"/>
        </w:rPr>
      </w:pPr>
    </w:p>
    <w:p w:rsidR="00C41D5E" w:rsidRDefault="00C41D5E" w:rsidP="0008294F">
      <w:pPr>
        <w:spacing w:after="0" w:line="240" w:lineRule="auto"/>
        <w:ind w:right="-2"/>
        <w:jc w:val="both"/>
        <w:rPr>
          <w:rFonts w:cs="Arial"/>
        </w:rPr>
      </w:pPr>
      <w:r>
        <w:rPr>
          <w:rFonts w:cs="Arial"/>
        </w:rPr>
        <w:t xml:space="preserve">Por ello, en cumplimiento de la normativa señalada, por razones de seguridad jurídica y en aplicación del principio de confianza legítima, se considera que no resulta posible en la fase de reconocimiento de la obligación revisar las condiciones en que fue adjudicado el contrato, específicamente la correcta o incorrecta conformación del proyecto de obras y de los precios contradictorios, dado que el presupuesto y mediciones del mismo son </w:t>
      </w:r>
      <w:r w:rsidRPr="001E0E16">
        <w:rPr>
          <w:rFonts w:cs="Arial"/>
        </w:rPr>
        <w:t>elementos fundamentales del compromiso de gasto adquirido con el contratista.</w:t>
      </w:r>
    </w:p>
    <w:p w:rsidR="00D71EEF" w:rsidRPr="001E0E16" w:rsidRDefault="00D71EEF" w:rsidP="0008294F">
      <w:pPr>
        <w:spacing w:after="0" w:line="240" w:lineRule="auto"/>
        <w:ind w:right="-2"/>
        <w:jc w:val="both"/>
        <w:rPr>
          <w:rFonts w:cs="Arial"/>
        </w:rPr>
      </w:pPr>
    </w:p>
    <w:p w:rsidR="00C41D5E" w:rsidRDefault="00C41D5E" w:rsidP="0008294F">
      <w:pPr>
        <w:spacing w:after="0" w:line="240" w:lineRule="auto"/>
        <w:ind w:right="-2"/>
        <w:jc w:val="both"/>
        <w:rPr>
          <w:rFonts w:cs="Arial"/>
        </w:rPr>
      </w:pPr>
      <w:r w:rsidRPr="001E0E16">
        <w:rPr>
          <w:rFonts w:cs="Arial"/>
        </w:rPr>
        <w:t xml:space="preserve">En cualquier caso, debe indicarse que, en determinados supuestos podría resultar </w:t>
      </w:r>
      <w:r w:rsidR="00BE53D9" w:rsidRPr="001E0E16">
        <w:rPr>
          <w:rFonts w:cs="Arial"/>
        </w:rPr>
        <w:t xml:space="preserve">necesario </w:t>
      </w:r>
      <w:r w:rsidRPr="001E0E16">
        <w:rPr>
          <w:rFonts w:cs="Arial"/>
        </w:rPr>
        <w:t>matizar las afirmaciones anteriores, pudiendo ampliar</w:t>
      </w:r>
      <w:r w:rsidR="00BE53D9" w:rsidRPr="001E0E16">
        <w:rPr>
          <w:rFonts w:cs="Arial"/>
        </w:rPr>
        <w:t>se</w:t>
      </w:r>
      <w:r w:rsidRPr="001E0E16">
        <w:rPr>
          <w:rFonts w:cs="Arial"/>
        </w:rPr>
        <w:t xml:space="preserve"> el ámbito de la fiscalización en atención a la existencia de perjuicios para la Hacienda Pública</w:t>
      </w:r>
      <w:r w:rsidR="001E0E16">
        <w:rPr>
          <w:rFonts w:cs="Arial"/>
        </w:rPr>
        <w:t>.</w:t>
      </w:r>
    </w:p>
    <w:p w:rsidR="004F367B" w:rsidRDefault="004F367B" w:rsidP="0008294F">
      <w:pPr>
        <w:spacing w:after="0" w:line="240" w:lineRule="auto"/>
        <w:ind w:right="-2"/>
        <w:jc w:val="both"/>
        <w:rPr>
          <w:rFonts w:cs="Arial"/>
        </w:rPr>
      </w:pPr>
    </w:p>
    <w:p w:rsidR="00C114DD" w:rsidRPr="00531B62" w:rsidRDefault="00C114DD" w:rsidP="0008294F">
      <w:pPr>
        <w:tabs>
          <w:tab w:val="left" w:pos="-1099"/>
          <w:tab w:val="left" w:pos="-720"/>
          <w:tab w:val="left" w:pos="0"/>
          <w:tab w:val="left" w:pos="720"/>
          <w:tab w:val="left" w:pos="1440"/>
          <w:tab w:val="left" w:pos="2160"/>
          <w:tab w:val="left" w:pos="2880"/>
          <w:tab w:val="left" w:pos="3600"/>
          <w:tab w:val="left" w:pos="4320"/>
          <w:tab w:val="left" w:pos="5040"/>
          <w:tab w:val="left" w:pos="5760"/>
          <w:tab w:val="decimal" w:pos="6780"/>
        </w:tabs>
        <w:spacing w:after="0" w:line="240" w:lineRule="auto"/>
        <w:ind w:right="-2"/>
        <w:jc w:val="both"/>
        <w:rPr>
          <w:rFonts w:cs="Arial"/>
          <w:lang w:val="es-ES_tradnl"/>
        </w:rPr>
      </w:pPr>
      <w:r w:rsidRPr="00531B62">
        <w:rPr>
          <w:rFonts w:cs="Arial"/>
          <w:lang w:val="es-ES_tradnl"/>
        </w:rPr>
        <w:t xml:space="preserve">De conformidad con las consideraciones efectuadas, esta Intervención General, </w:t>
      </w:r>
    </w:p>
    <w:p w:rsidR="00C114DD" w:rsidRDefault="00C114DD" w:rsidP="0008294F">
      <w:pPr>
        <w:spacing w:after="0" w:line="240" w:lineRule="auto"/>
        <w:ind w:right="-2"/>
        <w:jc w:val="center"/>
        <w:rPr>
          <w:rFonts w:cs="Arial"/>
          <w:b/>
        </w:rPr>
      </w:pPr>
    </w:p>
    <w:p w:rsidR="00C114DD" w:rsidRDefault="00C114DD" w:rsidP="0008294F">
      <w:pPr>
        <w:spacing w:after="0" w:line="240" w:lineRule="auto"/>
        <w:ind w:right="-2"/>
        <w:jc w:val="center"/>
        <w:rPr>
          <w:rFonts w:cs="Arial"/>
          <w:b/>
        </w:rPr>
      </w:pPr>
      <w:r w:rsidRPr="00CD4538">
        <w:rPr>
          <w:rFonts w:cs="Arial"/>
          <w:b/>
        </w:rPr>
        <w:t>RESUELVE</w:t>
      </w:r>
    </w:p>
    <w:p w:rsidR="00F83A3E" w:rsidRDefault="00F83A3E" w:rsidP="0008294F">
      <w:pPr>
        <w:spacing w:after="0" w:line="240" w:lineRule="auto"/>
        <w:ind w:right="-2"/>
        <w:jc w:val="center"/>
        <w:rPr>
          <w:rFonts w:cs="Arial"/>
          <w:b/>
        </w:rPr>
      </w:pPr>
    </w:p>
    <w:p w:rsidR="00F83A3E" w:rsidRPr="00EA7E51" w:rsidRDefault="00F83A3E" w:rsidP="0008294F">
      <w:pPr>
        <w:pStyle w:val="Default"/>
        <w:jc w:val="both"/>
        <w:rPr>
          <w:rFonts w:ascii="Arial" w:cs="Arial"/>
          <w:color w:val="auto"/>
          <w:sz w:val="22"/>
          <w:szCs w:val="22"/>
        </w:rPr>
      </w:pPr>
      <w:r w:rsidRPr="00EA7E51">
        <w:rPr>
          <w:rFonts w:ascii="Arial" w:eastAsia="Arial" w:cs="Arial"/>
          <w:color w:val="auto"/>
          <w:sz w:val="22"/>
          <w:szCs w:val="22"/>
        </w:rPr>
        <w:t xml:space="preserve">Rectificar, con los efectos que establece el artículo 88.1.a) de la Ley 9/1990, de 8 de noviembre, reguladora de la Hacienda de la Comunidad de Madrid, los reparos formulados por la Intervención </w:t>
      </w:r>
      <w:r w:rsidR="001E0E16">
        <w:rPr>
          <w:rFonts w:ascii="Arial" w:eastAsia="Arial" w:cs="Arial"/>
          <w:color w:val="auto"/>
          <w:sz w:val="22"/>
          <w:szCs w:val="22"/>
        </w:rPr>
        <w:t xml:space="preserve">Delegada en la Agencia Madrileña de Atención Social </w:t>
      </w:r>
      <w:r w:rsidRPr="00EA7E51">
        <w:rPr>
          <w:rFonts w:ascii="Arial" w:eastAsia="Arial" w:cs="Arial"/>
          <w:color w:val="auto"/>
          <w:sz w:val="22"/>
          <w:szCs w:val="22"/>
        </w:rPr>
        <w:t xml:space="preserve">en </w:t>
      </w:r>
      <w:r w:rsidR="001E0E16">
        <w:rPr>
          <w:rFonts w:ascii="Arial" w:eastAsia="Arial" w:cs="Arial"/>
          <w:color w:val="auto"/>
          <w:sz w:val="22"/>
          <w:szCs w:val="22"/>
        </w:rPr>
        <w:t>e</w:t>
      </w:r>
      <w:r w:rsidRPr="00EA7E51">
        <w:rPr>
          <w:rFonts w:ascii="Arial" w:eastAsia="Arial" w:cs="Arial"/>
          <w:color w:val="auto"/>
          <w:sz w:val="22"/>
          <w:szCs w:val="22"/>
        </w:rPr>
        <w:t>l</w:t>
      </w:r>
      <w:r w:rsidR="001E0E16">
        <w:rPr>
          <w:rFonts w:ascii="Arial" w:eastAsia="Arial" w:cs="Arial"/>
          <w:color w:val="auto"/>
          <w:sz w:val="22"/>
          <w:szCs w:val="22"/>
        </w:rPr>
        <w:t xml:space="preserve"> expediente</w:t>
      </w:r>
      <w:r w:rsidRPr="00EA7E51">
        <w:rPr>
          <w:rFonts w:ascii="Arial" w:eastAsia="Arial" w:cs="Arial"/>
          <w:color w:val="auto"/>
          <w:sz w:val="22"/>
          <w:szCs w:val="22"/>
        </w:rPr>
        <w:t xml:space="preserve"> objeto de discrepancia</w:t>
      </w:r>
      <w:r w:rsidRPr="00EA7E51">
        <w:rPr>
          <w:rFonts w:ascii="Arial" w:cs="Arial"/>
          <w:color w:val="auto"/>
          <w:sz w:val="22"/>
          <w:szCs w:val="22"/>
        </w:rPr>
        <w:t>.</w:t>
      </w:r>
    </w:p>
    <w:p w:rsidR="00F83A3E" w:rsidRPr="00CD4538" w:rsidRDefault="00F83A3E" w:rsidP="0008294F">
      <w:pPr>
        <w:spacing w:after="0" w:line="240" w:lineRule="auto"/>
        <w:ind w:right="-2"/>
        <w:jc w:val="center"/>
        <w:rPr>
          <w:rFonts w:cs="Arial"/>
          <w:b/>
        </w:rPr>
      </w:pPr>
      <w:bookmarkStart w:id="0" w:name="_GoBack"/>
      <w:bookmarkEnd w:id="0"/>
    </w:p>
    <w:sectPr w:rsidR="00F83A3E" w:rsidRPr="00CD4538" w:rsidSect="003C1D5E">
      <w:headerReference w:type="default" r:id="rId11"/>
      <w:footerReference w:type="default" r:id="rId12"/>
      <w:pgSz w:w="11906" w:h="16838"/>
      <w:pgMar w:top="1985" w:right="1701" w:bottom="198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5ECB" w:rsidRDefault="006D5ECB" w:rsidP="00A8485C">
      <w:pPr>
        <w:spacing w:after="0" w:line="240" w:lineRule="auto"/>
      </w:pPr>
      <w:r>
        <w:separator/>
      </w:r>
    </w:p>
  </w:endnote>
  <w:endnote w:type="continuationSeparator" w:id="0">
    <w:p w:rsidR="006D5ECB" w:rsidRDefault="006D5ECB" w:rsidP="00A848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EUAlbertina">
    <w:altName w:val="EU Albertin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94016"/>
      <w:docPartObj>
        <w:docPartGallery w:val="Page Numbers (Bottom of Page)"/>
        <w:docPartUnique/>
      </w:docPartObj>
    </w:sdtPr>
    <w:sdtEndPr/>
    <w:sdtContent>
      <w:p w:rsidR="00603F83" w:rsidRDefault="00603F83">
        <w:pPr>
          <w:pStyle w:val="Piedepgina"/>
          <w:jc w:val="right"/>
        </w:pPr>
        <w:r>
          <w:fldChar w:fldCharType="begin"/>
        </w:r>
        <w:r>
          <w:instrText xml:space="preserve"> PAGE   \* MERGEFORMAT </w:instrText>
        </w:r>
        <w:r>
          <w:fldChar w:fldCharType="separate"/>
        </w:r>
        <w:r w:rsidR="00E56FEE">
          <w:rPr>
            <w:noProof/>
          </w:rPr>
          <w:t>8</w:t>
        </w:r>
        <w:r>
          <w:rPr>
            <w:noProof/>
          </w:rPr>
          <w:fldChar w:fldCharType="end"/>
        </w:r>
      </w:p>
    </w:sdtContent>
  </w:sdt>
  <w:p w:rsidR="00603F83" w:rsidRDefault="00603F8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5ECB" w:rsidRDefault="006D5ECB" w:rsidP="00A8485C">
      <w:pPr>
        <w:spacing w:after="0" w:line="240" w:lineRule="auto"/>
      </w:pPr>
      <w:r>
        <w:separator/>
      </w:r>
    </w:p>
  </w:footnote>
  <w:footnote w:type="continuationSeparator" w:id="0">
    <w:p w:rsidR="006D5ECB" w:rsidRDefault="006D5ECB" w:rsidP="00A848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F83" w:rsidRDefault="00603F83" w:rsidP="00A8485C">
    <w:pPr>
      <w:pStyle w:val="Encabezado"/>
      <w:ind w:left="-56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646A3"/>
    <w:multiLevelType w:val="hybridMultilevel"/>
    <w:tmpl w:val="DF5088B4"/>
    <w:lvl w:ilvl="0" w:tplc="040A0017">
      <w:start w:val="1"/>
      <w:numFmt w:val="low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1" w15:restartNumberingAfterBreak="0">
    <w:nsid w:val="073B19F7"/>
    <w:multiLevelType w:val="hybridMultilevel"/>
    <w:tmpl w:val="668688B2"/>
    <w:lvl w:ilvl="0" w:tplc="07360C18">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09744595"/>
    <w:multiLevelType w:val="multilevel"/>
    <w:tmpl w:val="3A38C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AC0D9B"/>
    <w:multiLevelType w:val="hybridMultilevel"/>
    <w:tmpl w:val="855C8F52"/>
    <w:lvl w:ilvl="0" w:tplc="CE7E69D4">
      <w:start w:val="1"/>
      <w:numFmt w:val="low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0CC33E0C"/>
    <w:multiLevelType w:val="hybridMultilevel"/>
    <w:tmpl w:val="374CC87C"/>
    <w:lvl w:ilvl="0" w:tplc="C05E4B04">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D745BF1"/>
    <w:multiLevelType w:val="hybridMultilevel"/>
    <w:tmpl w:val="2DA6B598"/>
    <w:lvl w:ilvl="0" w:tplc="3D9CF538">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15:restartNumberingAfterBreak="0">
    <w:nsid w:val="11076562"/>
    <w:multiLevelType w:val="hybridMultilevel"/>
    <w:tmpl w:val="3B6038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3B36F7D"/>
    <w:multiLevelType w:val="hybridMultilevel"/>
    <w:tmpl w:val="DF207824"/>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15:restartNumberingAfterBreak="0">
    <w:nsid w:val="1B6F3475"/>
    <w:multiLevelType w:val="hybridMultilevel"/>
    <w:tmpl w:val="80908946"/>
    <w:lvl w:ilvl="0" w:tplc="040A000F">
      <w:start w:val="1"/>
      <w:numFmt w:val="decimal"/>
      <w:lvlText w:val="%1."/>
      <w:lvlJc w:val="left"/>
      <w:pPr>
        <w:ind w:left="720" w:hanging="360"/>
      </w:pPr>
      <w:rPr>
        <w:rFonts w:hint="default"/>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15:restartNumberingAfterBreak="0">
    <w:nsid w:val="1D3A01EC"/>
    <w:multiLevelType w:val="hybridMultilevel"/>
    <w:tmpl w:val="707A8B20"/>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21B97962"/>
    <w:multiLevelType w:val="hybridMultilevel"/>
    <w:tmpl w:val="D86C54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5AA25C9"/>
    <w:multiLevelType w:val="hybridMultilevel"/>
    <w:tmpl w:val="9DC06E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6D4579D"/>
    <w:multiLevelType w:val="multilevel"/>
    <w:tmpl w:val="F628E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4EE508A"/>
    <w:multiLevelType w:val="multilevel"/>
    <w:tmpl w:val="E3C0F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59F4BE9"/>
    <w:multiLevelType w:val="hybridMultilevel"/>
    <w:tmpl w:val="F4D8AA96"/>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15:restartNumberingAfterBreak="0">
    <w:nsid w:val="369C43CE"/>
    <w:multiLevelType w:val="hybridMultilevel"/>
    <w:tmpl w:val="D24C39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999523B"/>
    <w:multiLevelType w:val="hybridMultilevel"/>
    <w:tmpl w:val="6EC84FA8"/>
    <w:lvl w:ilvl="0" w:tplc="0C0A000D">
      <w:start w:val="1"/>
      <w:numFmt w:val="bullet"/>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7" w15:restartNumberingAfterBreak="0">
    <w:nsid w:val="3AD71B37"/>
    <w:multiLevelType w:val="multilevel"/>
    <w:tmpl w:val="A3F6B7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54B0594"/>
    <w:multiLevelType w:val="multilevel"/>
    <w:tmpl w:val="423A2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7A24D49"/>
    <w:multiLevelType w:val="hybridMultilevel"/>
    <w:tmpl w:val="6F7C82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90C0465"/>
    <w:multiLevelType w:val="hybridMultilevel"/>
    <w:tmpl w:val="BB8A0CA4"/>
    <w:lvl w:ilvl="0" w:tplc="44668DEC">
      <w:start w:val="1"/>
      <w:numFmt w:val="lowerLetter"/>
      <w:lvlText w:val="%1)"/>
      <w:lvlJc w:val="right"/>
      <w:pPr>
        <w:ind w:left="720" w:hanging="360"/>
      </w:pPr>
      <w:rPr>
        <w:rFonts w:ascii="Arial" w:eastAsia="Arial" w:hAnsi="Arial" w:cs="Arial"/>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1" w15:restartNumberingAfterBreak="0">
    <w:nsid w:val="495F1181"/>
    <w:multiLevelType w:val="hybridMultilevel"/>
    <w:tmpl w:val="FD94C762"/>
    <w:lvl w:ilvl="0" w:tplc="0C0A0019">
      <w:start w:val="1"/>
      <w:numFmt w:val="lowerLetter"/>
      <w:lvlText w:val="%1."/>
      <w:lvlJc w:val="left"/>
      <w:pPr>
        <w:ind w:left="720" w:hanging="360"/>
      </w:pPr>
      <w:rPr>
        <w:rFonts w:hint="default"/>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B635FB0"/>
    <w:multiLevelType w:val="hybridMultilevel"/>
    <w:tmpl w:val="4C02599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50CB420F"/>
    <w:multiLevelType w:val="multilevel"/>
    <w:tmpl w:val="F8265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3CB4860"/>
    <w:multiLevelType w:val="hybridMultilevel"/>
    <w:tmpl w:val="CCBAA7DE"/>
    <w:lvl w:ilvl="0" w:tplc="61C8B7C6">
      <w:start w:val="2"/>
      <w:numFmt w:val="bullet"/>
      <w:lvlText w:val="-"/>
      <w:lvlJc w:val="left"/>
      <w:pPr>
        <w:ind w:left="1080" w:hanging="360"/>
      </w:pPr>
      <w:rPr>
        <w:rFonts w:ascii="Arial" w:eastAsia="Arial"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5" w15:restartNumberingAfterBreak="0">
    <w:nsid w:val="57B63C60"/>
    <w:multiLevelType w:val="hybridMultilevel"/>
    <w:tmpl w:val="E3B6838A"/>
    <w:lvl w:ilvl="0" w:tplc="0C0A000D">
      <w:start w:val="1"/>
      <w:numFmt w:val="bullet"/>
      <w:lvlText w:val=""/>
      <w:lvlJc w:val="left"/>
      <w:pPr>
        <w:ind w:left="1490" w:hanging="360"/>
      </w:pPr>
      <w:rPr>
        <w:rFonts w:ascii="Wingdings" w:hAnsi="Wingdings" w:hint="default"/>
      </w:rPr>
    </w:lvl>
    <w:lvl w:ilvl="1" w:tplc="0C0A0003" w:tentative="1">
      <w:start w:val="1"/>
      <w:numFmt w:val="bullet"/>
      <w:lvlText w:val="o"/>
      <w:lvlJc w:val="left"/>
      <w:pPr>
        <w:ind w:left="2210" w:hanging="360"/>
      </w:pPr>
      <w:rPr>
        <w:rFonts w:ascii="Courier New" w:hAnsi="Courier New" w:cs="Courier New" w:hint="default"/>
      </w:rPr>
    </w:lvl>
    <w:lvl w:ilvl="2" w:tplc="0C0A0005" w:tentative="1">
      <w:start w:val="1"/>
      <w:numFmt w:val="bullet"/>
      <w:lvlText w:val=""/>
      <w:lvlJc w:val="left"/>
      <w:pPr>
        <w:ind w:left="2930" w:hanging="360"/>
      </w:pPr>
      <w:rPr>
        <w:rFonts w:ascii="Wingdings" w:hAnsi="Wingdings" w:hint="default"/>
      </w:rPr>
    </w:lvl>
    <w:lvl w:ilvl="3" w:tplc="0C0A0001" w:tentative="1">
      <w:start w:val="1"/>
      <w:numFmt w:val="bullet"/>
      <w:lvlText w:val=""/>
      <w:lvlJc w:val="left"/>
      <w:pPr>
        <w:ind w:left="3650" w:hanging="360"/>
      </w:pPr>
      <w:rPr>
        <w:rFonts w:ascii="Symbol" w:hAnsi="Symbol" w:hint="default"/>
      </w:rPr>
    </w:lvl>
    <w:lvl w:ilvl="4" w:tplc="0C0A0003" w:tentative="1">
      <w:start w:val="1"/>
      <w:numFmt w:val="bullet"/>
      <w:lvlText w:val="o"/>
      <w:lvlJc w:val="left"/>
      <w:pPr>
        <w:ind w:left="4370" w:hanging="360"/>
      </w:pPr>
      <w:rPr>
        <w:rFonts w:ascii="Courier New" w:hAnsi="Courier New" w:cs="Courier New" w:hint="default"/>
      </w:rPr>
    </w:lvl>
    <w:lvl w:ilvl="5" w:tplc="0C0A0005" w:tentative="1">
      <w:start w:val="1"/>
      <w:numFmt w:val="bullet"/>
      <w:lvlText w:val=""/>
      <w:lvlJc w:val="left"/>
      <w:pPr>
        <w:ind w:left="5090" w:hanging="360"/>
      </w:pPr>
      <w:rPr>
        <w:rFonts w:ascii="Wingdings" w:hAnsi="Wingdings" w:hint="default"/>
      </w:rPr>
    </w:lvl>
    <w:lvl w:ilvl="6" w:tplc="0C0A0001" w:tentative="1">
      <w:start w:val="1"/>
      <w:numFmt w:val="bullet"/>
      <w:lvlText w:val=""/>
      <w:lvlJc w:val="left"/>
      <w:pPr>
        <w:ind w:left="5810" w:hanging="360"/>
      </w:pPr>
      <w:rPr>
        <w:rFonts w:ascii="Symbol" w:hAnsi="Symbol" w:hint="default"/>
      </w:rPr>
    </w:lvl>
    <w:lvl w:ilvl="7" w:tplc="0C0A0003" w:tentative="1">
      <w:start w:val="1"/>
      <w:numFmt w:val="bullet"/>
      <w:lvlText w:val="o"/>
      <w:lvlJc w:val="left"/>
      <w:pPr>
        <w:ind w:left="6530" w:hanging="360"/>
      </w:pPr>
      <w:rPr>
        <w:rFonts w:ascii="Courier New" w:hAnsi="Courier New" w:cs="Courier New" w:hint="default"/>
      </w:rPr>
    </w:lvl>
    <w:lvl w:ilvl="8" w:tplc="0C0A0005" w:tentative="1">
      <w:start w:val="1"/>
      <w:numFmt w:val="bullet"/>
      <w:lvlText w:val=""/>
      <w:lvlJc w:val="left"/>
      <w:pPr>
        <w:ind w:left="7250" w:hanging="360"/>
      </w:pPr>
      <w:rPr>
        <w:rFonts w:ascii="Wingdings" w:hAnsi="Wingdings" w:hint="default"/>
      </w:rPr>
    </w:lvl>
  </w:abstractNum>
  <w:abstractNum w:abstractNumId="26" w15:restartNumberingAfterBreak="0">
    <w:nsid w:val="5A024905"/>
    <w:multiLevelType w:val="hybridMultilevel"/>
    <w:tmpl w:val="57D2688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60126F18"/>
    <w:multiLevelType w:val="hybridMultilevel"/>
    <w:tmpl w:val="D47062F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619F5372"/>
    <w:multiLevelType w:val="hybridMultilevel"/>
    <w:tmpl w:val="FEAA61B0"/>
    <w:lvl w:ilvl="0" w:tplc="D458B0FA">
      <w:numFmt w:val="decimal"/>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29" w15:restartNumberingAfterBreak="0">
    <w:nsid w:val="694F442F"/>
    <w:multiLevelType w:val="hybridMultilevel"/>
    <w:tmpl w:val="13667CDA"/>
    <w:lvl w:ilvl="0" w:tplc="0C0A001B">
      <w:start w:val="1"/>
      <w:numFmt w:val="lowerRoman"/>
      <w:lvlText w:val="%1."/>
      <w:lvlJc w:val="right"/>
      <w:pPr>
        <w:ind w:left="1800" w:hanging="360"/>
      </w:pPr>
    </w:lvl>
    <w:lvl w:ilvl="1" w:tplc="040A0019" w:tentative="1">
      <w:start w:val="1"/>
      <w:numFmt w:val="lowerLetter"/>
      <w:lvlText w:val="%2."/>
      <w:lvlJc w:val="left"/>
      <w:pPr>
        <w:ind w:left="2520" w:hanging="360"/>
      </w:pPr>
    </w:lvl>
    <w:lvl w:ilvl="2" w:tplc="040A001B" w:tentative="1">
      <w:start w:val="1"/>
      <w:numFmt w:val="lowerRoman"/>
      <w:lvlText w:val="%3."/>
      <w:lvlJc w:val="right"/>
      <w:pPr>
        <w:ind w:left="3240" w:hanging="180"/>
      </w:pPr>
    </w:lvl>
    <w:lvl w:ilvl="3" w:tplc="040A000F" w:tentative="1">
      <w:start w:val="1"/>
      <w:numFmt w:val="decimal"/>
      <w:lvlText w:val="%4."/>
      <w:lvlJc w:val="left"/>
      <w:pPr>
        <w:ind w:left="3960" w:hanging="360"/>
      </w:pPr>
    </w:lvl>
    <w:lvl w:ilvl="4" w:tplc="040A0019" w:tentative="1">
      <w:start w:val="1"/>
      <w:numFmt w:val="lowerLetter"/>
      <w:lvlText w:val="%5."/>
      <w:lvlJc w:val="left"/>
      <w:pPr>
        <w:ind w:left="4680" w:hanging="360"/>
      </w:pPr>
    </w:lvl>
    <w:lvl w:ilvl="5" w:tplc="040A001B" w:tentative="1">
      <w:start w:val="1"/>
      <w:numFmt w:val="lowerRoman"/>
      <w:lvlText w:val="%6."/>
      <w:lvlJc w:val="right"/>
      <w:pPr>
        <w:ind w:left="5400" w:hanging="180"/>
      </w:pPr>
    </w:lvl>
    <w:lvl w:ilvl="6" w:tplc="040A000F" w:tentative="1">
      <w:start w:val="1"/>
      <w:numFmt w:val="decimal"/>
      <w:lvlText w:val="%7."/>
      <w:lvlJc w:val="left"/>
      <w:pPr>
        <w:ind w:left="6120" w:hanging="360"/>
      </w:pPr>
    </w:lvl>
    <w:lvl w:ilvl="7" w:tplc="040A0019" w:tentative="1">
      <w:start w:val="1"/>
      <w:numFmt w:val="lowerLetter"/>
      <w:lvlText w:val="%8."/>
      <w:lvlJc w:val="left"/>
      <w:pPr>
        <w:ind w:left="6840" w:hanging="360"/>
      </w:pPr>
    </w:lvl>
    <w:lvl w:ilvl="8" w:tplc="040A001B" w:tentative="1">
      <w:start w:val="1"/>
      <w:numFmt w:val="lowerRoman"/>
      <w:lvlText w:val="%9."/>
      <w:lvlJc w:val="right"/>
      <w:pPr>
        <w:ind w:left="7560" w:hanging="180"/>
      </w:pPr>
    </w:lvl>
  </w:abstractNum>
  <w:abstractNum w:abstractNumId="30" w15:restartNumberingAfterBreak="0">
    <w:nsid w:val="6A226D1F"/>
    <w:multiLevelType w:val="multilevel"/>
    <w:tmpl w:val="113EB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076278C"/>
    <w:multiLevelType w:val="hybridMultilevel"/>
    <w:tmpl w:val="51BE7AB6"/>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2" w15:restartNumberingAfterBreak="0">
    <w:nsid w:val="71132EAC"/>
    <w:multiLevelType w:val="hybridMultilevel"/>
    <w:tmpl w:val="67A8312C"/>
    <w:lvl w:ilvl="0" w:tplc="0C0A001B">
      <w:start w:val="1"/>
      <w:numFmt w:val="lowerRoman"/>
      <w:lvlText w:val="%1."/>
      <w:lvlJc w:val="right"/>
      <w:pPr>
        <w:ind w:left="1068" w:hanging="360"/>
      </w:p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3" w15:restartNumberingAfterBreak="0">
    <w:nsid w:val="745B0712"/>
    <w:multiLevelType w:val="hybridMultilevel"/>
    <w:tmpl w:val="6BA619F6"/>
    <w:lvl w:ilvl="0" w:tplc="6DD8977E">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4" w15:restartNumberingAfterBreak="0">
    <w:nsid w:val="77F71501"/>
    <w:multiLevelType w:val="hybridMultilevel"/>
    <w:tmpl w:val="08923A88"/>
    <w:lvl w:ilvl="0" w:tplc="0C0A000D">
      <w:start w:val="1"/>
      <w:numFmt w:val="bullet"/>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5" w15:restartNumberingAfterBreak="0">
    <w:nsid w:val="7A88197D"/>
    <w:multiLevelType w:val="hybridMultilevel"/>
    <w:tmpl w:val="BBBA515A"/>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15:restartNumberingAfterBreak="0">
    <w:nsid w:val="7BD144FE"/>
    <w:multiLevelType w:val="hybridMultilevel"/>
    <w:tmpl w:val="0278F0E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7BD26D41"/>
    <w:multiLevelType w:val="hybridMultilevel"/>
    <w:tmpl w:val="6A20AA4E"/>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8" w15:restartNumberingAfterBreak="0">
    <w:nsid w:val="7EF83681"/>
    <w:multiLevelType w:val="multilevel"/>
    <w:tmpl w:val="5B3C90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9"/>
  </w:num>
  <w:num w:numId="4">
    <w:abstractNumId w:val="8"/>
  </w:num>
  <w:num w:numId="5">
    <w:abstractNumId w:val="31"/>
  </w:num>
  <w:num w:numId="6">
    <w:abstractNumId w:val="3"/>
  </w:num>
  <w:num w:numId="7">
    <w:abstractNumId w:val="29"/>
  </w:num>
  <w:num w:numId="8">
    <w:abstractNumId w:val="20"/>
  </w:num>
  <w:num w:numId="9">
    <w:abstractNumId w:val="32"/>
  </w:num>
  <w:num w:numId="10">
    <w:abstractNumId w:val="1"/>
  </w:num>
  <w:num w:numId="11">
    <w:abstractNumId w:val="28"/>
  </w:num>
  <w:num w:numId="12">
    <w:abstractNumId w:val="21"/>
  </w:num>
  <w:num w:numId="13">
    <w:abstractNumId w:val="35"/>
  </w:num>
  <w:num w:numId="14">
    <w:abstractNumId w:val="37"/>
  </w:num>
  <w:num w:numId="15">
    <w:abstractNumId w:val="14"/>
  </w:num>
  <w:num w:numId="16">
    <w:abstractNumId w:val="7"/>
  </w:num>
  <w:num w:numId="17">
    <w:abstractNumId w:val="38"/>
  </w:num>
  <w:num w:numId="18">
    <w:abstractNumId w:val="27"/>
  </w:num>
  <w:num w:numId="19">
    <w:abstractNumId w:val="24"/>
  </w:num>
  <w:num w:numId="20">
    <w:abstractNumId w:val="22"/>
  </w:num>
  <w:num w:numId="21">
    <w:abstractNumId w:val="36"/>
  </w:num>
  <w:num w:numId="22">
    <w:abstractNumId w:val="26"/>
  </w:num>
  <w:num w:numId="23">
    <w:abstractNumId w:val="4"/>
  </w:num>
  <w:num w:numId="24">
    <w:abstractNumId w:val="25"/>
  </w:num>
  <w:num w:numId="25">
    <w:abstractNumId w:val="34"/>
  </w:num>
  <w:num w:numId="26">
    <w:abstractNumId w:val="16"/>
  </w:num>
  <w:num w:numId="27">
    <w:abstractNumId w:val="33"/>
  </w:num>
  <w:num w:numId="28">
    <w:abstractNumId w:val="15"/>
  </w:num>
  <w:num w:numId="29">
    <w:abstractNumId w:val="10"/>
  </w:num>
  <w:num w:numId="30">
    <w:abstractNumId w:val="19"/>
  </w:num>
  <w:num w:numId="31">
    <w:abstractNumId w:val="17"/>
    <w:lvlOverride w:ilvl="0">
      <w:startOverride w:val="1"/>
    </w:lvlOverride>
  </w:num>
  <w:num w:numId="32">
    <w:abstractNumId w:val="17"/>
    <w:lvlOverride w:ilvl="0"/>
    <w:lvlOverride w:ilvl="1">
      <w:startOverride w:val="1"/>
    </w:lvlOverride>
  </w:num>
  <w:num w:numId="33">
    <w:abstractNumId w:val="11"/>
  </w:num>
  <w:num w:numId="34">
    <w:abstractNumId w:val="6"/>
  </w:num>
  <w:num w:numId="35">
    <w:abstractNumId w:val="23"/>
  </w:num>
  <w:num w:numId="36">
    <w:abstractNumId w:val="2"/>
  </w:num>
  <w:num w:numId="37">
    <w:abstractNumId w:val="13"/>
  </w:num>
  <w:num w:numId="38">
    <w:abstractNumId w:val="12"/>
  </w:num>
  <w:num w:numId="39">
    <w:abstractNumId w:val="18"/>
  </w:num>
  <w:num w:numId="4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85C"/>
    <w:rsid w:val="00000F29"/>
    <w:rsid w:val="00006A94"/>
    <w:rsid w:val="00006FDE"/>
    <w:rsid w:val="0001462B"/>
    <w:rsid w:val="00015EC9"/>
    <w:rsid w:val="000251B8"/>
    <w:rsid w:val="0002608C"/>
    <w:rsid w:val="00051B23"/>
    <w:rsid w:val="00061A36"/>
    <w:rsid w:val="0007120D"/>
    <w:rsid w:val="00071555"/>
    <w:rsid w:val="0008002D"/>
    <w:rsid w:val="0008294F"/>
    <w:rsid w:val="00084FBB"/>
    <w:rsid w:val="000870E7"/>
    <w:rsid w:val="00087E1C"/>
    <w:rsid w:val="000942EF"/>
    <w:rsid w:val="00096216"/>
    <w:rsid w:val="00096743"/>
    <w:rsid w:val="00097CAD"/>
    <w:rsid w:val="000A7DDC"/>
    <w:rsid w:val="000B30A5"/>
    <w:rsid w:val="000B75BB"/>
    <w:rsid w:val="000C3493"/>
    <w:rsid w:val="000C4374"/>
    <w:rsid w:val="000C4EDA"/>
    <w:rsid w:val="000C5245"/>
    <w:rsid w:val="000C65FA"/>
    <w:rsid w:val="000E1CA5"/>
    <w:rsid w:val="000F0041"/>
    <w:rsid w:val="000F2EF2"/>
    <w:rsid w:val="000F3830"/>
    <w:rsid w:val="000F4470"/>
    <w:rsid w:val="000F5A30"/>
    <w:rsid w:val="000F6346"/>
    <w:rsid w:val="000F770C"/>
    <w:rsid w:val="00103282"/>
    <w:rsid w:val="00105625"/>
    <w:rsid w:val="00121C1B"/>
    <w:rsid w:val="00125CA4"/>
    <w:rsid w:val="00126D16"/>
    <w:rsid w:val="00126FBC"/>
    <w:rsid w:val="00127CBC"/>
    <w:rsid w:val="00130E1D"/>
    <w:rsid w:val="00133E5A"/>
    <w:rsid w:val="00134EEC"/>
    <w:rsid w:val="00140E0A"/>
    <w:rsid w:val="00144758"/>
    <w:rsid w:val="00146BB8"/>
    <w:rsid w:val="00151A2B"/>
    <w:rsid w:val="00160CEC"/>
    <w:rsid w:val="001659C6"/>
    <w:rsid w:val="00166335"/>
    <w:rsid w:val="00174D46"/>
    <w:rsid w:val="00184737"/>
    <w:rsid w:val="00185006"/>
    <w:rsid w:val="0018520A"/>
    <w:rsid w:val="00186536"/>
    <w:rsid w:val="00186CEF"/>
    <w:rsid w:val="00186DFD"/>
    <w:rsid w:val="001919B7"/>
    <w:rsid w:val="00193DA7"/>
    <w:rsid w:val="001946DB"/>
    <w:rsid w:val="001A709A"/>
    <w:rsid w:val="001B4E16"/>
    <w:rsid w:val="001B699E"/>
    <w:rsid w:val="001C4B0C"/>
    <w:rsid w:val="001D2D78"/>
    <w:rsid w:val="001D3F75"/>
    <w:rsid w:val="001D6820"/>
    <w:rsid w:val="001D6E9F"/>
    <w:rsid w:val="001E0E16"/>
    <w:rsid w:val="001E14D2"/>
    <w:rsid w:val="001E29C5"/>
    <w:rsid w:val="001E3215"/>
    <w:rsid w:val="001E36A0"/>
    <w:rsid w:val="001E3706"/>
    <w:rsid w:val="001E4B97"/>
    <w:rsid w:val="001F3112"/>
    <w:rsid w:val="001F65B8"/>
    <w:rsid w:val="00204B33"/>
    <w:rsid w:val="00207A0B"/>
    <w:rsid w:val="00221239"/>
    <w:rsid w:val="0022127A"/>
    <w:rsid w:val="0022154C"/>
    <w:rsid w:val="002257D2"/>
    <w:rsid w:val="00233881"/>
    <w:rsid w:val="002416EF"/>
    <w:rsid w:val="002437D6"/>
    <w:rsid w:val="0024398E"/>
    <w:rsid w:val="00254853"/>
    <w:rsid w:val="00255B71"/>
    <w:rsid w:val="00271C63"/>
    <w:rsid w:val="00280AB6"/>
    <w:rsid w:val="00285222"/>
    <w:rsid w:val="00285295"/>
    <w:rsid w:val="002862DB"/>
    <w:rsid w:val="002866E4"/>
    <w:rsid w:val="00290EA3"/>
    <w:rsid w:val="00292DBD"/>
    <w:rsid w:val="00293A58"/>
    <w:rsid w:val="00293D0C"/>
    <w:rsid w:val="00296496"/>
    <w:rsid w:val="00296BD3"/>
    <w:rsid w:val="00297C22"/>
    <w:rsid w:val="002A2794"/>
    <w:rsid w:val="002A6682"/>
    <w:rsid w:val="002B5B19"/>
    <w:rsid w:val="002C4A7C"/>
    <w:rsid w:val="002C55A0"/>
    <w:rsid w:val="002C56AC"/>
    <w:rsid w:val="002D5078"/>
    <w:rsid w:val="002D59C6"/>
    <w:rsid w:val="002E30C8"/>
    <w:rsid w:val="002E399A"/>
    <w:rsid w:val="002E4D77"/>
    <w:rsid w:val="002E53F2"/>
    <w:rsid w:val="00304CCC"/>
    <w:rsid w:val="003055F7"/>
    <w:rsid w:val="0030628A"/>
    <w:rsid w:val="003072D7"/>
    <w:rsid w:val="00311468"/>
    <w:rsid w:val="00311BB3"/>
    <w:rsid w:val="00313D29"/>
    <w:rsid w:val="003220F3"/>
    <w:rsid w:val="00327DCB"/>
    <w:rsid w:val="00330888"/>
    <w:rsid w:val="0033225F"/>
    <w:rsid w:val="0033472B"/>
    <w:rsid w:val="00336EA2"/>
    <w:rsid w:val="003377A8"/>
    <w:rsid w:val="00337F78"/>
    <w:rsid w:val="00345196"/>
    <w:rsid w:val="003471CC"/>
    <w:rsid w:val="00350464"/>
    <w:rsid w:val="00351CB7"/>
    <w:rsid w:val="00360EF1"/>
    <w:rsid w:val="00363D55"/>
    <w:rsid w:val="00365A75"/>
    <w:rsid w:val="00371A62"/>
    <w:rsid w:val="003736D7"/>
    <w:rsid w:val="00373B1C"/>
    <w:rsid w:val="00385C60"/>
    <w:rsid w:val="0038682F"/>
    <w:rsid w:val="003956E0"/>
    <w:rsid w:val="003A52BB"/>
    <w:rsid w:val="003A6348"/>
    <w:rsid w:val="003A7E09"/>
    <w:rsid w:val="003B191B"/>
    <w:rsid w:val="003B7B87"/>
    <w:rsid w:val="003C1D5E"/>
    <w:rsid w:val="003E0D0B"/>
    <w:rsid w:val="003E65AE"/>
    <w:rsid w:val="003F6DDC"/>
    <w:rsid w:val="00402E02"/>
    <w:rsid w:val="00407AC2"/>
    <w:rsid w:val="004149AD"/>
    <w:rsid w:val="00417FC3"/>
    <w:rsid w:val="00420F01"/>
    <w:rsid w:val="004230E7"/>
    <w:rsid w:val="00427FBA"/>
    <w:rsid w:val="00430FB5"/>
    <w:rsid w:val="0043170C"/>
    <w:rsid w:val="00432A79"/>
    <w:rsid w:val="00434DF6"/>
    <w:rsid w:val="004461C2"/>
    <w:rsid w:val="004566B4"/>
    <w:rsid w:val="00460B0B"/>
    <w:rsid w:val="004623EA"/>
    <w:rsid w:val="00483188"/>
    <w:rsid w:val="00487F79"/>
    <w:rsid w:val="004952FD"/>
    <w:rsid w:val="004953E7"/>
    <w:rsid w:val="00497AE8"/>
    <w:rsid w:val="004A1F0E"/>
    <w:rsid w:val="004A4685"/>
    <w:rsid w:val="004A55C0"/>
    <w:rsid w:val="004B3AE7"/>
    <w:rsid w:val="004D1FEC"/>
    <w:rsid w:val="004D361B"/>
    <w:rsid w:val="004D3DC1"/>
    <w:rsid w:val="004D4109"/>
    <w:rsid w:val="004D4608"/>
    <w:rsid w:val="004D6124"/>
    <w:rsid w:val="004D7CB2"/>
    <w:rsid w:val="004D7DF2"/>
    <w:rsid w:val="004E3EEE"/>
    <w:rsid w:val="004E4EF9"/>
    <w:rsid w:val="004F367B"/>
    <w:rsid w:val="004F3F2F"/>
    <w:rsid w:val="00506669"/>
    <w:rsid w:val="005103E9"/>
    <w:rsid w:val="0051055D"/>
    <w:rsid w:val="00515939"/>
    <w:rsid w:val="00535BCD"/>
    <w:rsid w:val="005439AD"/>
    <w:rsid w:val="005449FB"/>
    <w:rsid w:val="00551194"/>
    <w:rsid w:val="0055131C"/>
    <w:rsid w:val="00551FE0"/>
    <w:rsid w:val="005557D2"/>
    <w:rsid w:val="005612B9"/>
    <w:rsid w:val="005729D5"/>
    <w:rsid w:val="00573BF5"/>
    <w:rsid w:val="00574CA7"/>
    <w:rsid w:val="0058688B"/>
    <w:rsid w:val="005877D3"/>
    <w:rsid w:val="0059013B"/>
    <w:rsid w:val="00590E1C"/>
    <w:rsid w:val="005A028B"/>
    <w:rsid w:val="005A4A24"/>
    <w:rsid w:val="005A6931"/>
    <w:rsid w:val="005B1A6C"/>
    <w:rsid w:val="005C2B70"/>
    <w:rsid w:val="005C6074"/>
    <w:rsid w:val="005C709C"/>
    <w:rsid w:val="005D3411"/>
    <w:rsid w:val="005D6F3E"/>
    <w:rsid w:val="005E022E"/>
    <w:rsid w:val="006019B5"/>
    <w:rsid w:val="00603F83"/>
    <w:rsid w:val="00607FF0"/>
    <w:rsid w:val="00610BA5"/>
    <w:rsid w:val="00614CFC"/>
    <w:rsid w:val="006161CA"/>
    <w:rsid w:val="00616907"/>
    <w:rsid w:val="00617CE0"/>
    <w:rsid w:val="00632BA4"/>
    <w:rsid w:val="00637B98"/>
    <w:rsid w:val="00641751"/>
    <w:rsid w:val="006446C7"/>
    <w:rsid w:val="00645794"/>
    <w:rsid w:val="00647210"/>
    <w:rsid w:val="006526BB"/>
    <w:rsid w:val="006549C0"/>
    <w:rsid w:val="00656A1C"/>
    <w:rsid w:val="00670638"/>
    <w:rsid w:val="00671ED1"/>
    <w:rsid w:val="00676602"/>
    <w:rsid w:val="00676E9F"/>
    <w:rsid w:val="006779AA"/>
    <w:rsid w:val="0068052A"/>
    <w:rsid w:val="0068763B"/>
    <w:rsid w:val="006915A4"/>
    <w:rsid w:val="00692912"/>
    <w:rsid w:val="00693987"/>
    <w:rsid w:val="006963B3"/>
    <w:rsid w:val="006A1C1E"/>
    <w:rsid w:val="006A29BD"/>
    <w:rsid w:val="006A5E58"/>
    <w:rsid w:val="006C0610"/>
    <w:rsid w:val="006C773B"/>
    <w:rsid w:val="006D3EC6"/>
    <w:rsid w:val="006D5ECB"/>
    <w:rsid w:val="006E4C9C"/>
    <w:rsid w:val="006F57FB"/>
    <w:rsid w:val="006F5A93"/>
    <w:rsid w:val="006F5EE7"/>
    <w:rsid w:val="006F7C96"/>
    <w:rsid w:val="00703686"/>
    <w:rsid w:val="007058CF"/>
    <w:rsid w:val="0070699D"/>
    <w:rsid w:val="0070762D"/>
    <w:rsid w:val="00710AE5"/>
    <w:rsid w:val="0071401A"/>
    <w:rsid w:val="007201C0"/>
    <w:rsid w:val="007223B4"/>
    <w:rsid w:val="00723F0F"/>
    <w:rsid w:val="00725668"/>
    <w:rsid w:val="007335AD"/>
    <w:rsid w:val="0074186C"/>
    <w:rsid w:val="007442F5"/>
    <w:rsid w:val="00746038"/>
    <w:rsid w:val="007558B6"/>
    <w:rsid w:val="00761D2B"/>
    <w:rsid w:val="00763B88"/>
    <w:rsid w:val="00765E1D"/>
    <w:rsid w:val="007663F4"/>
    <w:rsid w:val="00767E99"/>
    <w:rsid w:val="0077056D"/>
    <w:rsid w:val="00772DD6"/>
    <w:rsid w:val="00775163"/>
    <w:rsid w:val="007763AD"/>
    <w:rsid w:val="007808EB"/>
    <w:rsid w:val="00781B3D"/>
    <w:rsid w:val="007828F8"/>
    <w:rsid w:val="00785DD2"/>
    <w:rsid w:val="007911E3"/>
    <w:rsid w:val="00792AAC"/>
    <w:rsid w:val="00793393"/>
    <w:rsid w:val="007C303D"/>
    <w:rsid w:val="007C3D77"/>
    <w:rsid w:val="007C3DA1"/>
    <w:rsid w:val="007C456A"/>
    <w:rsid w:val="007C7ADA"/>
    <w:rsid w:val="007D2395"/>
    <w:rsid w:val="007D457F"/>
    <w:rsid w:val="007E0C69"/>
    <w:rsid w:val="008040BB"/>
    <w:rsid w:val="0081287D"/>
    <w:rsid w:val="00813408"/>
    <w:rsid w:val="008135F2"/>
    <w:rsid w:val="00813CA4"/>
    <w:rsid w:val="0081590A"/>
    <w:rsid w:val="00816119"/>
    <w:rsid w:val="00823D12"/>
    <w:rsid w:val="0082614B"/>
    <w:rsid w:val="00830A95"/>
    <w:rsid w:val="00835888"/>
    <w:rsid w:val="008369DB"/>
    <w:rsid w:val="00837EFA"/>
    <w:rsid w:val="00844EA5"/>
    <w:rsid w:val="008465CD"/>
    <w:rsid w:val="008510C9"/>
    <w:rsid w:val="008654B4"/>
    <w:rsid w:val="0086649A"/>
    <w:rsid w:val="0086699F"/>
    <w:rsid w:val="00873101"/>
    <w:rsid w:val="0087353A"/>
    <w:rsid w:val="0088243F"/>
    <w:rsid w:val="00882F2E"/>
    <w:rsid w:val="00885A0B"/>
    <w:rsid w:val="008864E4"/>
    <w:rsid w:val="00886D72"/>
    <w:rsid w:val="00887E58"/>
    <w:rsid w:val="008909A0"/>
    <w:rsid w:val="00893181"/>
    <w:rsid w:val="008D6168"/>
    <w:rsid w:val="008D7FFA"/>
    <w:rsid w:val="008E41A2"/>
    <w:rsid w:val="00905AAB"/>
    <w:rsid w:val="0090684C"/>
    <w:rsid w:val="00907136"/>
    <w:rsid w:val="009122A0"/>
    <w:rsid w:val="00912953"/>
    <w:rsid w:val="009213E3"/>
    <w:rsid w:val="00932815"/>
    <w:rsid w:val="00934472"/>
    <w:rsid w:val="00934DB3"/>
    <w:rsid w:val="009375EC"/>
    <w:rsid w:val="00941F6D"/>
    <w:rsid w:val="009479DB"/>
    <w:rsid w:val="009505FD"/>
    <w:rsid w:val="00963A49"/>
    <w:rsid w:val="009701A1"/>
    <w:rsid w:val="00970BF1"/>
    <w:rsid w:val="00980E5E"/>
    <w:rsid w:val="00982ABC"/>
    <w:rsid w:val="00983731"/>
    <w:rsid w:val="00984395"/>
    <w:rsid w:val="0098459A"/>
    <w:rsid w:val="00984B96"/>
    <w:rsid w:val="009A046E"/>
    <w:rsid w:val="009A0641"/>
    <w:rsid w:val="009A1851"/>
    <w:rsid w:val="009A35C2"/>
    <w:rsid w:val="009A62DE"/>
    <w:rsid w:val="009B00C9"/>
    <w:rsid w:val="009B205D"/>
    <w:rsid w:val="009B5473"/>
    <w:rsid w:val="009C1B63"/>
    <w:rsid w:val="009C36A3"/>
    <w:rsid w:val="009F3A7A"/>
    <w:rsid w:val="00A028F7"/>
    <w:rsid w:val="00A04474"/>
    <w:rsid w:val="00A05D71"/>
    <w:rsid w:val="00A107B9"/>
    <w:rsid w:val="00A1241A"/>
    <w:rsid w:val="00A124A5"/>
    <w:rsid w:val="00A1448F"/>
    <w:rsid w:val="00A34348"/>
    <w:rsid w:val="00A42285"/>
    <w:rsid w:val="00A42307"/>
    <w:rsid w:val="00A4795D"/>
    <w:rsid w:val="00A54BAE"/>
    <w:rsid w:val="00A565BE"/>
    <w:rsid w:val="00A568A7"/>
    <w:rsid w:val="00A56F9B"/>
    <w:rsid w:val="00A6029D"/>
    <w:rsid w:val="00A626A2"/>
    <w:rsid w:val="00A75834"/>
    <w:rsid w:val="00A77300"/>
    <w:rsid w:val="00A8011D"/>
    <w:rsid w:val="00A825B8"/>
    <w:rsid w:val="00A8485C"/>
    <w:rsid w:val="00A84B2B"/>
    <w:rsid w:val="00A86CA0"/>
    <w:rsid w:val="00A97B23"/>
    <w:rsid w:val="00AA31A8"/>
    <w:rsid w:val="00AB20CE"/>
    <w:rsid w:val="00AB355D"/>
    <w:rsid w:val="00AB44DD"/>
    <w:rsid w:val="00AB4A57"/>
    <w:rsid w:val="00AB774A"/>
    <w:rsid w:val="00AC072C"/>
    <w:rsid w:val="00AC28ED"/>
    <w:rsid w:val="00AC36B3"/>
    <w:rsid w:val="00AD209E"/>
    <w:rsid w:val="00AD7FB2"/>
    <w:rsid w:val="00AE29DE"/>
    <w:rsid w:val="00AE64A4"/>
    <w:rsid w:val="00AE6D25"/>
    <w:rsid w:val="00AF0E7A"/>
    <w:rsid w:val="00AF2827"/>
    <w:rsid w:val="00AF32C8"/>
    <w:rsid w:val="00AF52E6"/>
    <w:rsid w:val="00B018B1"/>
    <w:rsid w:val="00B12058"/>
    <w:rsid w:val="00B1411D"/>
    <w:rsid w:val="00B219CA"/>
    <w:rsid w:val="00B22087"/>
    <w:rsid w:val="00B22918"/>
    <w:rsid w:val="00B2308C"/>
    <w:rsid w:val="00B243F0"/>
    <w:rsid w:val="00B255A1"/>
    <w:rsid w:val="00B258A0"/>
    <w:rsid w:val="00B32DBB"/>
    <w:rsid w:val="00B34139"/>
    <w:rsid w:val="00B43246"/>
    <w:rsid w:val="00B44567"/>
    <w:rsid w:val="00B4578E"/>
    <w:rsid w:val="00B46E92"/>
    <w:rsid w:val="00B61831"/>
    <w:rsid w:val="00B6203D"/>
    <w:rsid w:val="00B72AA8"/>
    <w:rsid w:val="00B76E70"/>
    <w:rsid w:val="00B82BB2"/>
    <w:rsid w:val="00B84822"/>
    <w:rsid w:val="00B90B16"/>
    <w:rsid w:val="00B9349E"/>
    <w:rsid w:val="00B947D0"/>
    <w:rsid w:val="00B9614C"/>
    <w:rsid w:val="00BA2FE2"/>
    <w:rsid w:val="00BA4C1D"/>
    <w:rsid w:val="00BB17C3"/>
    <w:rsid w:val="00BB3B05"/>
    <w:rsid w:val="00BC04A4"/>
    <w:rsid w:val="00BC138A"/>
    <w:rsid w:val="00BC53CB"/>
    <w:rsid w:val="00BD018B"/>
    <w:rsid w:val="00BD3D0C"/>
    <w:rsid w:val="00BD54C5"/>
    <w:rsid w:val="00BE00F5"/>
    <w:rsid w:val="00BE037D"/>
    <w:rsid w:val="00BE0A6E"/>
    <w:rsid w:val="00BE4130"/>
    <w:rsid w:val="00BE4ED6"/>
    <w:rsid w:val="00BE53D9"/>
    <w:rsid w:val="00BE785F"/>
    <w:rsid w:val="00BF1B30"/>
    <w:rsid w:val="00C01186"/>
    <w:rsid w:val="00C103BF"/>
    <w:rsid w:val="00C114DD"/>
    <w:rsid w:val="00C12A9C"/>
    <w:rsid w:val="00C14E16"/>
    <w:rsid w:val="00C20E61"/>
    <w:rsid w:val="00C21CB4"/>
    <w:rsid w:val="00C2378F"/>
    <w:rsid w:val="00C24566"/>
    <w:rsid w:val="00C41D5E"/>
    <w:rsid w:val="00C43163"/>
    <w:rsid w:val="00C52366"/>
    <w:rsid w:val="00C52B17"/>
    <w:rsid w:val="00C562D8"/>
    <w:rsid w:val="00C6348D"/>
    <w:rsid w:val="00C654FB"/>
    <w:rsid w:val="00C77518"/>
    <w:rsid w:val="00C83470"/>
    <w:rsid w:val="00C96CEB"/>
    <w:rsid w:val="00CA14B9"/>
    <w:rsid w:val="00CA5D2F"/>
    <w:rsid w:val="00CB11A2"/>
    <w:rsid w:val="00CB44E8"/>
    <w:rsid w:val="00CC6AD2"/>
    <w:rsid w:val="00CD1D83"/>
    <w:rsid w:val="00CD362D"/>
    <w:rsid w:val="00CD3892"/>
    <w:rsid w:val="00CD4538"/>
    <w:rsid w:val="00CD7749"/>
    <w:rsid w:val="00D00208"/>
    <w:rsid w:val="00D114BF"/>
    <w:rsid w:val="00D11DB5"/>
    <w:rsid w:val="00D13452"/>
    <w:rsid w:val="00D15114"/>
    <w:rsid w:val="00D17D6F"/>
    <w:rsid w:val="00D26AA3"/>
    <w:rsid w:val="00D3096E"/>
    <w:rsid w:val="00D404A4"/>
    <w:rsid w:val="00D43FCE"/>
    <w:rsid w:val="00D504EA"/>
    <w:rsid w:val="00D6467E"/>
    <w:rsid w:val="00D7136B"/>
    <w:rsid w:val="00D71EEF"/>
    <w:rsid w:val="00D9224F"/>
    <w:rsid w:val="00DB33E1"/>
    <w:rsid w:val="00DC79B0"/>
    <w:rsid w:val="00DD5657"/>
    <w:rsid w:val="00DD6AA1"/>
    <w:rsid w:val="00DE3930"/>
    <w:rsid w:val="00DF7BD7"/>
    <w:rsid w:val="00E059B3"/>
    <w:rsid w:val="00E07E64"/>
    <w:rsid w:val="00E10D00"/>
    <w:rsid w:val="00E1337F"/>
    <w:rsid w:val="00E140EF"/>
    <w:rsid w:val="00E20895"/>
    <w:rsid w:val="00E21F51"/>
    <w:rsid w:val="00E32E22"/>
    <w:rsid w:val="00E361CF"/>
    <w:rsid w:val="00E41B43"/>
    <w:rsid w:val="00E46C87"/>
    <w:rsid w:val="00E475FD"/>
    <w:rsid w:val="00E5025F"/>
    <w:rsid w:val="00E50F17"/>
    <w:rsid w:val="00E536FF"/>
    <w:rsid w:val="00E55687"/>
    <w:rsid w:val="00E56CFC"/>
    <w:rsid w:val="00E56FEE"/>
    <w:rsid w:val="00E63733"/>
    <w:rsid w:val="00E711D1"/>
    <w:rsid w:val="00E7467F"/>
    <w:rsid w:val="00E9099A"/>
    <w:rsid w:val="00E97647"/>
    <w:rsid w:val="00EA0422"/>
    <w:rsid w:val="00EA0F14"/>
    <w:rsid w:val="00EA163B"/>
    <w:rsid w:val="00EA1F71"/>
    <w:rsid w:val="00EC1A1A"/>
    <w:rsid w:val="00EC2542"/>
    <w:rsid w:val="00ED2D8F"/>
    <w:rsid w:val="00EE4E13"/>
    <w:rsid w:val="00EE587E"/>
    <w:rsid w:val="00F056CC"/>
    <w:rsid w:val="00F10998"/>
    <w:rsid w:val="00F10FD1"/>
    <w:rsid w:val="00F14F1D"/>
    <w:rsid w:val="00F202F5"/>
    <w:rsid w:val="00F20D06"/>
    <w:rsid w:val="00F22159"/>
    <w:rsid w:val="00F24475"/>
    <w:rsid w:val="00F31A43"/>
    <w:rsid w:val="00F31CC0"/>
    <w:rsid w:val="00F44624"/>
    <w:rsid w:val="00F446D0"/>
    <w:rsid w:val="00F46496"/>
    <w:rsid w:val="00F51855"/>
    <w:rsid w:val="00F52703"/>
    <w:rsid w:val="00F545D9"/>
    <w:rsid w:val="00F57C7F"/>
    <w:rsid w:val="00F61523"/>
    <w:rsid w:val="00F62F92"/>
    <w:rsid w:val="00F65FD7"/>
    <w:rsid w:val="00F6651E"/>
    <w:rsid w:val="00F83A3E"/>
    <w:rsid w:val="00F86E75"/>
    <w:rsid w:val="00F94C91"/>
    <w:rsid w:val="00F97436"/>
    <w:rsid w:val="00FA141D"/>
    <w:rsid w:val="00FA27DE"/>
    <w:rsid w:val="00FA7BBE"/>
    <w:rsid w:val="00FB031E"/>
    <w:rsid w:val="00FB03C4"/>
    <w:rsid w:val="00FB6E23"/>
    <w:rsid w:val="00FC1F7A"/>
    <w:rsid w:val="00FC3810"/>
    <w:rsid w:val="00FC77CC"/>
    <w:rsid w:val="00FD1EBA"/>
    <w:rsid w:val="00FE2292"/>
    <w:rsid w:val="00FE6D83"/>
    <w:rsid w:val="00FF4A53"/>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AE4D66"/>
  <w15:docId w15:val="{6416A57D-557F-405D-BB87-10D03438F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485C"/>
    <w:rPr>
      <w:rFonts w:ascii="Arial" w:eastAsia="Arial" w:hAnsi="Arial" w:cs="Times New Roman"/>
      <w:lang w:val="es-ES"/>
    </w:rPr>
  </w:style>
  <w:style w:type="paragraph" w:styleId="Ttulo1">
    <w:name w:val="heading 1"/>
    <w:basedOn w:val="Normal"/>
    <w:next w:val="Normal"/>
    <w:link w:val="Ttulo1Car"/>
    <w:uiPriority w:val="9"/>
    <w:qFormat/>
    <w:rsid w:val="004E3EE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3">
    <w:name w:val="heading 3"/>
    <w:basedOn w:val="Normal"/>
    <w:link w:val="Ttulo3Car"/>
    <w:uiPriority w:val="9"/>
    <w:qFormat/>
    <w:rsid w:val="00573BF5"/>
    <w:pPr>
      <w:spacing w:before="100" w:beforeAutospacing="1" w:after="100" w:afterAutospacing="1" w:line="240" w:lineRule="auto"/>
      <w:outlineLvl w:val="2"/>
    </w:pPr>
    <w:rPr>
      <w:rFonts w:ascii="Times New Roman" w:eastAsia="Times New Roman" w:hAnsi="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nhideWhenUsed/>
    <w:rsid w:val="00A8485C"/>
    <w:pPr>
      <w:suppressAutoHyphens/>
      <w:spacing w:after="0" w:line="240" w:lineRule="auto"/>
    </w:pPr>
    <w:rPr>
      <w:rFonts w:ascii="Times New Roman" w:eastAsia="Times New Roman" w:hAnsi="Times New Roman"/>
      <w:sz w:val="20"/>
      <w:szCs w:val="20"/>
      <w:lang w:eastAsia="ar-SA"/>
    </w:rPr>
  </w:style>
  <w:style w:type="character" w:customStyle="1" w:styleId="TextonotapieCar">
    <w:name w:val="Texto nota pie Car"/>
    <w:basedOn w:val="Fuentedeprrafopredeter"/>
    <w:link w:val="Textonotapie"/>
    <w:rsid w:val="00A8485C"/>
    <w:rPr>
      <w:rFonts w:ascii="Times New Roman" w:eastAsia="Times New Roman" w:hAnsi="Times New Roman" w:cs="Times New Roman"/>
      <w:sz w:val="20"/>
      <w:szCs w:val="20"/>
      <w:lang w:eastAsia="ar-SA"/>
    </w:rPr>
  </w:style>
  <w:style w:type="paragraph" w:customStyle="1" w:styleId="Default">
    <w:name w:val="Default"/>
    <w:rsid w:val="00A8485C"/>
    <w:pPr>
      <w:autoSpaceDE w:val="0"/>
      <w:autoSpaceDN w:val="0"/>
      <w:adjustRightInd w:val="0"/>
      <w:spacing w:after="0" w:line="240" w:lineRule="auto"/>
    </w:pPr>
    <w:rPr>
      <w:rFonts w:ascii="Arial Unicode MS" w:eastAsia="Arial Unicode MS" w:hAnsi="Arial" w:cs="Arial Unicode MS"/>
      <w:color w:val="000000"/>
      <w:sz w:val="24"/>
      <w:szCs w:val="24"/>
      <w:lang w:val="es-ES" w:eastAsia="es-ES"/>
    </w:rPr>
  </w:style>
  <w:style w:type="paragraph" w:customStyle="1" w:styleId="CM3">
    <w:name w:val="CM3"/>
    <w:basedOn w:val="Normal"/>
    <w:next w:val="Normal"/>
    <w:uiPriority w:val="99"/>
    <w:rsid w:val="00A8485C"/>
    <w:pPr>
      <w:autoSpaceDE w:val="0"/>
      <w:autoSpaceDN w:val="0"/>
      <w:adjustRightInd w:val="0"/>
      <w:spacing w:after="0" w:line="240" w:lineRule="auto"/>
    </w:pPr>
    <w:rPr>
      <w:rFonts w:ascii="Garamond" w:eastAsia="Calibri" w:hAnsi="Garamond"/>
      <w:sz w:val="24"/>
      <w:szCs w:val="24"/>
    </w:rPr>
  </w:style>
  <w:style w:type="character" w:styleId="Refdenotaalpie">
    <w:name w:val="footnote reference"/>
    <w:uiPriority w:val="99"/>
    <w:unhideWhenUsed/>
    <w:rsid w:val="00A8485C"/>
    <w:rPr>
      <w:vertAlign w:val="superscript"/>
    </w:rPr>
  </w:style>
  <w:style w:type="paragraph" w:styleId="Encabezado">
    <w:name w:val="header"/>
    <w:basedOn w:val="Normal"/>
    <w:link w:val="EncabezadoCar"/>
    <w:uiPriority w:val="99"/>
    <w:unhideWhenUsed/>
    <w:rsid w:val="00A8485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8485C"/>
    <w:rPr>
      <w:rFonts w:ascii="Arial" w:eastAsia="Arial" w:hAnsi="Arial" w:cs="Times New Roman"/>
      <w:lang w:val="es-ES"/>
    </w:rPr>
  </w:style>
  <w:style w:type="paragraph" w:styleId="Piedepgina">
    <w:name w:val="footer"/>
    <w:basedOn w:val="Normal"/>
    <w:link w:val="PiedepginaCar"/>
    <w:uiPriority w:val="99"/>
    <w:unhideWhenUsed/>
    <w:rsid w:val="00A8485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8485C"/>
    <w:rPr>
      <w:rFonts w:ascii="Arial" w:eastAsia="Arial" w:hAnsi="Arial" w:cs="Times New Roman"/>
      <w:lang w:val="es-ES"/>
    </w:rPr>
  </w:style>
  <w:style w:type="paragraph" w:styleId="NormalWeb">
    <w:name w:val="Normal (Web)"/>
    <w:basedOn w:val="Normal"/>
    <w:uiPriority w:val="99"/>
    <w:semiHidden/>
    <w:unhideWhenUsed/>
    <w:rsid w:val="00A8485C"/>
    <w:pPr>
      <w:spacing w:before="100" w:beforeAutospacing="1" w:after="100" w:afterAutospacing="1" w:line="240" w:lineRule="auto"/>
    </w:pPr>
    <w:rPr>
      <w:rFonts w:ascii="Times New Roman" w:eastAsiaTheme="minorEastAsia" w:hAnsi="Times New Roman"/>
      <w:sz w:val="24"/>
      <w:szCs w:val="24"/>
      <w:lang w:eastAsia="es-ES"/>
    </w:rPr>
  </w:style>
  <w:style w:type="paragraph" w:styleId="Prrafodelista">
    <w:name w:val="List Paragraph"/>
    <w:basedOn w:val="Normal"/>
    <w:uiPriority w:val="34"/>
    <w:qFormat/>
    <w:rsid w:val="00BB17C3"/>
    <w:pPr>
      <w:ind w:left="720"/>
      <w:contextualSpacing/>
    </w:pPr>
  </w:style>
  <w:style w:type="table" w:styleId="Tablaconcuadrcula">
    <w:name w:val="Table Grid"/>
    <w:basedOn w:val="Tablanormal"/>
    <w:uiPriority w:val="59"/>
    <w:rsid w:val="00F20D0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M1">
    <w:name w:val="CM1"/>
    <w:basedOn w:val="Default"/>
    <w:next w:val="Default"/>
    <w:uiPriority w:val="99"/>
    <w:rsid w:val="00C52366"/>
    <w:rPr>
      <w:rFonts w:ascii="EUAlbertina" w:eastAsiaTheme="minorHAnsi" w:hAnsi="EUAlbertina" w:cstheme="minorBidi"/>
      <w:color w:val="auto"/>
      <w:lang w:val="es-ES_tradnl" w:eastAsia="en-US"/>
    </w:rPr>
  </w:style>
  <w:style w:type="paragraph" w:customStyle="1" w:styleId="CM4">
    <w:name w:val="CM4"/>
    <w:basedOn w:val="Default"/>
    <w:next w:val="Default"/>
    <w:uiPriority w:val="99"/>
    <w:rsid w:val="00C52366"/>
    <w:rPr>
      <w:rFonts w:ascii="EUAlbertina" w:eastAsiaTheme="minorHAnsi" w:hAnsi="EUAlbertina" w:cstheme="minorBidi"/>
      <w:color w:val="auto"/>
      <w:lang w:val="es-ES_tradnl" w:eastAsia="en-US"/>
    </w:rPr>
  </w:style>
  <w:style w:type="character" w:styleId="Hipervnculo">
    <w:name w:val="Hyperlink"/>
    <w:basedOn w:val="Fuentedeprrafopredeter"/>
    <w:uiPriority w:val="99"/>
    <w:unhideWhenUsed/>
    <w:rsid w:val="005877D3"/>
    <w:rPr>
      <w:color w:val="0000FF" w:themeColor="hyperlink"/>
      <w:u w:val="single"/>
    </w:rPr>
  </w:style>
  <w:style w:type="paragraph" w:customStyle="1" w:styleId="CM8">
    <w:name w:val="CM8"/>
    <w:basedOn w:val="Default"/>
    <w:next w:val="Default"/>
    <w:uiPriority w:val="99"/>
    <w:rsid w:val="00C77518"/>
    <w:rPr>
      <w:rFonts w:ascii="Arial" w:eastAsiaTheme="minorHAnsi" w:cs="Arial"/>
      <w:color w:val="auto"/>
      <w:lang w:val="es-ES_tradnl" w:eastAsia="en-US"/>
    </w:rPr>
  </w:style>
  <w:style w:type="paragraph" w:customStyle="1" w:styleId="c05titre2">
    <w:name w:val="c05titre2"/>
    <w:basedOn w:val="Normal"/>
    <w:rsid w:val="00614CFC"/>
    <w:pPr>
      <w:spacing w:before="100" w:beforeAutospacing="1" w:after="100" w:afterAutospacing="1" w:line="240" w:lineRule="auto"/>
    </w:pPr>
    <w:rPr>
      <w:rFonts w:ascii="Times New Roman" w:eastAsia="Times New Roman" w:hAnsi="Times New Roman"/>
      <w:sz w:val="24"/>
      <w:szCs w:val="24"/>
      <w:lang w:val="es-ES_tradnl" w:eastAsia="es-ES_tradnl"/>
    </w:rPr>
  </w:style>
  <w:style w:type="paragraph" w:customStyle="1" w:styleId="c06titre3">
    <w:name w:val="c06titre3"/>
    <w:basedOn w:val="Normal"/>
    <w:rsid w:val="00614CFC"/>
    <w:pPr>
      <w:spacing w:before="100" w:beforeAutospacing="1" w:after="100" w:afterAutospacing="1" w:line="240" w:lineRule="auto"/>
    </w:pPr>
    <w:rPr>
      <w:rFonts w:ascii="Times New Roman" w:eastAsia="Times New Roman" w:hAnsi="Times New Roman"/>
      <w:sz w:val="24"/>
      <w:szCs w:val="24"/>
      <w:lang w:val="es-ES_tradnl" w:eastAsia="es-ES_tradnl"/>
    </w:rPr>
  </w:style>
  <w:style w:type="paragraph" w:customStyle="1" w:styleId="c01pointnumerotealtn">
    <w:name w:val="c01pointnumerotealtn"/>
    <w:basedOn w:val="Normal"/>
    <w:rsid w:val="00614CFC"/>
    <w:pPr>
      <w:spacing w:before="100" w:beforeAutospacing="1" w:after="100" w:afterAutospacing="1" w:line="240" w:lineRule="auto"/>
    </w:pPr>
    <w:rPr>
      <w:rFonts w:ascii="Times New Roman" w:eastAsia="Times New Roman" w:hAnsi="Times New Roman"/>
      <w:sz w:val="24"/>
      <w:szCs w:val="24"/>
      <w:lang w:val="es-ES_tradnl" w:eastAsia="es-ES_tradnl"/>
    </w:rPr>
  </w:style>
  <w:style w:type="character" w:customStyle="1" w:styleId="apple-converted-space">
    <w:name w:val="apple-converted-space"/>
    <w:basedOn w:val="Fuentedeprrafopredeter"/>
    <w:rsid w:val="00BE00F5"/>
  </w:style>
  <w:style w:type="character" w:customStyle="1" w:styleId="Ttulo3Car">
    <w:name w:val="Título 3 Car"/>
    <w:basedOn w:val="Fuentedeprrafopredeter"/>
    <w:link w:val="Ttulo3"/>
    <w:uiPriority w:val="9"/>
    <w:rsid w:val="00573BF5"/>
    <w:rPr>
      <w:rFonts w:ascii="Times New Roman" w:eastAsia="Times New Roman" w:hAnsi="Times New Roman" w:cs="Times New Roman"/>
      <w:b/>
      <w:bCs/>
      <w:sz w:val="27"/>
      <w:szCs w:val="27"/>
      <w:lang w:val="es-ES" w:eastAsia="es-ES"/>
    </w:rPr>
  </w:style>
  <w:style w:type="paragraph" w:styleId="Textodeglobo">
    <w:name w:val="Balloon Text"/>
    <w:basedOn w:val="Normal"/>
    <w:link w:val="TextodegloboCar"/>
    <w:uiPriority w:val="99"/>
    <w:semiHidden/>
    <w:unhideWhenUsed/>
    <w:rsid w:val="004D1FE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D1FEC"/>
    <w:rPr>
      <w:rFonts w:ascii="Segoe UI" w:eastAsia="Arial" w:hAnsi="Segoe UI" w:cs="Segoe UI"/>
      <w:sz w:val="18"/>
      <w:szCs w:val="18"/>
      <w:lang w:val="es-ES"/>
    </w:rPr>
  </w:style>
  <w:style w:type="paragraph" w:customStyle="1" w:styleId="articulo">
    <w:name w:val="articulo"/>
    <w:basedOn w:val="Normal"/>
    <w:rsid w:val="00D15114"/>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parrafo">
    <w:name w:val="parrafo"/>
    <w:basedOn w:val="Normal"/>
    <w:rsid w:val="00D15114"/>
    <w:pPr>
      <w:spacing w:before="100" w:beforeAutospacing="1" w:after="100" w:afterAutospacing="1" w:line="240" w:lineRule="auto"/>
    </w:pPr>
    <w:rPr>
      <w:rFonts w:ascii="Times New Roman" w:eastAsia="Times New Roman" w:hAnsi="Times New Roman"/>
      <w:sz w:val="24"/>
      <w:szCs w:val="24"/>
      <w:lang w:eastAsia="es-ES"/>
    </w:rPr>
  </w:style>
  <w:style w:type="paragraph" w:styleId="Textoindependiente">
    <w:name w:val="Body Text"/>
    <w:basedOn w:val="Normal"/>
    <w:link w:val="TextoindependienteCar"/>
    <w:uiPriority w:val="99"/>
    <w:semiHidden/>
    <w:unhideWhenUsed/>
    <w:rsid w:val="00B43246"/>
    <w:pPr>
      <w:spacing w:before="100" w:beforeAutospacing="1" w:after="100" w:afterAutospacing="1" w:line="240" w:lineRule="auto"/>
    </w:pPr>
    <w:rPr>
      <w:rFonts w:ascii="Times New Roman" w:eastAsia="Times New Roman" w:hAnsi="Times New Roman"/>
      <w:sz w:val="24"/>
      <w:szCs w:val="24"/>
      <w:lang w:eastAsia="es-ES"/>
    </w:rPr>
  </w:style>
  <w:style w:type="character" w:customStyle="1" w:styleId="TextoindependienteCar">
    <w:name w:val="Texto independiente Car"/>
    <w:basedOn w:val="Fuentedeprrafopredeter"/>
    <w:link w:val="Textoindependiente"/>
    <w:uiPriority w:val="99"/>
    <w:semiHidden/>
    <w:rsid w:val="00B43246"/>
    <w:rPr>
      <w:rFonts w:ascii="Times New Roman" w:eastAsia="Times New Roman" w:hAnsi="Times New Roman" w:cs="Times New Roman"/>
      <w:sz w:val="24"/>
      <w:szCs w:val="24"/>
      <w:lang w:val="es-ES" w:eastAsia="es-ES"/>
    </w:rPr>
  </w:style>
  <w:style w:type="character" w:customStyle="1" w:styleId="Cuerpodeltexto8">
    <w:name w:val="Cuerpo del texto (8)_"/>
    <w:basedOn w:val="Fuentedeprrafopredeter"/>
    <w:link w:val="Cuerpodeltexto80"/>
    <w:rsid w:val="00FA7BBE"/>
    <w:rPr>
      <w:rFonts w:ascii="Arial" w:eastAsia="Arial" w:hAnsi="Arial" w:cs="Arial"/>
      <w:sz w:val="20"/>
      <w:szCs w:val="20"/>
      <w:shd w:val="clear" w:color="auto" w:fill="FFFFFF"/>
    </w:rPr>
  </w:style>
  <w:style w:type="character" w:customStyle="1" w:styleId="Cuerpodeltexto8Exact">
    <w:name w:val="Cuerpo del texto (8) Exact"/>
    <w:basedOn w:val="Fuentedeprrafopredeter"/>
    <w:rsid w:val="00FA7BBE"/>
    <w:rPr>
      <w:rFonts w:ascii="Arial" w:eastAsia="Arial" w:hAnsi="Arial" w:cs="Arial"/>
      <w:b w:val="0"/>
      <w:bCs w:val="0"/>
      <w:i w:val="0"/>
      <w:iCs w:val="0"/>
      <w:smallCaps w:val="0"/>
      <w:strike w:val="0"/>
      <w:sz w:val="20"/>
      <w:szCs w:val="20"/>
      <w:u w:val="none"/>
    </w:rPr>
  </w:style>
  <w:style w:type="paragraph" w:customStyle="1" w:styleId="Cuerpodeltexto80">
    <w:name w:val="Cuerpo del texto (8)"/>
    <w:basedOn w:val="Normal"/>
    <w:link w:val="Cuerpodeltexto8"/>
    <w:rsid w:val="00FA7BBE"/>
    <w:pPr>
      <w:widowControl w:val="0"/>
      <w:shd w:val="clear" w:color="auto" w:fill="FFFFFF"/>
      <w:spacing w:before="1000" w:after="620" w:line="307" w:lineRule="exact"/>
      <w:ind w:hanging="360"/>
      <w:jc w:val="both"/>
    </w:pPr>
    <w:rPr>
      <w:rFonts w:cs="Arial"/>
      <w:sz w:val="20"/>
      <w:szCs w:val="20"/>
      <w:lang w:val="es-ES_tradnl"/>
    </w:rPr>
  </w:style>
  <w:style w:type="character" w:customStyle="1" w:styleId="Cuerpodeltexto8NegritaExact">
    <w:name w:val="Cuerpo del texto (8) + Negrita Exact"/>
    <w:basedOn w:val="Cuerpodeltexto8"/>
    <w:rsid w:val="00FA7BBE"/>
    <w:rPr>
      <w:rFonts w:ascii="Arial" w:eastAsia="Arial" w:hAnsi="Arial" w:cs="Arial"/>
      <w:b/>
      <w:bCs/>
      <w:i w:val="0"/>
      <w:iCs w:val="0"/>
      <w:smallCaps w:val="0"/>
      <w:strike w:val="0"/>
      <w:color w:val="000000"/>
      <w:spacing w:val="0"/>
      <w:w w:val="100"/>
      <w:position w:val="0"/>
      <w:sz w:val="20"/>
      <w:szCs w:val="20"/>
      <w:u w:val="none"/>
      <w:shd w:val="clear" w:color="auto" w:fill="FFFFFF"/>
      <w:lang w:val="es-ES" w:eastAsia="es-ES" w:bidi="es-ES"/>
    </w:rPr>
  </w:style>
  <w:style w:type="character" w:styleId="nfasis">
    <w:name w:val="Emphasis"/>
    <w:basedOn w:val="Fuentedeprrafopredeter"/>
    <w:uiPriority w:val="20"/>
    <w:qFormat/>
    <w:rsid w:val="00FB03C4"/>
    <w:rPr>
      <w:i/>
      <w:iCs/>
    </w:rPr>
  </w:style>
  <w:style w:type="character" w:customStyle="1" w:styleId="Ttulo1Car">
    <w:name w:val="Título 1 Car"/>
    <w:basedOn w:val="Fuentedeprrafopredeter"/>
    <w:link w:val="Ttulo1"/>
    <w:uiPriority w:val="9"/>
    <w:rsid w:val="004E3EEE"/>
    <w:rPr>
      <w:rFonts w:asciiTheme="majorHAnsi" w:eastAsiaTheme="majorEastAsia" w:hAnsiTheme="majorHAnsi" w:cstheme="majorBidi"/>
      <w:color w:val="365F91" w:themeColor="accent1" w:themeShade="BF"/>
      <w:sz w:val="32"/>
      <w:szCs w:val="32"/>
      <w:lang w:val="es-ES"/>
    </w:rPr>
  </w:style>
  <w:style w:type="character" w:customStyle="1" w:styleId="Cuerpodeltexto2TimesNewRoman65pto">
    <w:name w:val="Cuerpo del texto (2) + Times New Roman;6;5 pto"/>
    <w:basedOn w:val="Fuentedeprrafopredeter"/>
    <w:rsid w:val="00F202F5"/>
    <w:rPr>
      <w:rFonts w:ascii="Times New Roman" w:eastAsia="Times New Roman" w:hAnsi="Times New Roman" w:cs="Times New Roman"/>
      <w:b w:val="0"/>
      <w:bCs w:val="0"/>
      <w:i w:val="0"/>
      <w:iCs w:val="0"/>
      <w:smallCaps w:val="0"/>
      <w:strike w:val="0"/>
      <w:color w:val="000000"/>
      <w:spacing w:val="0"/>
      <w:w w:val="100"/>
      <w:position w:val="0"/>
      <w:sz w:val="13"/>
      <w:szCs w:val="13"/>
      <w:u w:val="none"/>
      <w:lang w:val="es-ES" w:eastAsia="es-ES" w:bidi="es-ES"/>
    </w:rPr>
  </w:style>
  <w:style w:type="character" w:customStyle="1" w:styleId="Cuerpodeltexto9">
    <w:name w:val="Cuerpo del texto (9)_"/>
    <w:basedOn w:val="Fuentedeprrafopredeter"/>
    <w:link w:val="Cuerpodeltexto90"/>
    <w:rsid w:val="00F202F5"/>
    <w:rPr>
      <w:rFonts w:ascii="Times New Roman" w:eastAsia="Times New Roman" w:hAnsi="Times New Roman" w:cs="Times New Roman"/>
      <w:sz w:val="13"/>
      <w:szCs w:val="13"/>
      <w:shd w:val="clear" w:color="auto" w:fill="FFFFFF"/>
    </w:rPr>
  </w:style>
  <w:style w:type="paragraph" w:customStyle="1" w:styleId="Cuerpodeltexto90">
    <w:name w:val="Cuerpo del texto (9)"/>
    <w:basedOn w:val="Normal"/>
    <w:link w:val="Cuerpodeltexto9"/>
    <w:rsid w:val="00F202F5"/>
    <w:pPr>
      <w:widowControl w:val="0"/>
      <w:shd w:val="clear" w:color="auto" w:fill="FFFFFF"/>
      <w:spacing w:after="0" w:line="134" w:lineRule="exact"/>
    </w:pPr>
    <w:rPr>
      <w:rFonts w:ascii="Times New Roman" w:eastAsia="Times New Roman" w:hAnsi="Times New Roman"/>
      <w:sz w:val="13"/>
      <w:szCs w:val="13"/>
      <w:lang w:val="es-ES_tradnl"/>
    </w:rPr>
  </w:style>
  <w:style w:type="character" w:customStyle="1" w:styleId="Cuerpodeltexto7">
    <w:name w:val="Cuerpo del texto (7)_"/>
    <w:basedOn w:val="Fuentedeprrafopredeter"/>
    <w:link w:val="Cuerpodeltexto70"/>
    <w:rsid w:val="00603F83"/>
    <w:rPr>
      <w:rFonts w:ascii="Arial" w:eastAsia="Arial" w:hAnsi="Arial" w:cs="Arial"/>
      <w:b/>
      <w:bCs/>
      <w:sz w:val="20"/>
      <w:szCs w:val="20"/>
      <w:shd w:val="clear" w:color="auto" w:fill="FFFFFF"/>
    </w:rPr>
  </w:style>
  <w:style w:type="character" w:customStyle="1" w:styleId="Ttulo6">
    <w:name w:val="Título #6_"/>
    <w:basedOn w:val="Fuentedeprrafopredeter"/>
    <w:link w:val="Ttulo60"/>
    <w:rsid w:val="00603F83"/>
    <w:rPr>
      <w:rFonts w:ascii="Arial" w:eastAsia="Arial" w:hAnsi="Arial" w:cs="Arial"/>
      <w:b/>
      <w:bCs/>
      <w:shd w:val="clear" w:color="auto" w:fill="FFFFFF"/>
    </w:rPr>
  </w:style>
  <w:style w:type="character" w:customStyle="1" w:styleId="Ttulo6Exact">
    <w:name w:val="Título #6 Exact"/>
    <w:basedOn w:val="Fuentedeprrafopredeter"/>
    <w:rsid w:val="00603F83"/>
    <w:rPr>
      <w:rFonts w:ascii="Arial" w:eastAsia="Arial" w:hAnsi="Arial" w:cs="Arial"/>
      <w:b/>
      <w:bCs/>
      <w:i w:val="0"/>
      <w:iCs w:val="0"/>
      <w:smallCaps w:val="0"/>
      <w:strike w:val="0"/>
      <w:sz w:val="22"/>
      <w:szCs w:val="22"/>
      <w:u w:val="none"/>
    </w:rPr>
  </w:style>
  <w:style w:type="character" w:customStyle="1" w:styleId="Cuerpodeltexto7Exact">
    <w:name w:val="Cuerpo del texto (7) Exact"/>
    <w:basedOn w:val="Fuentedeprrafopredeter"/>
    <w:rsid w:val="00603F83"/>
    <w:rPr>
      <w:rFonts w:ascii="Arial" w:eastAsia="Arial" w:hAnsi="Arial" w:cs="Arial"/>
      <w:b/>
      <w:bCs/>
      <w:i w:val="0"/>
      <w:iCs w:val="0"/>
      <w:smallCaps w:val="0"/>
      <w:strike w:val="0"/>
      <w:sz w:val="20"/>
      <w:szCs w:val="20"/>
      <w:u w:val="none"/>
    </w:rPr>
  </w:style>
  <w:style w:type="character" w:customStyle="1" w:styleId="Cuerpodeltexto34Exact">
    <w:name w:val="Cuerpo del texto (34) Exact"/>
    <w:basedOn w:val="Fuentedeprrafopredeter"/>
    <w:rsid w:val="00603F83"/>
    <w:rPr>
      <w:rFonts w:ascii="Arial Narrow" w:eastAsia="Arial Narrow" w:hAnsi="Arial Narrow" w:cs="Arial Narrow"/>
      <w:b/>
      <w:bCs/>
      <w:i w:val="0"/>
      <w:iCs w:val="0"/>
      <w:smallCaps w:val="0"/>
      <w:strike w:val="0"/>
      <w:sz w:val="17"/>
      <w:szCs w:val="17"/>
      <w:u w:val="none"/>
    </w:rPr>
  </w:style>
  <w:style w:type="character" w:customStyle="1" w:styleId="Cuerpodeltexto34">
    <w:name w:val="Cuerpo del texto (34)_"/>
    <w:basedOn w:val="Fuentedeprrafopredeter"/>
    <w:link w:val="Cuerpodeltexto340"/>
    <w:rsid w:val="00603F83"/>
    <w:rPr>
      <w:rFonts w:ascii="Arial Narrow" w:eastAsia="Arial Narrow" w:hAnsi="Arial Narrow" w:cs="Arial Narrow"/>
      <w:b/>
      <w:bCs/>
      <w:sz w:val="17"/>
      <w:szCs w:val="17"/>
      <w:shd w:val="clear" w:color="auto" w:fill="FFFFFF"/>
    </w:rPr>
  </w:style>
  <w:style w:type="paragraph" w:customStyle="1" w:styleId="Cuerpodeltexto70">
    <w:name w:val="Cuerpo del texto (7)"/>
    <w:basedOn w:val="Normal"/>
    <w:link w:val="Cuerpodeltexto7"/>
    <w:rsid w:val="00603F83"/>
    <w:pPr>
      <w:widowControl w:val="0"/>
      <w:shd w:val="clear" w:color="auto" w:fill="FFFFFF"/>
      <w:spacing w:before="860" w:after="1000" w:line="307" w:lineRule="exact"/>
      <w:jc w:val="both"/>
    </w:pPr>
    <w:rPr>
      <w:rFonts w:cs="Arial"/>
      <w:b/>
      <w:bCs/>
      <w:sz w:val="20"/>
      <w:szCs w:val="20"/>
      <w:lang w:val="es-ES_tradnl"/>
    </w:rPr>
  </w:style>
  <w:style w:type="paragraph" w:customStyle="1" w:styleId="Ttulo60">
    <w:name w:val="Título #6"/>
    <w:basedOn w:val="Normal"/>
    <w:link w:val="Ttulo6"/>
    <w:rsid w:val="00603F83"/>
    <w:pPr>
      <w:widowControl w:val="0"/>
      <w:shd w:val="clear" w:color="auto" w:fill="FFFFFF"/>
      <w:spacing w:after="460" w:line="246" w:lineRule="exact"/>
      <w:jc w:val="right"/>
      <w:outlineLvl w:val="5"/>
    </w:pPr>
    <w:rPr>
      <w:rFonts w:cs="Arial"/>
      <w:b/>
      <w:bCs/>
      <w:lang w:val="es-ES_tradnl"/>
    </w:rPr>
  </w:style>
  <w:style w:type="paragraph" w:customStyle="1" w:styleId="Cuerpodeltexto340">
    <w:name w:val="Cuerpo del texto (34)"/>
    <w:basedOn w:val="Normal"/>
    <w:link w:val="Cuerpodeltexto34"/>
    <w:rsid w:val="00603F83"/>
    <w:pPr>
      <w:widowControl w:val="0"/>
      <w:shd w:val="clear" w:color="auto" w:fill="FFFFFF"/>
      <w:spacing w:after="0" w:line="194" w:lineRule="exact"/>
    </w:pPr>
    <w:rPr>
      <w:rFonts w:ascii="Arial Narrow" w:eastAsia="Arial Narrow" w:hAnsi="Arial Narrow" w:cs="Arial Narrow"/>
      <w:b/>
      <w:bCs/>
      <w:sz w:val="17"/>
      <w:szCs w:val="17"/>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07213">
      <w:bodyDiv w:val="1"/>
      <w:marLeft w:val="0"/>
      <w:marRight w:val="0"/>
      <w:marTop w:val="0"/>
      <w:marBottom w:val="0"/>
      <w:divBdr>
        <w:top w:val="none" w:sz="0" w:space="0" w:color="auto"/>
        <w:left w:val="none" w:sz="0" w:space="0" w:color="auto"/>
        <w:bottom w:val="none" w:sz="0" w:space="0" w:color="auto"/>
        <w:right w:val="none" w:sz="0" w:space="0" w:color="auto"/>
      </w:divBdr>
    </w:div>
    <w:div w:id="171532493">
      <w:bodyDiv w:val="1"/>
      <w:marLeft w:val="0"/>
      <w:marRight w:val="0"/>
      <w:marTop w:val="0"/>
      <w:marBottom w:val="0"/>
      <w:divBdr>
        <w:top w:val="none" w:sz="0" w:space="0" w:color="auto"/>
        <w:left w:val="none" w:sz="0" w:space="0" w:color="auto"/>
        <w:bottom w:val="none" w:sz="0" w:space="0" w:color="auto"/>
        <w:right w:val="none" w:sz="0" w:space="0" w:color="auto"/>
      </w:divBdr>
    </w:div>
    <w:div w:id="278995778">
      <w:bodyDiv w:val="1"/>
      <w:marLeft w:val="0"/>
      <w:marRight w:val="0"/>
      <w:marTop w:val="0"/>
      <w:marBottom w:val="0"/>
      <w:divBdr>
        <w:top w:val="none" w:sz="0" w:space="0" w:color="auto"/>
        <w:left w:val="none" w:sz="0" w:space="0" w:color="auto"/>
        <w:bottom w:val="none" w:sz="0" w:space="0" w:color="auto"/>
        <w:right w:val="none" w:sz="0" w:space="0" w:color="auto"/>
      </w:divBdr>
    </w:div>
    <w:div w:id="290592668">
      <w:bodyDiv w:val="1"/>
      <w:marLeft w:val="0"/>
      <w:marRight w:val="0"/>
      <w:marTop w:val="0"/>
      <w:marBottom w:val="0"/>
      <w:divBdr>
        <w:top w:val="none" w:sz="0" w:space="0" w:color="auto"/>
        <w:left w:val="none" w:sz="0" w:space="0" w:color="auto"/>
        <w:bottom w:val="none" w:sz="0" w:space="0" w:color="auto"/>
        <w:right w:val="none" w:sz="0" w:space="0" w:color="auto"/>
      </w:divBdr>
    </w:div>
    <w:div w:id="385221973">
      <w:bodyDiv w:val="1"/>
      <w:marLeft w:val="0"/>
      <w:marRight w:val="0"/>
      <w:marTop w:val="0"/>
      <w:marBottom w:val="0"/>
      <w:divBdr>
        <w:top w:val="none" w:sz="0" w:space="0" w:color="auto"/>
        <w:left w:val="none" w:sz="0" w:space="0" w:color="auto"/>
        <w:bottom w:val="none" w:sz="0" w:space="0" w:color="auto"/>
        <w:right w:val="none" w:sz="0" w:space="0" w:color="auto"/>
      </w:divBdr>
    </w:div>
    <w:div w:id="447434515">
      <w:bodyDiv w:val="1"/>
      <w:marLeft w:val="0"/>
      <w:marRight w:val="0"/>
      <w:marTop w:val="0"/>
      <w:marBottom w:val="0"/>
      <w:divBdr>
        <w:top w:val="none" w:sz="0" w:space="0" w:color="auto"/>
        <w:left w:val="none" w:sz="0" w:space="0" w:color="auto"/>
        <w:bottom w:val="none" w:sz="0" w:space="0" w:color="auto"/>
        <w:right w:val="none" w:sz="0" w:space="0" w:color="auto"/>
      </w:divBdr>
    </w:div>
    <w:div w:id="491071584">
      <w:bodyDiv w:val="1"/>
      <w:marLeft w:val="0"/>
      <w:marRight w:val="0"/>
      <w:marTop w:val="0"/>
      <w:marBottom w:val="0"/>
      <w:divBdr>
        <w:top w:val="none" w:sz="0" w:space="0" w:color="auto"/>
        <w:left w:val="none" w:sz="0" w:space="0" w:color="auto"/>
        <w:bottom w:val="none" w:sz="0" w:space="0" w:color="auto"/>
        <w:right w:val="none" w:sz="0" w:space="0" w:color="auto"/>
      </w:divBdr>
    </w:div>
    <w:div w:id="585771483">
      <w:bodyDiv w:val="1"/>
      <w:marLeft w:val="0"/>
      <w:marRight w:val="0"/>
      <w:marTop w:val="0"/>
      <w:marBottom w:val="0"/>
      <w:divBdr>
        <w:top w:val="none" w:sz="0" w:space="0" w:color="auto"/>
        <w:left w:val="none" w:sz="0" w:space="0" w:color="auto"/>
        <w:bottom w:val="none" w:sz="0" w:space="0" w:color="auto"/>
        <w:right w:val="none" w:sz="0" w:space="0" w:color="auto"/>
      </w:divBdr>
    </w:div>
    <w:div w:id="690566994">
      <w:bodyDiv w:val="1"/>
      <w:marLeft w:val="0"/>
      <w:marRight w:val="0"/>
      <w:marTop w:val="0"/>
      <w:marBottom w:val="0"/>
      <w:divBdr>
        <w:top w:val="none" w:sz="0" w:space="0" w:color="auto"/>
        <w:left w:val="none" w:sz="0" w:space="0" w:color="auto"/>
        <w:bottom w:val="none" w:sz="0" w:space="0" w:color="auto"/>
        <w:right w:val="none" w:sz="0" w:space="0" w:color="auto"/>
      </w:divBdr>
    </w:div>
    <w:div w:id="699235878">
      <w:bodyDiv w:val="1"/>
      <w:marLeft w:val="0"/>
      <w:marRight w:val="0"/>
      <w:marTop w:val="0"/>
      <w:marBottom w:val="0"/>
      <w:divBdr>
        <w:top w:val="none" w:sz="0" w:space="0" w:color="auto"/>
        <w:left w:val="none" w:sz="0" w:space="0" w:color="auto"/>
        <w:bottom w:val="none" w:sz="0" w:space="0" w:color="auto"/>
        <w:right w:val="none" w:sz="0" w:space="0" w:color="auto"/>
      </w:divBdr>
    </w:div>
    <w:div w:id="741759929">
      <w:bodyDiv w:val="1"/>
      <w:marLeft w:val="0"/>
      <w:marRight w:val="0"/>
      <w:marTop w:val="0"/>
      <w:marBottom w:val="0"/>
      <w:divBdr>
        <w:top w:val="none" w:sz="0" w:space="0" w:color="auto"/>
        <w:left w:val="none" w:sz="0" w:space="0" w:color="auto"/>
        <w:bottom w:val="none" w:sz="0" w:space="0" w:color="auto"/>
        <w:right w:val="none" w:sz="0" w:space="0" w:color="auto"/>
      </w:divBdr>
    </w:div>
    <w:div w:id="781846050">
      <w:bodyDiv w:val="1"/>
      <w:marLeft w:val="0"/>
      <w:marRight w:val="0"/>
      <w:marTop w:val="0"/>
      <w:marBottom w:val="0"/>
      <w:divBdr>
        <w:top w:val="none" w:sz="0" w:space="0" w:color="auto"/>
        <w:left w:val="none" w:sz="0" w:space="0" w:color="auto"/>
        <w:bottom w:val="none" w:sz="0" w:space="0" w:color="auto"/>
        <w:right w:val="none" w:sz="0" w:space="0" w:color="auto"/>
      </w:divBdr>
    </w:div>
    <w:div w:id="782503585">
      <w:bodyDiv w:val="1"/>
      <w:marLeft w:val="0"/>
      <w:marRight w:val="0"/>
      <w:marTop w:val="0"/>
      <w:marBottom w:val="0"/>
      <w:divBdr>
        <w:top w:val="none" w:sz="0" w:space="0" w:color="auto"/>
        <w:left w:val="none" w:sz="0" w:space="0" w:color="auto"/>
        <w:bottom w:val="none" w:sz="0" w:space="0" w:color="auto"/>
        <w:right w:val="none" w:sz="0" w:space="0" w:color="auto"/>
      </w:divBdr>
      <w:divsChild>
        <w:div w:id="1662004545">
          <w:marLeft w:val="0"/>
          <w:marRight w:val="0"/>
          <w:marTop w:val="0"/>
          <w:marBottom w:val="0"/>
          <w:divBdr>
            <w:top w:val="none" w:sz="0" w:space="0" w:color="auto"/>
            <w:left w:val="none" w:sz="0" w:space="0" w:color="auto"/>
            <w:bottom w:val="none" w:sz="0" w:space="0" w:color="auto"/>
            <w:right w:val="none" w:sz="0" w:space="0" w:color="auto"/>
          </w:divBdr>
        </w:div>
      </w:divsChild>
    </w:div>
    <w:div w:id="932473630">
      <w:bodyDiv w:val="1"/>
      <w:marLeft w:val="0"/>
      <w:marRight w:val="0"/>
      <w:marTop w:val="0"/>
      <w:marBottom w:val="0"/>
      <w:divBdr>
        <w:top w:val="none" w:sz="0" w:space="0" w:color="auto"/>
        <w:left w:val="none" w:sz="0" w:space="0" w:color="auto"/>
        <w:bottom w:val="none" w:sz="0" w:space="0" w:color="auto"/>
        <w:right w:val="none" w:sz="0" w:space="0" w:color="auto"/>
      </w:divBdr>
    </w:div>
    <w:div w:id="978613731">
      <w:bodyDiv w:val="1"/>
      <w:marLeft w:val="0"/>
      <w:marRight w:val="0"/>
      <w:marTop w:val="0"/>
      <w:marBottom w:val="0"/>
      <w:divBdr>
        <w:top w:val="none" w:sz="0" w:space="0" w:color="auto"/>
        <w:left w:val="none" w:sz="0" w:space="0" w:color="auto"/>
        <w:bottom w:val="none" w:sz="0" w:space="0" w:color="auto"/>
        <w:right w:val="none" w:sz="0" w:space="0" w:color="auto"/>
      </w:divBdr>
    </w:div>
    <w:div w:id="1141191749">
      <w:bodyDiv w:val="1"/>
      <w:marLeft w:val="0"/>
      <w:marRight w:val="0"/>
      <w:marTop w:val="0"/>
      <w:marBottom w:val="0"/>
      <w:divBdr>
        <w:top w:val="none" w:sz="0" w:space="0" w:color="auto"/>
        <w:left w:val="none" w:sz="0" w:space="0" w:color="auto"/>
        <w:bottom w:val="none" w:sz="0" w:space="0" w:color="auto"/>
        <w:right w:val="none" w:sz="0" w:space="0" w:color="auto"/>
      </w:divBdr>
    </w:div>
    <w:div w:id="1226604138">
      <w:bodyDiv w:val="1"/>
      <w:marLeft w:val="0"/>
      <w:marRight w:val="0"/>
      <w:marTop w:val="0"/>
      <w:marBottom w:val="0"/>
      <w:divBdr>
        <w:top w:val="none" w:sz="0" w:space="0" w:color="auto"/>
        <w:left w:val="none" w:sz="0" w:space="0" w:color="auto"/>
        <w:bottom w:val="none" w:sz="0" w:space="0" w:color="auto"/>
        <w:right w:val="none" w:sz="0" w:space="0" w:color="auto"/>
      </w:divBdr>
    </w:div>
    <w:div w:id="1443763800">
      <w:bodyDiv w:val="1"/>
      <w:marLeft w:val="0"/>
      <w:marRight w:val="0"/>
      <w:marTop w:val="0"/>
      <w:marBottom w:val="0"/>
      <w:divBdr>
        <w:top w:val="none" w:sz="0" w:space="0" w:color="auto"/>
        <w:left w:val="none" w:sz="0" w:space="0" w:color="auto"/>
        <w:bottom w:val="none" w:sz="0" w:space="0" w:color="auto"/>
        <w:right w:val="none" w:sz="0" w:space="0" w:color="auto"/>
      </w:divBdr>
    </w:div>
    <w:div w:id="1460342401">
      <w:bodyDiv w:val="1"/>
      <w:marLeft w:val="0"/>
      <w:marRight w:val="0"/>
      <w:marTop w:val="0"/>
      <w:marBottom w:val="0"/>
      <w:divBdr>
        <w:top w:val="none" w:sz="0" w:space="0" w:color="auto"/>
        <w:left w:val="none" w:sz="0" w:space="0" w:color="auto"/>
        <w:bottom w:val="none" w:sz="0" w:space="0" w:color="auto"/>
        <w:right w:val="none" w:sz="0" w:space="0" w:color="auto"/>
      </w:divBdr>
    </w:div>
    <w:div w:id="1511093705">
      <w:bodyDiv w:val="1"/>
      <w:marLeft w:val="0"/>
      <w:marRight w:val="0"/>
      <w:marTop w:val="0"/>
      <w:marBottom w:val="0"/>
      <w:divBdr>
        <w:top w:val="none" w:sz="0" w:space="0" w:color="auto"/>
        <w:left w:val="none" w:sz="0" w:space="0" w:color="auto"/>
        <w:bottom w:val="none" w:sz="0" w:space="0" w:color="auto"/>
        <w:right w:val="none" w:sz="0" w:space="0" w:color="auto"/>
      </w:divBdr>
    </w:div>
    <w:div w:id="1527864088">
      <w:bodyDiv w:val="1"/>
      <w:marLeft w:val="0"/>
      <w:marRight w:val="0"/>
      <w:marTop w:val="0"/>
      <w:marBottom w:val="0"/>
      <w:divBdr>
        <w:top w:val="none" w:sz="0" w:space="0" w:color="auto"/>
        <w:left w:val="none" w:sz="0" w:space="0" w:color="auto"/>
        <w:bottom w:val="none" w:sz="0" w:space="0" w:color="auto"/>
        <w:right w:val="none" w:sz="0" w:space="0" w:color="auto"/>
      </w:divBdr>
    </w:div>
    <w:div w:id="1553273638">
      <w:bodyDiv w:val="1"/>
      <w:marLeft w:val="0"/>
      <w:marRight w:val="0"/>
      <w:marTop w:val="0"/>
      <w:marBottom w:val="0"/>
      <w:divBdr>
        <w:top w:val="none" w:sz="0" w:space="0" w:color="auto"/>
        <w:left w:val="none" w:sz="0" w:space="0" w:color="auto"/>
        <w:bottom w:val="none" w:sz="0" w:space="0" w:color="auto"/>
        <w:right w:val="none" w:sz="0" w:space="0" w:color="auto"/>
      </w:divBdr>
    </w:div>
    <w:div w:id="1702052465">
      <w:bodyDiv w:val="1"/>
      <w:marLeft w:val="0"/>
      <w:marRight w:val="0"/>
      <w:marTop w:val="0"/>
      <w:marBottom w:val="0"/>
      <w:divBdr>
        <w:top w:val="none" w:sz="0" w:space="0" w:color="auto"/>
        <w:left w:val="none" w:sz="0" w:space="0" w:color="auto"/>
        <w:bottom w:val="none" w:sz="0" w:space="0" w:color="auto"/>
        <w:right w:val="none" w:sz="0" w:space="0" w:color="auto"/>
      </w:divBdr>
    </w:div>
    <w:div w:id="1741825738">
      <w:bodyDiv w:val="1"/>
      <w:marLeft w:val="0"/>
      <w:marRight w:val="0"/>
      <w:marTop w:val="0"/>
      <w:marBottom w:val="0"/>
      <w:divBdr>
        <w:top w:val="none" w:sz="0" w:space="0" w:color="auto"/>
        <w:left w:val="none" w:sz="0" w:space="0" w:color="auto"/>
        <w:bottom w:val="none" w:sz="0" w:space="0" w:color="auto"/>
        <w:right w:val="none" w:sz="0" w:space="0" w:color="auto"/>
      </w:divBdr>
    </w:div>
    <w:div w:id="1779986430">
      <w:bodyDiv w:val="1"/>
      <w:marLeft w:val="0"/>
      <w:marRight w:val="0"/>
      <w:marTop w:val="0"/>
      <w:marBottom w:val="0"/>
      <w:divBdr>
        <w:top w:val="none" w:sz="0" w:space="0" w:color="auto"/>
        <w:left w:val="none" w:sz="0" w:space="0" w:color="auto"/>
        <w:bottom w:val="none" w:sz="0" w:space="0" w:color="auto"/>
        <w:right w:val="none" w:sz="0" w:space="0" w:color="auto"/>
      </w:divBdr>
    </w:div>
    <w:div w:id="1806503405">
      <w:bodyDiv w:val="1"/>
      <w:marLeft w:val="0"/>
      <w:marRight w:val="0"/>
      <w:marTop w:val="0"/>
      <w:marBottom w:val="0"/>
      <w:divBdr>
        <w:top w:val="none" w:sz="0" w:space="0" w:color="auto"/>
        <w:left w:val="none" w:sz="0" w:space="0" w:color="auto"/>
        <w:bottom w:val="none" w:sz="0" w:space="0" w:color="auto"/>
        <w:right w:val="none" w:sz="0" w:space="0" w:color="auto"/>
      </w:divBdr>
    </w:div>
    <w:div w:id="1885174938">
      <w:bodyDiv w:val="1"/>
      <w:marLeft w:val="0"/>
      <w:marRight w:val="0"/>
      <w:marTop w:val="0"/>
      <w:marBottom w:val="0"/>
      <w:divBdr>
        <w:top w:val="none" w:sz="0" w:space="0" w:color="auto"/>
        <w:left w:val="none" w:sz="0" w:space="0" w:color="auto"/>
        <w:bottom w:val="none" w:sz="0" w:space="0" w:color="auto"/>
        <w:right w:val="none" w:sz="0" w:space="0" w:color="auto"/>
      </w:divBdr>
    </w:div>
    <w:div w:id="2051613773">
      <w:bodyDiv w:val="1"/>
      <w:marLeft w:val="0"/>
      <w:marRight w:val="0"/>
      <w:marTop w:val="0"/>
      <w:marBottom w:val="0"/>
      <w:divBdr>
        <w:top w:val="none" w:sz="0" w:space="0" w:color="auto"/>
        <w:left w:val="none" w:sz="0" w:space="0" w:color="auto"/>
        <w:bottom w:val="none" w:sz="0" w:space="0" w:color="auto"/>
        <w:right w:val="none" w:sz="0" w:space="0" w:color="auto"/>
      </w:divBdr>
    </w:div>
    <w:div w:id="2074308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4A0336C7DC3E0F45ABB1D27EAA5B9CE9" ma:contentTypeVersion="" ma:contentTypeDescription="Crear nuevo documento." ma:contentTypeScope="" ma:versionID="4ce135793bc3da0d460faf9c57087bbb">
  <xsd:schema xmlns:xsd="http://www.w3.org/2001/XMLSchema" xmlns:xs="http://www.w3.org/2001/XMLSchema" xmlns:p="http://schemas.microsoft.com/office/2006/metadata/properties" xmlns:ns2="BAA92BB6-DC08-49CA-A1DF-66ADF831DDC1" xmlns:ns3="46c31bdf-0a45-4935-a8a6-0d358e08cfce" xmlns:ns4="baa92bb6-dc08-49ca-a1df-66adf831ddc1" targetNamespace="http://schemas.microsoft.com/office/2006/metadata/properties" ma:root="true" ma:fieldsID="f0e87ccc89a3d7f844d27135919f1ec9" ns2:_="" ns3:_="" ns4:_="">
    <xsd:import namespace="BAA92BB6-DC08-49CA-A1DF-66ADF831DDC1"/>
    <xsd:import namespace="46c31bdf-0a45-4935-a8a6-0d358e08cfce"/>
    <xsd:import namespace="baa92bb6-dc08-49ca-a1df-66adf831ddc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A92BB6-DC08-49CA-A1DF-66ADF831DD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c31bdf-0a45-4935-a8a6-0d358e08cfce"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a92bb6-dc08-49ca-a1df-66adf831ddc1" elementFormDefault="qualified">
    <xsd:import namespace="http://schemas.microsoft.com/office/2006/documentManagement/types"/>
    <xsd:import namespace="http://schemas.microsoft.com/office/infopath/2007/PartnerControls"/>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73B58F-CBE3-4DAF-A35E-EB9EAFA9D4B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977E5E5-F1E3-475F-A449-4127EF0C1563}">
  <ds:schemaRefs>
    <ds:schemaRef ds:uri="http://schemas.microsoft.com/sharepoint/v3/contenttype/forms"/>
  </ds:schemaRefs>
</ds:datastoreItem>
</file>

<file path=customXml/itemProps3.xml><?xml version="1.0" encoding="utf-8"?>
<ds:datastoreItem xmlns:ds="http://schemas.openxmlformats.org/officeDocument/2006/customXml" ds:itemID="{2A8A7191-EF2A-46FA-B6FF-2AFEBAEFE0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A92BB6-DC08-49CA-A1DF-66ADF831DDC1"/>
    <ds:schemaRef ds:uri="46c31bdf-0a45-4935-a8a6-0d358e08cfce"/>
    <ds:schemaRef ds:uri="baa92bb6-dc08-49ca-a1df-66adf831dd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639F1C-3859-4BC7-B60B-EEE8148F6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3601</Words>
  <Characters>19808</Characters>
  <Application>Microsoft Office Word</Application>
  <DocSecurity>4</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Comunidad de Madrid</Company>
  <LinksUpToDate>false</LinksUpToDate>
  <CharactersWithSpaces>23363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PACA</dc:creator>
  <cp:keywords/>
  <dc:description/>
  <cp:lastModifiedBy>Madrid Digital</cp:lastModifiedBy>
  <cp:revision>2</cp:revision>
  <cp:lastPrinted>2018-09-05T14:39:00Z</cp:lastPrinted>
  <dcterms:created xsi:type="dcterms:W3CDTF">2020-12-18T09:05:00Z</dcterms:created>
  <dcterms:modified xsi:type="dcterms:W3CDTF">2020-12-18T09:05:00Z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0x0101004A0336C7DC3E0F45ABB1D27EAA5B9CE9</vt:lpwstr>
  </property>
</Properties>
</file>