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929" w:rsidRDefault="00582929" w:rsidP="00C566E9">
      <w:pPr>
        <w:spacing w:after="0" w:line="240" w:lineRule="auto"/>
        <w:jc w:val="both"/>
        <w:rPr>
          <w:rFonts w:ascii="Arial" w:hAnsi="Arial" w:cs="Arial"/>
          <w:b/>
        </w:rPr>
      </w:pPr>
      <w:r w:rsidRPr="007A1D9B">
        <w:rPr>
          <w:rFonts w:ascii="Arial" w:hAnsi="Arial" w:cs="Arial"/>
          <w:b/>
        </w:rPr>
        <w:t>NOTA ACLARATORIA AL INFORME DE LA INTERVENCIÓN GENERAL DE 9 DE SEPTIEMBRE DE 2020. DISCREPANCIA APORTACIÓN EXTRAORDINARIA</w:t>
      </w:r>
      <w:r w:rsidR="00766A0D">
        <w:rPr>
          <w:rFonts w:ascii="Arial" w:hAnsi="Arial" w:cs="Arial"/>
          <w:b/>
        </w:rPr>
        <w:t xml:space="preserve"> </w:t>
      </w:r>
      <w:r w:rsidRPr="007A1D9B">
        <w:rPr>
          <w:rFonts w:ascii="Arial" w:hAnsi="Arial" w:cs="Arial"/>
          <w:b/>
        </w:rPr>
        <w:t>AL</w:t>
      </w:r>
      <w:r w:rsidR="00A434EE">
        <w:rPr>
          <w:rFonts w:ascii="Arial" w:hAnsi="Arial" w:cs="Arial"/>
          <w:b/>
        </w:rPr>
        <w:t xml:space="preserve"> </w:t>
      </w:r>
      <w:r w:rsidRPr="007A1D9B">
        <w:rPr>
          <w:rFonts w:ascii="Arial" w:hAnsi="Arial" w:cs="Arial"/>
          <w:b/>
        </w:rPr>
        <w:t>CO</w:t>
      </w:r>
      <w:r w:rsidR="00766A0D">
        <w:rPr>
          <w:rFonts w:ascii="Arial" w:hAnsi="Arial" w:cs="Arial"/>
          <w:b/>
        </w:rPr>
        <w:t>NSORCIO URBANÍ</w:t>
      </w:r>
      <w:r w:rsidRPr="007A1D9B">
        <w:rPr>
          <w:rFonts w:ascii="Arial" w:hAnsi="Arial" w:cs="Arial"/>
          <w:b/>
        </w:rPr>
        <w:t>STICO LA ESTACIÓN, EN LIQUIDACIÓN</w:t>
      </w:r>
    </w:p>
    <w:p w:rsidR="00A434EE" w:rsidRDefault="00A434EE" w:rsidP="00C566E9">
      <w:pPr>
        <w:spacing w:after="0" w:line="240" w:lineRule="auto"/>
        <w:jc w:val="both"/>
        <w:rPr>
          <w:rFonts w:ascii="Arial" w:hAnsi="Arial" w:cs="Arial"/>
          <w:b/>
        </w:rPr>
      </w:pPr>
    </w:p>
    <w:p w:rsidR="00C566E9" w:rsidRDefault="00C566E9" w:rsidP="00C566E9">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22"/>
          <w:szCs w:val="22"/>
        </w:rPr>
        <w:t>Modalidad de informe: Discrepancia</w:t>
      </w:r>
      <w:r>
        <w:rPr>
          <w:rStyle w:val="eop"/>
          <w:rFonts w:ascii="Arial" w:eastAsiaTheme="majorEastAsia" w:hAnsi="Arial" w:cs="Arial"/>
          <w:color w:val="000000"/>
          <w:sz w:val="22"/>
          <w:szCs w:val="22"/>
        </w:rPr>
        <w:t> </w:t>
      </w:r>
    </w:p>
    <w:p w:rsidR="00C566E9" w:rsidRDefault="00C566E9" w:rsidP="00C566E9">
      <w:pPr>
        <w:pStyle w:val="paragraph"/>
        <w:spacing w:before="0" w:beforeAutospacing="0" w:after="0" w:afterAutospacing="0"/>
        <w:jc w:val="both"/>
        <w:textAlignment w:val="baseline"/>
        <w:rPr>
          <w:rStyle w:val="normaltextrun"/>
          <w:rFonts w:ascii="Arial" w:hAnsi="Arial" w:cs="Arial"/>
          <w:b/>
          <w:bCs/>
          <w:color w:val="000000"/>
          <w:sz w:val="22"/>
          <w:szCs w:val="22"/>
        </w:rPr>
      </w:pPr>
      <w:r>
        <w:rPr>
          <w:rStyle w:val="normaltextrun"/>
          <w:rFonts w:ascii="Arial" w:hAnsi="Arial" w:cs="Arial"/>
          <w:b/>
          <w:bCs/>
          <w:color w:val="000000"/>
          <w:sz w:val="22"/>
          <w:szCs w:val="22"/>
        </w:rPr>
        <w:t>Área temática: Ejecución del gasto público</w:t>
      </w:r>
      <w:r w:rsidR="002D18E9">
        <w:rPr>
          <w:rStyle w:val="normaltextrun"/>
          <w:rFonts w:ascii="Arial" w:hAnsi="Arial" w:cs="Arial"/>
          <w:b/>
          <w:bCs/>
          <w:color w:val="000000"/>
          <w:sz w:val="22"/>
          <w:szCs w:val="22"/>
        </w:rPr>
        <w:t>. Procedimiento administrativo</w:t>
      </w:r>
    </w:p>
    <w:p w:rsidR="00C566E9" w:rsidRDefault="00C566E9" w:rsidP="00C566E9">
      <w:pPr>
        <w:pStyle w:val="paragraph"/>
        <w:spacing w:before="0" w:beforeAutospacing="0" w:after="0" w:afterAutospacing="0"/>
        <w:jc w:val="both"/>
        <w:textAlignment w:val="baseline"/>
        <w:rPr>
          <w:rStyle w:val="normaltextrun"/>
          <w:rFonts w:ascii="Arial" w:hAnsi="Arial" w:cs="Arial"/>
          <w:b/>
          <w:bCs/>
          <w:color w:val="000000"/>
          <w:sz w:val="22"/>
          <w:szCs w:val="22"/>
        </w:rPr>
      </w:pPr>
      <w:r>
        <w:rPr>
          <w:rStyle w:val="normaltextrun"/>
          <w:rFonts w:ascii="Arial" w:hAnsi="Arial" w:cs="Arial"/>
          <w:b/>
          <w:bCs/>
          <w:color w:val="000000"/>
          <w:sz w:val="22"/>
          <w:szCs w:val="22"/>
        </w:rPr>
        <w:t>Informe vigente </w:t>
      </w:r>
    </w:p>
    <w:p w:rsidR="00C566E9" w:rsidRPr="007A1D9B" w:rsidRDefault="00C566E9" w:rsidP="00C566E9">
      <w:pPr>
        <w:spacing w:after="0" w:line="240" w:lineRule="auto"/>
        <w:jc w:val="both"/>
        <w:rPr>
          <w:rFonts w:ascii="Arial" w:hAnsi="Arial" w:cs="Arial"/>
          <w:b/>
        </w:rPr>
      </w:pPr>
    </w:p>
    <w:p w:rsidR="00582929" w:rsidRPr="007A1D9B" w:rsidRDefault="00582929" w:rsidP="00C566E9">
      <w:pPr>
        <w:spacing w:after="0" w:line="240" w:lineRule="auto"/>
        <w:jc w:val="both"/>
        <w:rPr>
          <w:rFonts w:ascii="Arial" w:hAnsi="Arial" w:cs="Arial"/>
          <w:b/>
        </w:rPr>
      </w:pPr>
    </w:p>
    <w:p w:rsidR="004962A2" w:rsidRPr="004962A2" w:rsidRDefault="004962A2" w:rsidP="00C566E9">
      <w:pPr>
        <w:spacing w:after="0" w:line="240" w:lineRule="auto"/>
        <w:jc w:val="both"/>
        <w:rPr>
          <w:rFonts w:ascii="Arial" w:hAnsi="Arial" w:cs="Arial"/>
        </w:rPr>
      </w:pPr>
      <w:r w:rsidRPr="004962A2">
        <w:rPr>
          <w:rFonts w:ascii="Arial" w:hAnsi="Arial" w:cs="Arial"/>
        </w:rPr>
        <w:t xml:space="preserve">En el informe de la Intervención General de 9 de septiembre de 2020 en el que se resuelve la discrepancia consecuencia del reparo formulado por la Intervención Delegada en la Consejería sobre una propuesta de gasto de realización de una aportación extraordinaria por parte de la Comunidad de Madrid al Consorcio urbanístico “La Estación”, en liquidación, se establecen los </w:t>
      </w:r>
      <w:r w:rsidR="00E879CD">
        <w:rPr>
          <w:rFonts w:ascii="Arial" w:hAnsi="Arial" w:cs="Arial"/>
        </w:rPr>
        <w:t xml:space="preserve">siguientes </w:t>
      </w:r>
      <w:r w:rsidRPr="004962A2">
        <w:rPr>
          <w:rFonts w:ascii="Arial" w:hAnsi="Arial" w:cs="Arial"/>
        </w:rPr>
        <w:t xml:space="preserve">hitos </w:t>
      </w:r>
      <w:r w:rsidR="00E879CD">
        <w:rPr>
          <w:rFonts w:ascii="Arial" w:hAnsi="Arial" w:cs="Arial"/>
        </w:rPr>
        <w:t xml:space="preserve">dentro de la fase </w:t>
      </w:r>
      <w:r w:rsidR="00E23F8F">
        <w:rPr>
          <w:rFonts w:ascii="Arial" w:hAnsi="Arial" w:cs="Arial"/>
        </w:rPr>
        <w:t xml:space="preserve">inicial de </w:t>
      </w:r>
      <w:r w:rsidR="00E23F8F" w:rsidRPr="004962A2">
        <w:rPr>
          <w:rFonts w:ascii="Arial" w:hAnsi="Arial" w:cs="Arial"/>
        </w:rPr>
        <w:t>disolución</w:t>
      </w:r>
      <w:r w:rsidRPr="004962A2">
        <w:rPr>
          <w:rFonts w:ascii="Arial" w:hAnsi="Arial" w:cs="Arial"/>
        </w:rPr>
        <w:t xml:space="preserve"> de los consorcios urbanísticos</w:t>
      </w:r>
      <w:r w:rsidR="00E879CD">
        <w:rPr>
          <w:rFonts w:ascii="Arial" w:hAnsi="Arial" w:cs="Arial"/>
        </w:rPr>
        <w:t>:</w:t>
      </w:r>
      <w:r w:rsidRPr="004962A2">
        <w:rPr>
          <w:rFonts w:ascii="Arial" w:hAnsi="Arial" w:cs="Arial"/>
        </w:rPr>
        <w:t xml:space="preserve"> </w:t>
      </w:r>
    </w:p>
    <w:p w:rsidR="00A434EE" w:rsidRDefault="00A434EE" w:rsidP="004962A2">
      <w:pPr>
        <w:autoSpaceDE w:val="0"/>
        <w:autoSpaceDN w:val="0"/>
        <w:adjustRightInd w:val="0"/>
        <w:spacing w:after="0" w:line="240" w:lineRule="auto"/>
        <w:rPr>
          <w:rFonts w:ascii="Arial" w:hAnsi="Arial" w:cs="Arial"/>
        </w:rPr>
      </w:pPr>
    </w:p>
    <w:p w:rsidR="004962A2" w:rsidRPr="004962A2" w:rsidRDefault="004962A2" w:rsidP="004962A2">
      <w:pPr>
        <w:autoSpaceDE w:val="0"/>
        <w:autoSpaceDN w:val="0"/>
        <w:adjustRightInd w:val="0"/>
        <w:spacing w:after="0" w:line="240" w:lineRule="auto"/>
        <w:rPr>
          <w:rFonts w:ascii="Arial" w:hAnsi="Arial" w:cs="Arial"/>
        </w:rPr>
      </w:pPr>
      <w:r w:rsidRPr="004962A2">
        <w:rPr>
          <w:rFonts w:ascii="Arial" w:hAnsi="Arial" w:cs="Arial"/>
        </w:rPr>
        <w:t>1. Concurrencia de la causa de disolución</w:t>
      </w:r>
    </w:p>
    <w:p w:rsidR="004962A2" w:rsidRPr="004962A2" w:rsidRDefault="004962A2" w:rsidP="004962A2">
      <w:pPr>
        <w:autoSpaceDE w:val="0"/>
        <w:autoSpaceDN w:val="0"/>
        <w:adjustRightInd w:val="0"/>
        <w:spacing w:after="0" w:line="240" w:lineRule="auto"/>
        <w:rPr>
          <w:rFonts w:ascii="Arial" w:hAnsi="Arial" w:cs="Arial"/>
        </w:rPr>
      </w:pPr>
      <w:r w:rsidRPr="004962A2">
        <w:rPr>
          <w:rFonts w:ascii="Arial" w:hAnsi="Arial" w:cs="Arial"/>
        </w:rPr>
        <w:t>2. Acuerdo unánime de las entidades consorciadas (Acuerdo del Consejo de Gobierno y del Pleno del Ayuntamiento)</w:t>
      </w:r>
    </w:p>
    <w:p w:rsidR="004962A2" w:rsidRPr="004962A2" w:rsidRDefault="004962A2" w:rsidP="004962A2">
      <w:pPr>
        <w:autoSpaceDE w:val="0"/>
        <w:autoSpaceDN w:val="0"/>
        <w:adjustRightInd w:val="0"/>
        <w:spacing w:after="0" w:line="240" w:lineRule="auto"/>
        <w:rPr>
          <w:rFonts w:ascii="Arial" w:hAnsi="Arial" w:cs="Arial"/>
        </w:rPr>
      </w:pPr>
      <w:r w:rsidRPr="004962A2">
        <w:rPr>
          <w:rFonts w:ascii="Arial" w:hAnsi="Arial" w:cs="Arial"/>
        </w:rPr>
        <w:t>3. Acuerdo del Consejo de Administración</w:t>
      </w:r>
    </w:p>
    <w:p w:rsidR="004962A2" w:rsidRPr="004962A2" w:rsidRDefault="004962A2" w:rsidP="004962A2">
      <w:pPr>
        <w:rPr>
          <w:rFonts w:ascii="Arial" w:hAnsi="Arial" w:cs="Arial"/>
        </w:rPr>
      </w:pPr>
      <w:r w:rsidRPr="004962A2">
        <w:rPr>
          <w:rFonts w:ascii="Arial" w:hAnsi="Arial" w:cs="Arial"/>
        </w:rPr>
        <w:t>4. Publicación del Acuerdo en el BOCM</w:t>
      </w:r>
    </w:p>
    <w:p w:rsidR="004962A2" w:rsidRDefault="004962A2" w:rsidP="005460C3">
      <w:pPr>
        <w:rPr>
          <w:rFonts w:ascii="Arial" w:hAnsi="Arial" w:cs="Arial"/>
        </w:rPr>
      </w:pPr>
    </w:p>
    <w:p w:rsidR="00E879CD" w:rsidRDefault="00E879CD" w:rsidP="00E879CD">
      <w:pPr>
        <w:jc w:val="both"/>
        <w:rPr>
          <w:rFonts w:ascii="Arial" w:hAnsi="Arial" w:cs="Arial"/>
        </w:rPr>
      </w:pPr>
      <w:r>
        <w:rPr>
          <w:rFonts w:ascii="Arial" w:hAnsi="Arial" w:cs="Arial"/>
        </w:rPr>
        <w:t>Se ha solicitado</w:t>
      </w:r>
      <w:r w:rsidR="005A1573">
        <w:rPr>
          <w:rFonts w:ascii="Arial" w:hAnsi="Arial" w:cs="Arial"/>
        </w:rPr>
        <w:t xml:space="preserve"> en la reunión celebrada </w:t>
      </w:r>
      <w:r>
        <w:rPr>
          <w:rFonts w:ascii="Arial" w:hAnsi="Arial" w:cs="Arial"/>
        </w:rPr>
        <w:t>el 17 de s</w:t>
      </w:r>
      <w:r w:rsidR="00D652F1">
        <w:rPr>
          <w:rFonts w:ascii="Arial" w:hAnsi="Arial" w:cs="Arial"/>
        </w:rPr>
        <w:t xml:space="preserve">eptiembre </w:t>
      </w:r>
      <w:r>
        <w:rPr>
          <w:rFonts w:ascii="Arial" w:hAnsi="Arial" w:cs="Arial"/>
        </w:rPr>
        <w:t>con representante</w:t>
      </w:r>
      <w:r w:rsidR="00E23F8F">
        <w:rPr>
          <w:rFonts w:ascii="Arial" w:hAnsi="Arial" w:cs="Arial"/>
        </w:rPr>
        <w:t>s</w:t>
      </w:r>
      <w:r>
        <w:rPr>
          <w:rFonts w:ascii="Arial" w:hAnsi="Arial" w:cs="Arial"/>
        </w:rPr>
        <w:t xml:space="preserve"> de la Consejería que </w:t>
      </w:r>
      <w:r w:rsidR="005A1573">
        <w:rPr>
          <w:rFonts w:ascii="Arial" w:hAnsi="Arial" w:cs="Arial"/>
        </w:rPr>
        <w:t>se aclare el contenido del punto 2, esto es</w:t>
      </w:r>
      <w:r>
        <w:rPr>
          <w:rFonts w:ascii="Arial" w:hAnsi="Arial" w:cs="Arial"/>
        </w:rPr>
        <w:t>, el sentido del “A</w:t>
      </w:r>
      <w:r w:rsidR="005A1573">
        <w:rPr>
          <w:rFonts w:ascii="Arial" w:hAnsi="Arial" w:cs="Arial"/>
        </w:rPr>
        <w:t>cuerdo unánime de las entidades consorciadas</w:t>
      </w:r>
      <w:r w:rsidRPr="00E879CD">
        <w:rPr>
          <w:rFonts w:ascii="Arial" w:hAnsi="Arial" w:cs="Arial"/>
        </w:rPr>
        <w:t xml:space="preserve"> (Acuerdo del Consejo de Gobierno y del Pleno del Ayuntamiento)</w:t>
      </w:r>
      <w:r>
        <w:rPr>
          <w:rFonts w:ascii="Arial" w:hAnsi="Arial" w:cs="Arial"/>
        </w:rPr>
        <w:t>”.</w:t>
      </w:r>
    </w:p>
    <w:p w:rsidR="00E879CD" w:rsidRDefault="00E879CD" w:rsidP="00E879CD">
      <w:pPr>
        <w:jc w:val="both"/>
        <w:rPr>
          <w:rFonts w:ascii="Arial" w:hAnsi="Arial" w:cs="Arial"/>
        </w:rPr>
      </w:pPr>
      <w:r>
        <w:rPr>
          <w:rFonts w:ascii="Arial" w:hAnsi="Arial" w:cs="Arial"/>
        </w:rPr>
        <w:t xml:space="preserve">Se solicita la aclaración por la dificultad que pudiera ocasionarse si lo que se requiere es que el Acuerdo de los órganos de gobierno de los entes consorciados, y en concreto el de los Plenos de los Ayuntamientos que </w:t>
      </w:r>
      <w:r w:rsidR="00794324">
        <w:rPr>
          <w:rFonts w:ascii="Arial" w:hAnsi="Arial" w:cs="Arial"/>
        </w:rPr>
        <w:t>autoricen la disolución del C</w:t>
      </w:r>
      <w:r>
        <w:rPr>
          <w:rFonts w:ascii="Arial" w:hAnsi="Arial" w:cs="Arial"/>
        </w:rPr>
        <w:t>onsorcio</w:t>
      </w:r>
      <w:r w:rsidR="00794324">
        <w:rPr>
          <w:rFonts w:ascii="Arial" w:hAnsi="Arial" w:cs="Arial"/>
        </w:rPr>
        <w:t>,</w:t>
      </w:r>
      <w:r>
        <w:rPr>
          <w:rFonts w:ascii="Arial" w:hAnsi="Arial" w:cs="Arial"/>
        </w:rPr>
        <w:t xml:space="preserve"> tenga que ser</w:t>
      </w:r>
      <w:r w:rsidR="00794324">
        <w:rPr>
          <w:rFonts w:ascii="Arial" w:hAnsi="Arial" w:cs="Arial"/>
        </w:rPr>
        <w:t xml:space="preserve"> adoptado</w:t>
      </w:r>
      <w:r>
        <w:rPr>
          <w:rFonts w:ascii="Arial" w:hAnsi="Arial" w:cs="Arial"/>
        </w:rPr>
        <w:t xml:space="preserve"> por unanimidad.</w:t>
      </w:r>
    </w:p>
    <w:p w:rsidR="00794324" w:rsidRDefault="00794324" w:rsidP="00E879CD">
      <w:pPr>
        <w:jc w:val="both"/>
        <w:rPr>
          <w:rFonts w:ascii="Arial" w:hAnsi="Arial" w:cs="Arial"/>
        </w:rPr>
      </w:pPr>
      <w:r>
        <w:rPr>
          <w:rFonts w:ascii="Arial" w:hAnsi="Arial" w:cs="Arial"/>
        </w:rPr>
        <w:t xml:space="preserve">También se solicita aclaración de cuál debería ser el orden de actuaciones a seguir, por entender la Consejería que el Acuerdo de disolución del Consorcio por el Consejo de Administración debe tener carácter previo al </w:t>
      </w:r>
      <w:proofErr w:type="gramStart"/>
      <w:r>
        <w:rPr>
          <w:rFonts w:ascii="Arial" w:hAnsi="Arial" w:cs="Arial"/>
        </w:rPr>
        <w:t>Acuerdo</w:t>
      </w:r>
      <w:r w:rsidR="00E23F8F">
        <w:rPr>
          <w:rFonts w:ascii="Arial" w:hAnsi="Arial" w:cs="Arial"/>
        </w:rPr>
        <w:t xml:space="preserve"> </w:t>
      </w:r>
      <w:r w:rsidRPr="007A1D9B">
        <w:rPr>
          <w:rFonts w:ascii="Arial" w:hAnsi="Arial" w:cs="Arial"/>
          <w:i/>
        </w:rPr>
        <w:t>”unánime</w:t>
      </w:r>
      <w:proofErr w:type="gramEnd"/>
      <w:r w:rsidRPr="007A1D9B">
        <w:rPr>
          <w:rFonts w:ascii="Arial" w:hAnsi="Arial" w:cs="Arial"/>
          <w:i/>
        </w:rPr>
        <w:t>”</w:t>
      </w:r>
      <w:r w:rsidR="00E23F8F">
        <w:rPr>
          <w:rFonts w:ascii="Arial" w:hAnsi="Arial" w:cs="Arial"/>
        </w:rPr>
        <w:t xml:space="preserve"> </w:t>
      </w:r>
      <w:r>
        <w:rPr>
          <w:rFonts w:ascii="Arial" w:hAnsi="Arial" w:cs="Arial"/>
        </w:rPr>
        <w:t>de los órganos de gobierno del ente consorciado.</w:t>
      </w:r>
    </w:p>
    <w:p w:rsidR="00794324" w:rsidRDefault="00794324" w:rsidP="00E879CD">
      <w:pPr>
        <w:jc w:val="both"/>
        <w:rPr>
          <w:rFonts w:ascii="Arial" w:hAnsi="Arial" w:cs="Arial"/>
        </w:rPr>
      </w:pPr>
      <w:r>
        <w:rPr>
          <w:rFonts w:ascii="Arial" w:hAnsi="Arial" w:cs="Arial"/>
        </w:rPr>
        <w:t xml:space="preserve">Empezando por esta última cuestión, </w:t>
      </w:r>
      <w:r w:rsidR="00E23F8F">
        <w:rPr>
          <w:rFonts w:ascii="Arial" w:hAnsi="Arial" w:cs="Arial"/>
        </w:rPr>
        <w:t xml:space="preserve">entendemos que, si bien es el </w:t>
      </w:r>
      <w:r>
        <w:rPr>
          <w:rFonts w:ascii="Arial" w:hAnsi="Arial" w:cs="Arial"/>
        </w:rPr>
        <w:t xml:space="preserve">Consejo de Administración del Consorcio el que </w:t>
      </w:r>
      <w:r w:rsidR="00E23F8F">
        <w:rPr>
          <w:rFonts w:ascii="Arial" w:hAnsi="Arial" w:cs="Arial"/>
        </w:rPr>
        <w:t xml:space="preserve">en un primer momento puede apreciar la concurrencia de las causas establecidas en la normativa para iniciar el procedimiento de disolución del ente, antes de adoptar el Acuerdo de disolución, deberá elevar la </w:t>
      </w:r>
      <w:r w:rsidR="00E23F8F" w:rsidRPr="00E23F8F">
        <w:rPr>
          <w:rFonts w:ascii="Arial" w:hAnsi="Arial" w:cs="Arial"/>
          <w:b/>
        </w:rPr>
        <w:t>propuesta de disolución</w:t>
      </w:r>
      <w:r w:rsidR="00E23F8F">
        <w:rPr>
          <w:rFonts w:ascii="Arial" w:hAnsi="Arial" w:cs="Arial"/>
        </w:rPr>
        <w:t xml:space="preserve"> a aprobación previa de los órganos de gobierno de los entes consorciados, en nuestro caso al Consejo de Gobierno</w:t>
      </w:r>
      <w:r w:rsidR="001678B2">
        <w:rPr>
          <w:rStyle w:val="Refdenotaalpie"/>
          <w:rFonts w:ascii="Arial" w:hAnsi="Arial" w:cs="Arial"/>
        </w:rPr>
        <w:footnoteReference w:id="1"/>
      </w:r>
      <w:r w:rsidR="00E23F8F">
        <w:rPr>
          <w:rFonts w:ascii="Arial" w:hAnsi="Arial" w:cs="Arial"/>
        </w:rPr>
        <w:t xml:space="preserve"> y el Ayuntamiento al Pleno. </w:t>
      </w:r>
    </w:p>
    <w:p w:rsidR="004679AE" w:rsidRDefault="004679AE" w:rsidP="00E879CD">
      <w:pPr>
        <w:jc w:val="both"/>
        <w:rPr>
          <w:rFonts w:ascii="Arial" w:hAnsi="Arial" w:cs="Arial"/>
        </w:rPr>
      </w:pPr>
      <w:r>
        <w:rPr>
          <w:rFonts w:ascii="Arial" w:hAnsi="Arial" w:cs="Arial"/>
        </w:rPr>
        <w:t>Recabadas dichas autorizaciones o acuerdos previos, el Consejo de Administración del ente procederá a adoptar el acuerdo de disolución y a su publicación</w:t>
      </w:r>
      <w:r w:rsidR="00582929">
        <w:rPr>
          <w:rFonts w:ascii="Arial" w:hAnsi="Arial" w:cs="Arial"/>
        </w:rPr>
        <w:t>.</w:t>
      </w:r>
    </w:p>
    <w:p w:rsidR="004679AE" w:rsidRDefault="001678B2" w:rsidP="00FC6A35">
      <w:pPr>
        <w:jc w:val="both"/>
        <w:rPr>
          <w:rFonts w:ascii="Arial" w:hAnsi="Arial" w:cs="Arial"/>
        </w:rPr>
      </w:pPr>
      <w:r>
        <w:rPr>
          <w:rFonts w:ascii="Arial" w:hAnsi="Arial" w:cs="Arial"/>
        </w:rPr>
        <w:lastRenderedPageBreak/>
        <w:t xml:space="preserve">Respecto al análisis de cuál debe ser la mayoría exigida para los acuerdos que se adopten en los Plenos de los Ayuntamientos para autorizar la disolución del Consorcio, </w:t>
      </w:r>
      <w:r w:rsidR="004679AE">
        <w:rPr>
          <w:rFonts w:ascii="Arial" w:hAnsi="Arial" w:cs="Arial"/>
        </w:rPr>
        <w:t xml:space="preserve">no ha sido objeto de análisis en el informe por no afectar en principio al procedimiento que debe seguir la Comunidad de Madrid. </w:t>
      </w:r>
    </w:p>
    <w:p w:rsidR="004679AE" w:rsidRPr="004679AE" w:rsidRDefault="004679AE" w:rsidP="00582929">
      <w:pPr>
        <w:jc w:val="both"/>
        <w:rPr>
          <w:rFonts w:ascii="Arial" w:hAnsi="Arial" w:cs="Arial"/>
        </w:rPr>
      </w:pPr>
      <w:r>
        <w:rPr>
          <w:rFonts w:ascii="Arial" w:hAnsi="Arial" w:cs="Arial"/>
        </w:rPr>
        <w:t xml:space="preserve">No obstante, para su </w:t>
      </w:r>
      <w:r w:rsidR="00582929">
        <w:rPr>
          <w:rFonts w:ascii="Arial" w:hAnsi="Arial" w:cs="Arial"/>
        </w:rPr>
        <w:t xml:space="preserve">análisis </w:t>
      </w:r>
      <w:r w:rsidR="001678B2">
        <w:rPr>
          <w:rFonts w:ascii="Arial" w:hAnsi="Arial" w:cs="Arial"/>
        </w:rPr>
        <w:t>debemos acudir a la normativa de ámbito local y en concre</w:t>
      </w:r>
      <w:r>
        <w:rPr>
          <w:rFonts w:ascii="Arial" w:hAnsi="Arial" w:cs="Arial"/>
        </w:rPr>
        <w:t>to al artículo 47 2 g) de la</w:t>
      </w:r>
      <w:r w:rsidR="001678B2">
        <w:rPr>
          <w:rFonts w:ascii="Arial" w:hAnsi="Arial" w:cs="Arial"/>
        </w:rPr>
        <w:t xml:space="preserve"> </w:t>
      </w:r>
      <w:r w:rsidRPr="004679AE">
        <w:rPr>
          <w:rFonts w:ascii="Arial" w:hAnsi="Arial" w:cs="Arial"/>
        </w:rPr>
        <w:t>Ley</w:t>
      </w:r>
      <w:r w:rsidR="007A1D9B">
        <w:rPr>
          <w:rFonts w:ascii="Arial" w:hAnsi="Arial" w:cs="Arial"/>
        </w:rPr>
        <w:t xml:space="preserve"> </w:t>
      </w:r>
      <w:r w:rsidRPr="004679AE">
        <w:rPr>
          <w:rFonts w:ascii="Arial" w:hAnsi="Arial" w:cs="Arial"/>
        </w:rPr>
        <w:t>7/1985, de 2 de abril, Reguladora</w:t>
      </w:r>
      <w:r w:rsidR="00582929">
        <w:rPr>
          <w:rFonts w:ascii="Arial" w:hAnsi="Arial" w:cs="Arial"/>
        </w:rPr>
        <w:t xml:space="preserve"> de las Bases del Régimen Local, que establece:</w:t>
      </w:r>
    </w:p>
    <w:p w:rsidR="001678B2" w:rsidRPr="004962A2" w:rsidRDefault="001678B2" w:rsidP="00FC6A35">
      <w:pPr>
        <w:jc w:val="both"/>
        <w:rPr>
          <w:rFonts w:ascii="Arial" w:hAnsi="Arial" w:cs="Arial"/>
        </w:rPr>
      </w:pPr>
    </w:p>
    <w:p w:rsidR="001678B2" w:rsidRDefault="001678B2" w:rsidP="00582929">
      <w:pPr>
        <w:jc w:val="both"/>
        <w:rPr>
          <w:rFonts w:ascii="Arial" w:hAnsi="Arial" w:cs="Arial"/>
          <w:i/>
        </w:rPr>
      </w:pPr>
      <w:r>
        <w:rPr>
          <w:rFonts w:ascii="Arial" w:hAnsi="Arial" w:cs="Arial"/>
          <w:i/>
        </w:rPr>
        <w:t>Artículo 47</w:t>
      </w:r>
    </w:p>
    <w:p w:rsidR="005460C3" w:rsidRPr="001678B2" w:rsidRDefault="001678B2" w:rsidP="00582929">
      <w:pPr>
        <w:jc w:val="both"/>
        <w:rPr>
          <w:rFonts w:ascii="Arial" w:hAnsi="Arial" w:cs="Arial"/>
          <w:i/>
        </w:rPr>
      </w:pPr>
      <w:r>
        <w:rPr>
          <w:rFonts w:ascii="Arial" w:hAnsi="Arial" w:cs="Arial"/>
          <w:i/>
        </w:rPr>
        <w:t xml:space="preserve">2. </w:t>
      </w:r>
      <w:r w:rsidRPr="001678B2">
        <w:rPr>
          <w:rFonts w:ascii="Arial" w:hAnsi="Arial" w:cs="Arial"/>
          <w:i/>
        </w:rPr>
        <w:t>Se requiere el voto favorable de la mayoría absoluta del número legal de miembros de las corporaciones para la adopción de acuerdos en las siguientes materias</w:t>
      </w:r>
      <w:r>
        <w:rPr>
          <w:rFonts w:ascii="Arial" w:hAnsi="Arial" w:cs="Arial"/>
          <w:i/>
        </w:rPr>
        <w:t>:</w:t>
      </w:r>
    </w:p>
    <w:p w:rsidR="005460C3" w:rsidRDefault="001678B2" w:rsidP="00582929">
      <w:pPr>
        <w:jc w:val="both"/>
        <w:rPr>
          <w:rFonts w:ascii="Arial" w:hAnsi="Arial" w:cs="Arial"/>
          <w:i/>
        </w:rPr>
      </w:pPr>
      <w:r>
        <w:rPr>
          <w:rFonts w:ascii="Arial" w:hAnsi="Arial" w:cs="Arial"/>
          <w:i/>
        </w:rPr>
        <w:t>g)</w:t>
      </w:r>
      <w:r w:rsidRPr="001678B2">
        <w:rPr>
          <w:rFonts w:ascii="Verdana" w:hAnsi="Verdana"/>
          <w:color w:val="000000"/>
          <w:shd w:val="clear" w:color="auto" w:fill="FFFFFF"/>
        </w:rPr>
        <w:t xml:space="preserve"> </w:t>
      </w:r>
      <w:r w:rsidRPr="001678B2">
        <w:rPr>
          <w:rFonts w:ascii="Arial" w:hAnsi="Arial" w:cs="Arial"/>
          <w:i/>
        </w:rPr>
        <w:t xml:space="preserve">Creación, modificación o disolución de mancomunidades u otras </w:t>
      </w:r>
      <w:r w:rsidRPr="001678B2">
        <w:rPr>
          <w:rFonts w:ascii="Arial" w:hAnsi="Arial" w:cs="Arial"/>
          <w:b/>
          <w:i/>
        </w:rPr>
        <w:t>organizaciones asociativas</w:t>
      </w:r>
      <w:r w:rsidRPr="001678B2">
        <w:rPr>
          <w:rFonts w:ascii="Arial" w:hAnsi="Arial" w:cs="Arial"/>
          <w:i/>
        </w:rPr>
        <w:t>, así como la adhesión a las mismas y la aprobación y modificación de sus estatutos</w:t>
      </w:r>
      <w:r>
        <w:rPr>
          <w:rFonts w:ascii="Arial" w:hAnsi="Arial" w:cs="Arial"/>
          <w:i/>
        </w:rPr>
        <w:t>.</w:t>
      </w:r>
    </w:p>
    <w:p w:rsidR="00582929" w:rsidRPr="00582929" w:rsidRDefault="00582929" w:rsidP="00582929">
      <w:pPr>
        <w:jc w:val="both"/>
        <w:rPr>
          <w:rFonts w:ascii="Arial" w:hAnsi="Arial" w:cs="Arial"/>
        </w:rPr>
      </w:pPr>
      <w:r>
        <w:rPr>
          <w:rFonts w:ascii="Arial" w:hAnsi="Arial" w:cs="Arial"/>
        </w:rPr>
        <w:t>Entendemos, salvo mejor criterio fundado en derecho, que los consorcios urbanísticos gozan de esta naturaleza asociativa, y por tanto para su disolución los acuerdos de Pleno de los Ayuntamientos debieran adoptar su autorización con carácter previo con esas mayorías.</w:t>
      </w:r>
    </w:p>
    <w:p w:rsidR="001678B2" w:rsidRDefault="00582929" w:rsidP="004679AE">
      <w:pPr>
        <w:jc w:val="both"/>
        <w:rPr>
          <w:rFonts w:ascii="Arial" w:hAnsi="Arial" w:cs="Arial"/>
        </w:rPr>
      </w:pPr>
      <w:r>
        <w:rPr>
          <w:rFonts w:ascii="Arial" w:hAnsi="Arial" w:cs="Arial"/>
        </w:rPr>
        <w:t>Por último, c</w:t>
      </w:r>
      <w:r w:rsidR="001678B2">
        <w:rPr>
          <w:rFonts w:ascii="Arial" w:hAnsi="Arial" w:cs="Arial"/>
        </w:rPr>
        <w:t xml:space="preserve">uando en el </w:t>
      </w:r>
      <w:r>
        <w:rPr>
          <w:rFonts w:ascii="Arial" w:hAnsi="Arial" w:cs="Arial"/>
        </w:rPr>
        <w:t xml:space="preserve">informe de la IG se alude </w:t>
      </w:r>
      <w:r w:rsidR="001678B2">
        <w:rPr>
          <w:rFonts w:ascii="Arial" w:hAnsi="Arial" w:cs="Arial"/>
        </w:rPr>
        <w:t xml:space="preserve"> al acuerdo </w:t>
      </w:r>
      <w:r w:rsidR="001678B2" w:rsidRPr="004679AE">
        <w:rPr>
          <w:rFonts w:ascii="Arial" w:hAnsi="Arial" w:cs="Arial"/>
          <w:i/>
        </w:rPr>
        <w:t>unánime</w:t>
      </w:r>
      <w:r w:rsidR="001678B2">
        <w:rPr>
          <w:rFonts w:ascii="Arial" w:hAnsi="Arial" w:cs="Arial"/>
        </w:rPr>
        <w:t xml:space="preserve"> de las entidades consorciadas</w:t>
      </w:r>
      <w:r>
        <w:rPr>
          <w:rFonts w:ascii="Arial" w:hAnsi="Arial" w:cs="Arial"/>
        </w:rPr>
        <w:t>,</w:t>
      </w:r>
      <w:r w:rsidR="001678B2">
        <w:rPr>
          <w:rFonts w:ascii="Arial" w:hAnsi="Arial" w:cs="Arial"/>
        </w:rPr>
        <w:t xml:space="preserve"> no se está refiriendo a la mayoría necesaria para adoptar los acuerdos previos  de autorización  </w:t>
      </w:r>
      <w:r w:rsidR="004679AE">
        <w:rPr>
          <w:rFonts w:ascii="Arial" w:hAnsi="Arial" w:cs="Arial"/>
        </w:rPr>
        <w:t xml:space="preserve">de los entes consorciados para que se produzca la disolución, sino </w:t>
      </w:r>
      <w:r w:rsidR="001C0B2C">
        <w:rPr>
          <w:rFonts w:ascii="Arial" w:hAnsi="Arial" w:cs="Arial"/>
        </w:rPr>
        <w:t xml:space="preserve">a </w:t>
      </w:r>
      <w:r w:rsidR="004679AE">
        <w:rPr>
          <w:rFonts w:ascii="Arial" w:hAnsi="Arial" w:cs="Arial"/>
        </w:rPr>
        <w:t>que todos los miembros de</w:t>
      </w:r>
      <w:r w:rsidR="001C0B2C">
        <w:rPr>
          <w:rFonts w:ascii="Arial" w:hAnsi="Arial" w:cs="Arial"/>
        </w:rPr>
        <w:t>l C</w:t>
      </w:r>
      <w:r w:rsidR="004679AE">
        <w:rPr>
          <w:rFonts w:ascii="Arial" w:hAnsi="Arial" w:cs="Arial"/>
        </w:rPr>
        <w:t>onsorcio</w:t>
      </w:r>
      <w:r w:rsidR="007A1D9B">
        <w:rPr>
          <w:rFonts w:ascii="Arial" w:hAnsi="Arial" w:cs="Arial"/>
        </w:rPr>
        <w:t xml:space="preserve"> deben estar</w:t>
      </w:r>
      <w:r w:rsidR="004679AE">
        <w:rPr>
          <w:rFonts w:ascii="Arial" w:hAnsi="Arial" w:cs="Arial"/>
        </w:rPr>
        <w:t xml:space="preserve"> de acuerdo para que se proceda a la disolución, o dicho otra manera, tanto el Ayuntamiento como la Comunidad de Madrid deben de autorizar con carácter previo la disolución, sin que baste la voluntad de disolver el ente únicamente de una de las dos partes.</w:t>
      </w:r>
    </w:p>
    <w:p w:rsidR="003E5ADC" w:rsidRDefault="003E5ADC" w:rsidP="004679AE">
      <w:pPr>
        <w:jc w:val="both"/>
        <w:rPr>
          <w:rFonts w:ascii="Arial" w:hAnsi="Arial" w:cs="Arial"/>
        </w:rPr>
      </w:pPr>
    </w:p>
    <w:p w:rsidR="003E5ADC" w:rsidRPr="001678B2" w:rsidRDefault="003E5ADC" w:rsidP="004679AE">
      <w:pPr>
        <w:jc w:val="both"/>
        <w:rPr>
          <w:rFonts w:ascii="Arial" w:hAnsi="Arial" w:cs="Arial"/>
        </w:rPr>
      </w:pPr>
      <w:r>
        <w:rPr>
          <w:rFonts w:ascii="Arial" w:hAnsi="Arial" w:cs="Arial"/>
        </w:rPr>
        <w:t>M</w:t>
      </w:r>
      <w:r w:rsidR="00334B99">
        <w:rPr>
          <w:rFonts w:ascii="Arial" w:hAnsi="Arial" w:cs="Arial"/>
        </w:rPr>
        <w:t>adrid 17 de septiembre de 2020.</w:t>
      </w:r>
    </w:p>
    <w:sectPr w:rsidR="003E5ADC" w:rsidRPr="001678B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5C73" w:rsidRDefault="00E55C73" w:rsidP="001678B2">
      <w:pPr>
        <w:spacing w:after="0" w:line="240" w:lineRule="auto"/>
      </w:pPr>
      <w:r>
        <w:separator/>
      </w:r>
    </w:p>
  </w:endnote>
  <w:endnote w:type="continuationSeparator" w:id="0">
    <w:p w:rsidR="00E55C73" w:rsidRDefault="00E55C73" w:rsidP="00167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5C73" w:rsidRDefault="00E55C73" w:rsidP="001678B2">
      <w:pPr>
        <w:spacing w:after="0" w:line="240" w:lineRule="auto"/>
      </w:pPr>
      <w:r>
        <w:separator/>
      </w:r>
    </w:p>
  </w:footnote>
  <w:footnote w:type="continuationSeparator" w:id="0">
    <w:p w:rsidR="00E55C73" w:rsidRDefault="00E55C73" w:rsidP="001678B2">
      <w:pPr>
        <w:spacing w:after="0" w:line="240" w:lineRule="auto"/>
      </w:pPr>
      <w:r>
        <w:continuationSeparator/>
      </w:r>
    </w:p>
  </w:footnote>
  <w:footnote w:id="1">
    <w:p w:rsidR="001678B2" w:rsidRPr="001E03ED" w:rsidRDefault="001678B2" w:rsidP="001678B2">
      <w:pPr>
        <w:jc w:val="both"/>
        <w:rPr>
          <w:rFonts w:ascii="Arial" w:hAnsi="Arial" w:cs="Arial"/>
          <w:sz w:val="20"/>
          <w:szCs w:val="20"/>
        </w:rPr>
      </w:pPr>
      <w:r>
        <w:rPr>
          <w:rStyle w:val="Refdenotaalpie"/>
        </w:rPr>
        <w:footnoteRef/>
      </w:r>
      <w:r>
        <w:t xml:space="preserve"> </w:t>
      </w:r>
      <w:r w:rsidRPr="001E03ED">
        <w:rPr>
          <w:rFonts w:ascii="Arial" w:hAnsi="Arial" w:cs="Arial"/>
          <w:sz w:val="20"/>
          <w:szCs w:val="20"/>
        </w:rPr>
        <w:t xml:space="preserve">En este sentido, por aplicación analógica del procedimiento establecido en la Ley 1/1984, de 19 de enero, reguladora de la Administración institucional de la Comunidad de Madrid, para la constitución y disolución de sociedades mercantiles (artículo 64.1), se requiere dicha </w:t>
      </w:r>
      <w:r w:rsidRPr="001E03ED">
        <w:rPr>
          <w:rFonts w:ascii="Arial" w:hAnsi="Arial" w:cs="Arial"/>
          <w:b/>
          <w:sz w:val="20"/>
          <w:szCs w:val="20"/>
        </w:rPr>
        <w:t>autorización previa por Acuerdo del Gobierno</w:t>
      </w:r>
      <w:r w:rsidRPr="001E03ED">
        <w:rPr>
          <w:rFonts w:ascii="Arial" w:hAnsi="Arial" w:cs="Arial"/>
          <w:sz w:val="20"/>
          <w:szCs w:val="20"/>
        </w:rPr>
        <w:t>.</w:t>
      </w:r>
    </w:p>
    <w:p w:rsidR="001678B2" w:rsidRDefault="001678B2">
      <w:pPr>
        <w:pStyle w:val="Textonotapie"/>
      </w:pPr>
      <w:bookmarkStart w:id="0" w:name="_GoBack"/>
      <w:bookmarkEnd w:id="0"/>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3D2"/>
    <w:rsid w:val="000263D2"/>
    <w:rsid w:val="00160B43"/>
    <w:rsid w:val="001678B2"/>
    <w:rsid w:val="001C0B2C"/>
    <w:rsid w:val="001E03ED"/>
    <w:rsid w:val="002D18E9"/>
    <w:rsid w:val="00334B99"/>
    <w:rsid w:val="003C3F1D"/>
    <w:rsid w:val="003E5ADC"/>
    <w:rsid w:val="004679AE"/>
    <w:rsid w:val="004962A2"/>
    <w:rsid w:val="005460C3"/>
    <w:rsid w:val="00582929"/>
    <w:rsid w:val="005A1573"/>
    <w:rsid w:val="006B75FE"/>
    <w:rsid w:val="00766A0D"/>
    <w:rsid w:val="00794324"/>
    <w:rsid w:val="007A1D9B"/>
    <w:rsid w:val="00924C86"/>
    <w:rsid w:val="00A434EE"/>
    <w:rsid w:val="00A8157C"/>
    <w:rsid w:val="00B577D3"/>
    <w:rsid w:val="00C566E9"/>
    <w:rsid w:val="00D652F1"/>
    <w:rsid w:val="00E23F8F"/>
    <w:rsid w:val="00E55C73"/>
    <w:rsid w:val="00E879CD"/>
    <w:rsid w:val="00FC6A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065BB7-7865-4C2B-B8D3-48E83874B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next w:val="Normal"/>
    <w:link w:val="Ttulo3Car"/>
    <w:uiPriority w:val="9"/>
    <w:semiHidden/>
    <w:unhideWhenUsed/>
    <w:qFormat/>
    <w:rsid w:val="004679A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1678B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678B2"/>
    <w:rPr>
      <w:sz w:val="20"/>
      <w:szCs w:val="20"/>
    </w:rPr>
  </w:style>
  <w:style w:type="character" w:styleId="Refdenotaalpie">
    <w:name w:val="footnote reference"/>
    <w:basedOn w:val="Fuentedeprrafopredeter"/>
    <w:uiPriority w:val="99"/>
    <w:semiHidden/>
    <w:unhideWhenUsed/>
    <w:rsid w:val="001678B2"/>
    <w:rPr>
      <w:vertAlign w:val="superscript"/>
    </w:rPr>
  </w:style>
  <w:style w:type="character" w:customStyle="1" w:styleId="Ttulo3Car">
    <w:name w:val="Título 3 Car"/>
    <w:basedOn w:val="Fuentedeprrafopredeter"/>
    <w:link w:val="Ttulo3"/>
    <w:uiPriority w:val="9"/>
    <w:semiHidden/>
    <w:rsid w:val="004679AE"/>
    <w:rPr>
      <w:rFonts w:asciiTheme="majorHAnsi" w:eastAsiaTheme="majorEastAsia" w:hAnsiTheme="majorHAnsi" w:cstheme="majorBidi"/>
      <w:color w:val="1F4D78" w:themeColor="accent1" w:themeShade="7F"/>
      <w:sz w:val="24"/>
      <w:szCs w:val="24"/>
    </w:rPr>
  </w:style>
  <w:style w:type="paragraph" w:customStyle="1" w:styleId="paragraph">
    <w:name w:val="paragraph"/>
    <w:basedOn w:val="Normal"/>
    <w:rsid w:val="00C566E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ormaltextrun">
    <w:name w:val="normaltextrun"/>
    <w:rsid w:val="00C566E9"/>
  </w:style>
  <w:style w:type="character" w:customStyle="1" w:styleId="eop">
    <w:name w:val="eop"/>
    <w:rsid w:val="00C56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120004">
      <w:bodyDiv w:val="1"/>
      <w:marLeft w:val="0"/>
      <w:marRight w:val="0"/>
      <w:marTop w:val="0"/>
      <w:marBottom w:val="0"/>
      <w:divBdr>
        <w:top w:val="none" w:sz="0" w:space="0" w:color="auto"/>
        <w:left w:val="none" w:sz="0" w:space="0" w:color="auto"/>
        <w:bottom w:val="none" w:sz="0" w:space="0" w:color="auto"/>
        <w:right w:val="none" w:sz="0" w:space="0" w:color="auto"/>
      </w:divBdr>
    </w:div>
    <w:div w:id="195482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A0336C7DC3E0F45ABB1D27EAA5B9CE9" ma:contentTypeVersion="" ma:contentTypeDescription="Crear nuevo documento." ma:contentTypeScope="" ma:versionID="4ce135793bc3da0d460faf9c57087bbb">
  <xsd:schema xmlns:xsd="http://www.w3.org/2001/XMLSchema" xmlns:xs="http://www.w3.org/2001/XMLSchema" xmlns:p="http://schemas.microsoft.com/office/2006/metadata/properties" xmlns:ns2="BAA92BB6-DC08-49CA-A1DF-66ADF831DDC1" xmlns:ns3="46c31bdf-0a45-4935-a8a6-0d358e08cfce" xmlns:ns4="baa92bb6-dc08-49ca-a1df-66adf831ddc1" targetNamespace="http://schemas.microsoft.com/office/2006/metadata/properties" ma:root="true" ma:fieldsID="f0e87ccc89a3d7f844d27135919f1ec9" ns2:_="" ns3:_="" ns4:_="">
    <xsd:import namespace="BAA92BB6-DC08-49CA-A1DF-66ADF831DDC1"/>
    <xsd:import namespace="46c31bdf-0a45-4935-a8a6-0d358e08cfce"/>
    <xsd:import namespace="baa92bb6-dc08-49ca-a1df-66adf831dd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31bdf-0a45-4935-a8a6-0d358e08cfc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D1816-235F-4469-A34B-5AFFCFE1B0C4}">
  <ds:schemaRefs>
    <ds:schemaRef ds:uri="http://schemas.microsoft.com/sharepoint/v3/contenttype/forms"/>
  </ds:schemaRefs>
</ds:datastoreItem>
</file>

<file path=customXml/itemProps2.xml><?xml version="1.0" encoding="utf-8"?>
<ds:datastoreItem xmlns:ds="http://schemas.openxmlformats.org/officeDocument/2006/customXml" ds:itemID="{75530319-3139-4963-91BB-BBF4BE390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92BB6-DC08-49CA-A1DF-66ADF831DDC1"/>
    <ds:schemaRef ds:uri="46c31bdf-0a45-4935-a8a6-0d358e08cfce"/>
    <ds:schemaRef ds:uri="baa92bb6-dc08-49ca-a1df-66adf831d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508256-244C-4848-B922-E29AB8755C3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A57DDB-B6BD-41BA-B6C2-CACC31376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650</Words>
  <Characters>3577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MATUTE ALBORECA, M. CARMEN</dc:creator>
  <cp:keywords/>
  <dc:description/>
  <cp:lastModifiedBy>Madrid Digital</cp:lastModifiedBy>
  <cp:revision>4</cp:revision>
  <dcterms:created xsi:type="dcterms:W3CDTF">2020-10-15T10:53:00Z</dcterms:created>
  <dcterms:modified xsi:type="dcterms:W3CDTF">2020-10-15T12:56:00Z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0x0101004A0336C7DC3E0F45ABB1D27EAA5B9CE9</vt:lpwstr>
  </property>
</Properties>
</file>