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AC" w:rsidRPr="00480437" w:rsidRDefault="00DF67AC" w:rsidP="00DF67AC">
      <w:pPr>
        <w:spacing w:after="0" w:line="240" w:lineRule="auto"/>
        <w:ind w:right="-2"/>
        <w:contextualSpacing/>
        <w:rPr>
          <w:b/>
        </w:rPr>
      </w:pPr>
      <w:r w:rsidRPr="00ED36EF">
        <w:rPr>
          <w:b/>
        </w:rPr>
        <w:t>I</w:t>
      </w:r>
      <w:r w:rsidRPr="00480437">
        <w:rPr>
          <w:b/>
        </w:rPr>
        <w:t xml:space="preserve">NFORME DE LA INTERVENCIÓN GENERAL DE LA COMUNIDAD DE MADRID DE </w:t>
      </w:r>
      <w:r>
        <w:rPr>
          <w:b/>
        </w:rPr>
        <w:t>8</w:t>
      </w:r>
      <w:r w:rsidRPr="00480437">
        <w:rPr>
          <w:b/>
        </w:rPr>
        <w:t xml:space="preserve"> DE</w:t>
      </w:r>
      <w:r>
        <w:rPr>
          <w:b/>
        </w:rPr>
        <w:t xml:space="preserve"> ABRIL</w:t>
      </w:r>
      <w:r w:rsidRPr="00480437">
        <w:rPr>
          <w:b/>
        </w:rPr>
        <w:t xml:space="preserve"> DE 2020. </w:t>
      </w:r>
      <w:r>
        <w:rPr>
          <w:b/>
        </w:rPr>
        <w:t>FISCALIZACIÓN CONVENIO.</w:t>
      </w:r>
      <w:r w:rsidRPr="00480437">
        <w:rPr>
          <w:b/>
        </w:rPr>
        <w:t xml:space="preserve"> </w:t>
      </w:r>
    </w:p>
    <w:p w:rsidR="00DF67AC" w:rsidRPr="00480437" w:rsidRDefault="00DF67AC" w:rsidP="00DF67AC">
      <w:pPr>
        <w:spacing w:after="0" w:line="240" w:lineRule="auto"/>
        <w:ind w:right="-2"/>
        <w:contextualSpacing/>
        <w:rPr>
          <w:b/>
        </w:rPr>
      </w:pPr>
    </w:p>
    <w:p w:rsidR="00DF67AC" w:rsidRPr="00480437" w:rsidRDefault="00DF67AC" w:rsidP="00DF67AC">
      <w:pPr>
        <w:spacing w:after="0" w:line="240" w:lineRule="auto"/>
        <w:ind w:right="-2"/>
        <w:contextualSpacing/>
        <w:rPr>
          <w:b/>
        </w:rPr>
      </w:pPr>
      <w:r>
        <w:rPr>
          <w:b/>
        </w:rPr>
        <w:t>Modalidad: Consulta</w:t>
      </w:r>
      <w:r w:rsidRPr="00480437">
        <w:rPr>
          <w:b/>
        </w:rPr>
        <w:t>.</w:t>
      </w:r>
    </w:p>
    <w:p w:rsidR="00DF67AC" w:rsidRPr="00480437" w:rsidRDefault="00DF67AC" w:rsidP="00DF67AC">
      <w:pPr>
        <w:spacing w:after="0" w:line="240" w:lineRule="auto"/>
        <w:ind w:right="-2"/>
        <w:contextualSpacing/>
        <w:rPr>
          <w:b/>
        </w:rPr>
      </w:pPr>
      <w:r w:rsidRPr="00480437">
        <w:rPr>
          <w:b/>
        </w:rPr>
        <w:t xml:space="preserve">Área temática:  </w:t>
      </w:r>
      <w:r w:rsidR="00451588">
        <w:rPr>
          <w:b/>
        </w:rPr>
        <w:t>Función Interventora</w:t>
      </w:r>
      <w:bookmarkStart w:id="0" w:name="_GoBack"/>
      <w:bookmarkEnd w:id="0"/>
    </w:p>
    <w:p w:rsidR="00DF67AC" w:rsidRPr="00480437" w:rsidRDefault="00DF67AC" w:rsidP="00DF67AC">
      <w:pPr>
        <w:spacing w:after="0" w:line="240" w:lineRule="auto"/>
      </w:pPr>
      <w:r w:rsidRPr="00480437">
        <w:rPr>
          <w:b/>
        </w:rPr>
        <w:t>Informe: vigente</w:t>
      </w:r>
    </w:p>
    <w:p w:rsidR="00DF67AC" w:rsidRDefault="00DF67AC">
      <w:pPr>
        <w:spacing w:after="0" w:line="259" w:lineRule="auto"/>
        <w:ind w:left="0" w:right="0" w:firstLine="0"/>
        <w:jc w:val="left"/>
      </w:pPr>
    </w:p>
    <w:p w:rsidR="00DF67AC" w:rsidRDefault="00CE1516" w:rsidP="00DF67AC">
      <w:pPr>
        <w:ind w:left="-5" w:right="112"/>
      </w:pPr>
      <w:r>
        <w:t xml:space="preserve">Se ha recibido en esta Intervención General, procedente de la Dirección General de Emergencias de la Consejería de Justicia, Interior y Víctimas, consulta sobre la fiscalización de un Convenio que pretende suscribir dicha Dirección General. </w:t>
      </w:r>
    </w:p>
    <w:p w:rsidR="00DF67AC" w:rsidRDefault="00DF67AC" w:rsidP="00DF67AC">
      <w:pPr>
        <w:ind w:left="-5" w:right="112"/>
      </w:pPr>
    </w:p>
    <w:p w:rsidR="00E55428" w:rsidRDefault="00CE1516" w:rsidP="00E55428">
      <w:pPr>
        <w:ind w:left="-5" w:right="112"/>
      </w:pPr>
      <w:r>
        <w:t xml:space="preserve">El artículo 31 del Decreto Legislativo 1/2006, de 28 de septiembre, por el que se aprueba el Texto Refundido de la Ley por la que se regulan los Servicios de Prevención, Extinción de Incendios y Salvamentos de la Comunidad de Madrid, prevé que los municipios de más de 20.000 habitantes puedan solicitar a la Comunidad de Madrid la dispensa de la obligación de prestar el servicio de prevención y extinción de incendios y salvamentos; siendo necesario, como trámite previo a la concesión de dicha dispensa, la suscripción de un Convenio entre la Comunidad de Madrid y el Ayuntamiento interesado. </w:t>
      </w:r>
    </w:p>
    <w:p w:rsidR="00E55428" w:rsidRDefault="00E55428" w:rsidP="00E55428">
      <w:pPr>
        <w:ind w:left="-5" w:right="112"/>
      </w:pPr>
    </w:p>
    <w:p w:rsidR="00E55428" w:rsidRDefault="00CE1516" w:rsidP="00E55428">
      <w:pPr>
        <w:ind w:left="-5" w:right="112"/>
      </w:pPr>
      <w:r>
        <w:t xml:space="preserve">A este efecto la Comunidad de Madrid, a través de la Dirección General de Emergencias, pretende suscribir un Convenio de Transferencia y Financiación con el Ayuntamiento de Leganés. </w:t>
      </w:r>
    </w:p>
    <w:p w:rsidR="00E55428" w:rsidRDefault="00E55428" w:rsidP="00E55428">
      <w:pPr>
        <w:ind w:left="-5" w:right="112"/>
      </w:pPr>
    </w:p>
    <w:p w:rsidR="00E55428" w:rsidRDefault="00CE1516" w:rsidP="00E55428">
      <w:pPr>
        <w:ind w:left="-5" w:right="112"/>
      </w:pPr>
      <w:r>
        <w:t>En la tramitación del expediente la Dirección General consultante se cuestiona si es preciso someter a fiscalización previa dicho Convenio y, en caso afirmativo, cuál es la Intervención Delegada competente para tal fiscalización.</w:t>
      </w:r>
    </w:p>
    <w:p w:rsidR="00E55428" w:rsidRDefault="00E55428" w:rsidP="00E55428">
      <w:pPr>
        <w:ind w:left="-5" w:right="112"/>
      </w:pPr>
    </w:p>
    <w:p w:rsidR="00A17B8A" w:rsidRDefault="00CE1516" w:rsidP="002258EF">
      <w:pPr>
        <w:tabs>
          <w:tab w:val="left" w:pos="9072"/>
        </w:tabs>
        <w:ind w:left="-5" w:right="112"/>
      </w:pPr>
      <w:r>
        <w:t xml:space="preserve">Para resolver la cuestión planteada se considera oportuno realizar las siguientes </w:t>
      </w:r>
    </w:p>
    <w:p w:rsidR="00A17B8A" w:rsidRDefault="00CE1516" w:rsidP="002258EF">
      <w:pPr>
        <w:tabs>
          <w:tab w:val="left" w:pos="9072"/>
        </w:tabs>
        <w:spacing w:after="0" w:line="259" w:lineRule="auto"/>
        <w:ind w:left="0" w:right="0" w:firstLine="0"/>
        <w:jc w:val="left"/>
      </w:pPr>
      <w:r>
        <w:t xml:space="preserve"> </w:t>
      </w:r>
    </w:p>
    <w:p w:rsidR="00A17B8A" w:rsidRDefault="00CE1516" w:rsidP="006710AB">
      <w:pPr>
        <w:tabs>
          <w:tab w:val="left" w:pos="9072"/>
        </w:tabs>
        <w:spacing w:after="10" w:line="249" w:lineRule="auto"/>
        <w:ind w:right="112"/>
        <w:jc w:val="center"/>
      </w:pPr>
      <w:r>
        <w:rPr>
          <w:b/>
        </w:rPr>
        <w:t>CONSIDERACIONES</w:t>
      </w:r>
    </w:p>
    <w:p w:rsidR="00A17B8A" w:rsidRDefault="00A17B8A" w:rsidP="006710AB">
      <w:pPr>
        <w:tabs>
          <w:tab w:val="left" w:pos="9072"/>
        </w:tabs>
        <w:spacing w:after="0" w:line="259" w:lineRule="auto"/>
        <w:ind w:left="0" w:right="961" w:firstLine="0"/>
        <w:jc w:val="center"/>
      </w:pPr>
    </w:p>
    <w:p w:rsidR="00A17B8A" w:rsidRDefault="00CE1516" w:rsidP="006710AB">
      <w:pPr>
        <w:tabs>
          <w:tab w:val="left" w:pos="9072"/>
        </w:tabs>
        <w:spacing w:after="0" w:line="259" w:lineRule="auto"/>
        <w:ind w:right="112"/>
        <w:jc w:val="center"/>
      </w:pPr>
      <w:r>
        <w:rPr>
          <w:b/>
        </w:rPr>
        <w:t>I</w:t>
      </w:r>
    </w:p>
    <w:p w:rsidR="00A17B8A" w:rsidRDefault="00CE1516" w:rsidP="006710AB">
      <w:pPr>
        <w:tabs>
          <w:tab w:val="left" w:pos="9072"/>
        </w:tabs>
        <w:spacing w:after="0" w:line="259" w:lineRule="auto"/>
        <w:ind w:right="112"/>
        <w:jc w:val="center"/>
      </w:pPr>
      <w:r>
        <w:rPr>
          <w:b/>
        </w:rPr>
        <w:t>Normativa aplicable</w:t>
      </w:r>
    </w:p>
    <w:p w:rsidR="00A17B8A" w:rsidRDefault="00CE1516" w:rsidP="002258EF">
      <w:pPr>
        <w:tabs>
          <w:tab w:val="left" w:pos="8505"/>
        </w:tabs>
        <w:spacing w:after="0" w:line="259" w:lineRule="auto"/>
        <w:ind w:left="0" w:right="0" w:firstLine="0"/>
        <w:jc w:val="left"/>
      </w:pPr>
      <w:r>
        <w:t xml:space="preserve"> </w:t>
      </w:r>
    </w:p>
    <w:p w:rsidR="00A17B8A" w:rsidRDefault="00CE1516" w:rsidP="002258EF">
      <w:pPr>
        <w:tabs>
          <w:tab w:val="left" w:pos="8505"/>
        </w:tabs>
        <w:ind w:left="-5" w:right="112"/>
      </w:pPr>
      <w:r>
        <w:t xml:space="preserve">Como cuestión previa, debe precisarse cuál es la normativa sobre Convenios aplicable al caso que nos ocupa porque esta determinación es crucial para la correcta resolución de la consulta.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En el escrito de consulta se solicita informe sobre la correcta interpretación del artículo 6.1.j) del</w:t>
      </w:r>
      <w:r>
        <w:rPr>
          <w:rFonts w:ascii="Times New Roman" w:eastAsia="Times New Roman" w:hAnsi="Times New Roman" w:cs="Times New Roman"/>
          <w:color w:val="333333"/>
          <w:sz w:val="27"/>
        </w:rPr>
        <w:t xml:space="preserve"> </w:t>
      </w:r>
      <w:r>
        <w:t xml:space="preserve">Decreto 48/2019, de 10 de junio, del Consejo de Gobierno, por el que se regula la actividad convencional de la Comunidad de Madrid. Este artículo dispone que se requiere como trámite en un expediente convencional informe de fiscalización de la Intervención General de la Comunidad de Madrid o de la correspondiente Intervención Delegada si del convenio se derivan derechos y obligaciones de contenido económico.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Este precepto es básicamente coincidente con el criterio 7.1. 3º del Acuerdo de 16 de octubre de 2003, del Consejo de Gobierno, por el que se aprueban criterios de coordinación de la actividad convencional de la Comunidad de Madrid que exigía como trámite preparatorio de un Convenio la “</w:t>
      </w:r>
      <w:r>
        <w:rPr>
          <w:i/>
        </w:rPr>
        <w:t>Fiscalización de la Intervención, si del convenio se derivan derechos y obligaciones de contenido económico</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Resulta pertinente aludir dicho Acuerdo de 2003, porque el mismo estuvo vigente hasta el 14 de junio de 2019; por lo que procede, por tanto, conocer la fecha de inicio del expediente, para poder determinar cuál es la normativa aplicable al caso. Dado que la regulación, en ambas </w:t>
      </w:r>
      <w:r>
        <w:lastRenderedPageBreak/>
        <w:t xml:space="preserve">normas, sobre el particular asunto que se consulta, dicha determinación podría parecer un asunto menor, pero no lo es ya que cualquier incidencia jurídica (dudas, lagunas, interpretaciones …) se resolverá acudiendo a la norma aplicable.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este sentido, analizada la documentación remitida a este Centro Directivo se constata que la memoria originaria del Convenio era de abril de 2019, o que el informe de los Servicios Jurídicos sobre el mismo se emitió en mayo de 2019. Es decir, el expediente se inició con anterioridad al 14 de junio de 2019.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conclusión, la norma reguladora para resolver la consulta planteada y aplicable al expediente que se analiza, no es la norma en vigor a la fecha del planteamiento de la consulta, sino la vigente en la fecha de inicio del expediente, que era el Acuerdo de 16 de octubre de 2003, del Consejo de Gobierno, por el que se aprueban criterios de coordinación de la actividad convencional de la Comunidad de Madrid. </w:t>
      </w:r>
    </w:p>
    <w:p w:rsidR="00A17B8A" w:rsidRDefault="00CE1516" w:rsidP="002258EF">
      <w:pPr>
        <w:tabs>
          <w:tab w:val="left" w:pos="8505"/>
        </w:tabs>
        <w:spacing w:after="0" w:line="259" w:lineRule="auto"/>
        <w:ind w:left="0" w:right="112" w:firstLine="0"/>
        <w:jc w:val="center"/>
        <w:rPr>
          <w:b/>
        </w:rPr>
      </w:pPr>
      <w:r>
        <w:rPr>
          <w:b/>
        </w:rPr>
        <w:t xml:space="preserve"> </w:t>
      </w:r>
    </w:p>
    <w:p w:rsidR="002258EF" w:rsidRDefault="002258EF" w:rsidP="002258EF">
      <w:pPr>
        <w:tabs>
          <w:tab w:val="left" w:pos="8505"/>
        </w:tabs>
        <w:spacing w:after="0" w:line="259" w:lineRule="auto"/>
        <w:ind w:left="0" w:right="112" w:firstLine="0"/>
        <w:jc w:val="center"/>
      </w:pPr>
    </w:p>
    <w:p w:rsidR="00A17B8A" w:rsidRDefault="00CE1516" w:rsidP="002258EF">
      <w:pPr>
        <w:tabs>
          <w:tab w:val="left" w:pos="8505"/>
        </w:tabs>
        <w:spacing w:after="0" w:line="259" w:lineRule="auto"/>
        <w:ind w:right="112"/>
        <w:jc w:val="center"/>
      </w:pPr>
      <w:r>
        <w:rPr>
          <w:b/>
        </w:rPr>
        <w:t xml:space="preserve">II </w:t>
      </w:r>
    </w:p>
    <w:p w:rsidR="00A17B8A" w:rsidRDefault="00CE1516" w:rsidP="002258EF">
      <w:pPr>
        <w:tabs>
          <w:tab w:val="left" w:pos="8505"/>
        </w:tabs>
        <w:spacing w:after="0" w:line="259" w:lineRule="auto"/>
        <w:ind w:right="112"/>
        <w:jc w:val="center"/>
      </w:pPr>
      <w:r>
        <w:rPr>
          <w:b/>
        </w:rPr>
        <w:t xml:space="preserve">Momento de emisión del informe fiscal </w:t>
      </w:r>
    </w:p>
    <w:p w:rsidR="00A17B8A" w:rsidRDefault="00CE1516" w:rsidP="002258EF">
      <w:pPr>
        <w:tabs>
          <w:tab w:val="left" w:pos="8505"/>
        </w:tabs>
        <w:spacing w:after="0" w:line="259" w:lineRule="auto"/>
        <w:ind w:left="0" w:right="112" w:firstLine="0"/>
        <w:jc w:val="center"/>
      </w:pPr>
      <w:r>
        <w:rPr>
          <w:b/>
        </w:rPr>
        <w:t xml:space="preserve"> </w:t>
      </w:r>
    </w:p>
    <w:p w:rsidR="00A17B8A" w:rsidRDefault="00CE1516" w:rsidP="002258EF">
      <w:pPr>
        <w:tabs>
          <w:tab w:val="left" w:pos="8505"/>
        </w:tabs>
        <w:ind w:left="-5" w:right="112"/>
      </w:pPr>
      <w:r>
        <w:t xml:space="preserve">En esta consideración procede pronunciarse sobre el momento en que procedimentalmente corresponde emitir el informe fiscal.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En el escrito de consulta se indica que se han recabado y se aportan todos los informes preceptivos salvo el de la Dirección General de Tributos que, con base en el artículo 6.1.j) del</w:t>
      </w:r>
      <w:r>
        <w:rPr>
          <w:rFonts w:ascii="Times New Roman" w:eastAsia="Times New Roman" w:hAnsi="Times New Roman" w:cs="Times New Roman"/>
          <w:color w:val="333333"/>
          <w:sz w:val="27"/>
        </w:rPr>
        <w:t xml:space="preserve"> </w:t>
      </w:r>
      <w:r>
        <w:t xml:space="preserve">Decreto 48/2019, de 10 de junio, del Consejo de Gobierno, por el que se regula la actividad convencional de la Comunidad de Madrid, entiende que para emitir su informe debe existir previamente informe favorable de la intervención.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Lo anterior no es correcto y aunque, según lo indicado en la anterior consideración, bastaría indicar que el Decreto 48/2019 no es aplicable al caso que nos ocupa, se profundizará más. A los meros efectos dialécticos, cabe subrayar que el artículo 6.1.j) del</w:t>
      </w:r>
      <w:r>
        <w:rPr>
          <w:rFonts w:ascii="Times New Roman" w:eastAsia="Times New Roman" w:hAnsi="Times New Roman" w:cs="Times New Roman"/>
          <w:color w:val="333333"/>
          <w:sz w:val="27"/>
        </w:rPr>
        <w:t xml:space="preserve"> </w:t>
      </w:r>
      <w:r>
        <w:t xml:space="preserve">Decreto 48/2019, dice lo que dice, pero no lo que no dice: este artículo cuando prescribe que el Informe fiscal se solicitará posteriormente a la emisión del informe del Servicio Jurídico no </w:t>
      </w:r>
      <w:r w:rsidR="002258EF">
        <w:t>está</w:t>
      </w:r>
      <w:r>
        <w:t xml:space="preserve"> innovando ni modificando la normativa de la Comunidad de Madrid sobre fiscalización. Por tanto, para ahondar en este punto corresponde acudir al Decreto 45/1997, de 20 de marzo, por el que se desarrolla el Régimen de Control Interno y Contable ejercido por la Intervención General de la Comunidad de Madrid, cuyo artículo 14 establece que: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5" w:line="249" w:lineRule="auto"/>
        <w:ind w:left="-5" w:right="112"/>
      </w:pPr>
      <w:r>
        <w:t>“</w:t>
      </w:r>
      <w:r>
        <w:rPr>
          <w:i/>
        </w:rPr>
        <w:t xml:space="preserve">El órgano gestor o autoridad responsable remitirá a la Intervención el </w:t>
      </w:r>
      <w:r>
        <w:rPr>
          <w:b/>
          <w:i/>
        </w:rPr>
        <w:t>expediente original completo</w:t>
      </w:r>
      <w:r>
        <w:rPr>
          <w:i/>
        </w:rPr>
        <w:t xml:space="preserve">, una vez </w:t>
      </w:r>
      <w:r>
        <w:rPr>
          <w:b/>
          <w:i/>
        </w:rPr>
        <w:t xml:space="preserve">reunidos todos </w:t>
      </w:r>
      <w:r>
        <w:rPr>
          <w:i/>
        </w:rPr>
        <w:t xml:space="preserve">los justificantes y emitidos </w:t>
      </w:r>
      <w:r>
        <w:rPr>
          <w:b/>
          <w:i/>
        </w:rPr>
        <w:t>los informes</w:t>
      </w:r>
      <w:r>
        <w:rPr>
          <w:i/>
        </w:rPr>
        <w:t xml:space="preserve"> preceptivos cuando esté en disposición de que se dicte acuerdo por quien corresponda y previamente a la adopción de éste. </w:t>
      </w:r>
    </w:p>
    <w:p w:rsidR="00A17B8A" w:rsidRDefault="00CE1516" w:rsidP="002258EF">
      <w:pPr>
        <w:tabs>
          <w:tab w:val="left" w:pos="8505"/>
        </w:tabs>
        <w:spacing w:after="0" w:line="259" w:lineRule="auto"/>
        <w:ind w:left="0" w:right="112" w:firstLine="0"/>
        <w:jc w:val="left"/>
      </w:pPr>
      <w:r>
        <w:rPr>
          <w:i/>
        </w:rPr>
        <w:t xml:space="preserve">  </w:t>
      </w:r>
    </w:p>
    <w:p w:rsidR="00A17B8A" w:rsidRDefault="00CE1516" w:rsidP="002258EF">
      <w:pPr>
        <w:tabs>
          <w:tab w:val="left" w:pos="8505"/>
        </w:tabs>
        <w:spacing w:after="5" w:line="249" w:lineRule="auto"/>
        <w:ind w:left="-5" w:right="112"/>
      </w:pPr>
      <w:r>
        <w:rPr>
          <w:i/>
        </w:rPr>
        <w:t>En aquellos expedientes en que deba emitir dictamen el Consejo de Estado, la fiscalización deberá ser previa al mismo, limitándose con posterioridad la Intervención a constatar la existencia del dictamen y, en su caso, su carácter favorable.</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Como se puede constatar, se establece el principio general según el cual se debe remitir el expediente a la intervención para su fiscalización, completo cuando esté listo para ser aprobado. Este principio sólo cuenta, como se ha visto, con la particularidad para el caso de ser necesario el dictamen del Consejo de Estado -</w:t>
      </w:r>
      <w:r>
        <w:rPr>
          <w:rFonts w:ascii="Times New Roman" w:eastAsia="Times New Roman" w:hAnsi="Times New Roman" w:cs="Times New Roman"/>
        </w:rPr>
        <w:t xml:space="preserve"> </w:t>
      </w:r>
      <w:r>
        <w:t xml:space="preserve">Comisión Jurídica Asesora de la Comunidad de Madrid-. Lo anterior es congruente con el carácter suspensivo que el </w:t>
      </w:r>
      <w:r>
        <w:lastRenderedPageBreak/>
        <w:t xml:space="preserve">Ordenamiento Jurídico otorga a un eventual reparo por parte de la intervención al expediente; carácter que sólo tiene sentido otorgar al informe que emite el órgano que analiza el expediente en su conjunto, completo y una vez evacuados todos los trámites.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conclusión, el informe fiscal que, según lo que se señale en las consideraciones subsiguientes, se solicitará, en su caso, cuando el expediente esté completo, cuando hayan sido emitidos todos los informes y con carácter previo a la firma del Convenio. </w:t>
      </w:r>
    </w:p>
    <w:p w:rsidR="002258EF" w:rsidRDefault="002258EF" w:rsidP="002258EF">
      <w:pPr>
        <w:tabs>
          <w:tab w:val="left" w:pos="8505"/>
        </w:tabs>
        <w:spacing w:after="0" w:line="259" w:lineRule="auto"/>
        <w:ind w:left="0" w:right="112" w:firstLine="0"/>
        <w:jc w:val="center"/>
        <w:rPr>
          <w:b/>
        </w:rPr>
      </w:pPr>
    </w:p>
    <w:p w:rsidR="00A17B8A" w:rsidRDefault="00CE1516" w:rsidP="002258EF">
      <w:pPr>
        <w:tabs>
          <w:tab w:val="left" w:pos="8505"/>
        </w:tabs>
        <w:spacing w:after="0" w:line="259" w:lineRule="auto"/>
        <w:ind w:left="0" w:right="112" w:firstLine="0"/>
        <w:jc w:val="center"/>
      </w:pPr>
      <w:r>
        <w:rPr>
          <w:b/>
        </w:rPr>
        <w:t xml:space="preserve"> </w:t>
      </w:r>
    </w:p>
    <w:p w:rsidR="00A17B8A" w:rsidRDefault="00CE1516" w:rsidP="002258EF">
      <w:pPr>
        <w:tabs>
          <w:tab w:val="left" w:pos="8505"/>
        </w:tabs>
        <w:spacing w:after="0" w:line="259" w:lineRule="auto"/>
        <w:ind w:right="112"/>
        <w:jc w:val="center"/>
      </w:pPr>
      <w:r>
        <w:rPr>
          <w:b/>
        </w:rPr>
        <w:t xml:space="preserve">III </w:t>
      </w:r>
    </w:p>
    <w:p w:rsidR="00A17B8A" w:rsidRDefault="00CE1516" w:rsidP="002258EF">
      <w:pPr>
        <w:tabs>
          <w:tab w:val="left" w:pos="8505"/>
        </w:tabs>
        <w:spacing w:after="0" w:line="259" w:lineRule="auto"/>
        <w:ind w:right="112"/>
        <w:jc w:val="center"/>
      </w:pPr>
      <w:r>
        <w:rPr>
          <w:b/>
        </w:rPr>
        <w:t xml:space="preserve">Carácter del Convenio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Para poder otorgar una respuesta acertada a la consulta planteada resulta pertinente analizar el contenido del Convenio cuya aprobación se pretende.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En el Informe de este Centro Directivo de 9 de octubre de 2008 se define a los Convenios de colaboración como</w:t>
      </w:r>
      <w:r>
        <w:rPr>
          <w:i/>
        </w:rPr>
        <w:t xml:space="preserve"> “…acuerdos de voluntades a través de los cuales las partes intervinientes se vinculan jurídicamente, estableciendo los derechos y obligaciones de cada una de ellas en orden al cumplimiento del propio objeto del convenio.</w:t>
      </w:r>
      <w:r>
        <w:t xml:space="preserve">” Es decir, ambas partes hacen aportaciones en orden a alcanzar el objeto del convenio, pues el término “Convenio” ha venido utilizándose tradicionalmente para designar diversas relaciones jurídicas. Así, el hecho de que a un determinado negocio jurídico se le atribuya la denominación de Convenio no presupone, por sí solo, la naturaleza del mismo, y por ello es necesario analizar en cada supuesto en concreto el tipo de obligaciones establecidas para cada una de las partes. Así habrá convenios en los que efectivamente exista una contraprestación entre las partes, donde la Administración entrega un precio a cambio de un bien o la prestación de servicio, y por lo tanto tendrá naturaleza contractual; mientras que en otros, la entrega dineraria se efectuará no para recibir bienes o servicios sino para que se realice una determinada actividad sin contraprestación directa por parte de los beneficiarios, aunque estableciendo todo un conjunto de obligaciones, normalmente de hacer, teniendo por ello el carácter de subvención.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Por su parte, el artículo 47.1 de Ley 40/2015, de 1 de octubre, de Régimen Jurídico del Sector Público –en adelante LRJSP- dice expresamente que “Los convenios no podrán tener por objeto prestaciones propias de los contratos. En tal caso, su naturaleza y régimen jurídico se ajustará a lo previsto en la legislación de contratos del sector público”, por lo que aunque en la práctica no sea así, en puridad, desde el punto de vista de teoría del Derecho sólo son susceptibles de existir convenios de colaboración o convenios subvencionales</w:t>
      </w:r>
      <w:r>
        <w:rPr>
          <w:vertAlign w:val="superscript"/>
        </w:rPr>
        <w:footnoteReference w:id="1"/>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Por tanto, el análisis del borrador de convenio nos otorgará respuesta sobre ante que figura nos encontramos: contrato, subvención o convenio de colaboración.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De conformidad con lo establecido en el artículo 26.1.c) de la Ley 7/1985, de 2 de abril, Reguladora de las Bases de Régimen Local, los Municipios con población superior a 20.000 habitantes deben prestar, en todo caso, los servicios de prevención y extinción de incendios en su propio Municipio. No obstante, el artículo 31 del Decreto Legislativo 1/2006, de 28 de septiembre, por el que se aprueba el Texto Refundido de la Ley por la que se regulan los Servicios de Prevención, Extinción de Incendios y Salvamentos de la Comunidad de Madrid, permite que los Municipios de más de 20.000 habitantes que, teniendo la obligación de prestar el servicio de prevención y extinción de incendios soliciten su dispensa, suscribirán un </w:t>
      </w:r>
      <w:r>
        <w:lastRenderedPageBreak/>
        <w:t xml:space="preserve">Convenio con la Consejería competente, el cual recogerá los medios personales y materiales a transferir así como su cuantificación, como trámite previo a la concesión de dicha dispensa. A tal efecto, se pretende suscribir un Convenio Comunidad de Madrid-Ayuntamiento de Leganés en el que figuran los siguientes gastos: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1"/>
        </w:numPr>
        <w:tabs>
          <w:tab w:val="left" w:pos="8505"/>
        </w:tabs>
        <w:ind w:right="112" w:hanging="348"/>
      </w:pPr>
      <w:r>
        <w:t xml:space="preserve">El derivado de la transferencia de medios personales del Ayuntamiento de Leganés a la Comunidad de Madrid (en el Anexo I del convenio figura la pormenorizada relación del personal que se transfiere, con nombres y apellidos).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1"/>
        </w:numPr>
        <w:tabs>
          <w:tab w:val="left" w:pos="8505"/>
        </w:tabs>
        <w:ind w:right="112" w:hanging="348"/>
      </w:pPr>
      <w:r>
        <w:t xml:space="preserve">El derivado de la transferencia de medios materiales del Ayuntamiento de Leganés a la Comunidad de Madrid (en el Anexo II del convenio figura la relación de bienes muebles, inmuebles y vehículos que se transfieren).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1"/>
        </w:numPr>
        <w:tabs>
          <w:tab w:val="left" w:pos="8505"/>
        </w:tabs>
        <w:ind w:right="112" w:hanging="348"/>
      </w:pPr>
      <w:r>
        <w:t xml:space="preserve">El derivado de la mutación demanial subjetiva con transferencia a favor de la Comunidad de Madrid de una parcela de dominio público titularidad de Ayuntamiento de Leganés.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1"/>
        </w:numPr>
        <w:tabs>
          <w:tab w:val="left" w:pos="8505"/>
        </w:tabs>
        <w:ind w:right="112" w:hanging="348"/>
      </w:pPr>
      <w:r>
        <w:t xml:space="preserve">El derivado de la mutación demanial subjetiva con transferencia a favor de la Comunidad de Madrid del edificio de dominio público titularidad de Ayuntamiento de Leganés destinado al parque de bomberos. </w:t>
      </w:r>
    </w:p>
    <w:p w:rsidR="00A17B8A" w:rsidRDefault="00CE1516" w:rsidP="002258EF">
      <w:pPr>
        <w:tabs>
          <w:tab w:val="left" w:pos="8505"/>
        </w:tabs>
        <w:spacing w:after="0" w:line="259" w:lineRule="auto"/>
        <w:ind w:left="0" w:right="112" w:firstLine="0"/>
        <w:jc w:val="left"/>
      </w:pPr>
      <w:r>
        <w:t xml:space="preserve"> </w:t>
      </w:r>
      <w:r>
        <w:tab/>
        <w:t xml:space="preserve"> </w:t>
      </w:r>
    </w:p>
    <w:p w:rsidR="00A17B8A" w:rsidRDefault="00CE1516" w:rsidP="002258EF">
      <w:pPr>
        <w:tabs>
          <w:tab w:val="left" w:pos="8505"/>
        </w:tabs>
        <w:ind w:left="-5" w:right="112"/>
      </w:pPr>
      <w:r>
        <w:t xml:space="preserve">A su vez, la Comunidad de Madrid fruto de la suscripción del Convenio tendrá un menor gasto derivado de la circunstancia de que dejará de pagar al Ayuntamiento de Leganés la parte correspondiente que en concepto de Contribución Especial por establecimiento, mejora y ampliación de servicio de prevención y extinción de incendios y salvamentos ingrese la Comunidad de Madrid de la Unión Española de Entidades Aseguradoras y Reaseguradoras (UNESPA). </w:t>
      </w:r>
    </w:p>
    <w:p w:rsidR="00A17B8A" w:rsidRDefault="00CE1516" w:rsidP="002258EF">
      <w:pPr>
        <w:tabs>
          <w:tab w:val="left" w:pos="8505"/>
        </w:tabs>
        <w:spacing w:after="0" w:line="259" w:lineRule="auto"/>
        <w:ind w:left="720" w:right="112" w:firstLine="0"/>
        <w:jc w:val="left"/>
      </w:pPr>
      <w:r>
        <w:t xml:space="preserve"> </w:t>
      </w:r>
    </w:p>
    <w:p w:rsidR="00A17B8A" w:rsidRDefault="00CE1516" w:rsidP="002258EF">
      <w:pPr>
        <w:tabs>
          <w:tab w:val="left" w:pos="8505"/>
        </w:tabs>
        <w:spacing w:after="228"/>
        <w:ind w:left="-5" w:right="112"/>
      </w:pPr>
      <w:r>
        <w:t xml:space="preserve">Por otra parte, la Comunidad de Madrid obtendrá el siguiente ingreso: </w:t>
      </w:r>
    </w:p>
    <w:p w:rsidR="00A17B8A" w:rsidRDefault="00CE1516" w:rsidP="002258EF">
      <w:pPr>
        <w:tabs>
          <w:tab w:val="left" w:pos="8505"/>
        </w:tabs>
        <w:spacing w:after="235"/>
        <w:ind w:left="-5" w:right="112"/>
      </w:pPr>
      <w:r>
        <w:t xml:space="preserve">El Ayuntamiento de Leganés se compromete a abonar a la Comunidad de Madrid las cantidades que resulten cada año de la aplicación de la tasa por la cobertura del servicio de prevención y extinción de incendios y salvamentos, en los términos recogidos en el Decreto Legislativo 1/2002, de 24 de octubre, por el que se aprueba el Texto refundido de la Ley de Tasas y Precios Públicos de la Comunidad de Madrid, en su artículo 217 y siguientes. Se prevé un ingreso anual por este concepto por un importe de 3.093.915,60 euros. </w:t>
      </w:r>
    </w:p>
    <w:p w:rsidR="00A17B8A" w:rsidRDefault="00CE1516" w:rsidP="002258EF">
      <w:pPr>
        <w:tabs>
          <w:tab w:val="left" w:pos="8505"/>
        </w:tabs>
        <w:spacing w:after="234"/>
        <w:ind w:left="-5" w:right="112"/>
      </w:pPr>
      <w:r>
        <w:t>De conformidad con la memoria económica que acompaña al Convenio, los gastos serán superiores a los ingresos (en 433.057,91 € anuales), hasta 2029 (año en que ya se habrán liquidado los importes correspondientes a los bienes transferidos a la Comunidad de Madrid), resultando ese año y los siguientes un saldo a favor de la Co</w:t>
      </w:r>
      <w:r w:rsidR="002258EF">
        <w:t>munidad de Madrid de 115.127,55</w:t>
      </w:r>
      <w:r>
        <w:t xml:space="preserve">€. </w:t>
      </w:r>
    </w:p>
    <w:p w:rsidR="00A17B8A" w:rsidRDefault="00CE1516" w:rsidP="002258EF">
      <w:pPr>
        <w:tabs>
          <w:tab w:val="left" w:pos="8505"/>
        </w:tabs>
        <w:spacing w:after="234"/>
        <w:ind w:left="-5" w:right="112"/>
      </w:pPr>
      <w:r>
        <w:t xml:space="preserve">Todas las obligaciones expuestas permiten afirmar que el borrador de convenio remitido integra los elementos que permiten calificarlo como convenio de colaboración en el que se incluyen obligaciones económicas para ambas partes. </w:t>
      </w:r>
    </w:p>
    <w:p w:rsidR="00A17B8A" w:rsidRDefault="00CE1516" w:rsidP="002258EF">
      <w:pPr>
        <w:tabs>
          <w:tab w:val="left" w:pos="8505"/>
        </w:tabs>
        <w:ind w:left="-5" w:right="112"/>
      </w:pPr>
      <w:r>
        <w:t>La misma conclusión se alcanza mediante el criterio a sensu contrario, ya que el texto remitido no reúne los elementos propios de un contrato</w:t>
      </w:r>
      <w:r>
        <w:rPr>
          <w:vertAlign w:val="superscript"/>
        </w:rPr>
        <w:footnoteReference w:id="2"/>
      </w:r>
      <w:r>
        <w:t xml:space="preserve"> ni de una subvención pública.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lastRenderedPageBreak/>
        <w:t>Por lo tanto, se puede afirma</w:t>
      </w:r>
      <w:r w:rsidR="002258EF">
        <w:t>r que el texto remitido goza d</w:t>
      </w:r>
      <w:r>
        <w:t xml:space="preserve">el carácter de Convenio de Colaboración.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0" w:line="259" w:lineRule="auto"/>
        <w:ind w:right="112"/>
        <w:jc w:val="center"/>
      </w:pPr>
      <w:r>
        <w:rPr>
          <w:b/>
        </w:rPr>
        <w:t xml:space="preserve">IV </w:t>
      </w:r>
    </w:p>
    <w:p w:rsidR="00A17B8A" w:rsidRDefault="00CE1516" w:rsidP="002258EF">
      <w:pPr>
        <w:tabs>
          <w:tab w:val="left" w:pos="8505"/>
        </w:tabs>
        <w:spacing w:after="0" w:line="259" w:lineRule="auto"/>
        <w:ind w:right="112"/>
        <w:jc w:val="center"/>
      </w:pPr>
      <w:r>
        <w:rPr>
          <w:b/>
        </w:rPr>
        <w:t xml:space="preserve">Fiscalización del convenio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esta última consideración procede afrontar la cuestión relativa a la necesidad o no de fiscalizar el convenio y, en caso afirmativo, determinar la Intervención Delegada que debe realizarla.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5" w:line="249" w:lineRule="auto"/>
        <w:ind w:left="-5" w:right="112"/>
      </w:pPr>
      <w:r>
        <w:t>El artículo 2 de la Ley 9/1990, de 8 de noviembre, reguladora de la Hacienda de la Comunidad de Madrid –en adelante LRHCM-, dice que “</w:t>
      </w:r>
      <w:r>
        <w:rPr>
          <w:i/>
        </w:rPr>
        <w:t>La Hacienda de la Comunidad de Madrid, a los efectos de esta Ley, está constituida por el conjunto de derechos y obligaciones de contenido económico cuya titularidad corresponde a la Comunidad de Madrid, sus Organismos Autónomos, Empresas Públicas y demás Entes Públicos.</w:t>
      </w:r>
      <w:r>
        <w:t>”; a su vez el artículo 16.2 de la LRHCM establece que “</w:t>
      </w:r>
      <w:r>
        <w:rPr>
          <w:i/>
        </w:rPr>
        <w:t>La función interventora tiene por objeto controlar todos los actos de la Administración de la Comunidad y de sus Organismos Autónomos que den lugar al reconocimiento de derechos y obligaciones de contenido económico, así como los ingresos y pagos que de ellos se deriven, y la recaudación, inversión, o aplicación en general de los caudales públicos, con el fin de asegurar que la administración de la Hacienda se ajuste a las disposiciones legales aplicables en cada caso.</w:t>
      </w:r>
      <w:r>
        <w:t>”; y, por último, el artículo 82 de esta Ley dice que “</w:t>
      </w:r>
      <w:r>
        <w:rPr>
          <w:i/>
        </w:rPr>
        <w:t>Todos los actos, documentos y expedientes de la Administración de la Comunidad de los que se deriven derechos y obligaciones de contenido económico serán intervenidos y contabilizados con arreglo a lo dispuesto en la presente Ley y en sus disposiciones complementarias</w:t>
      </w:r>
      <w:r>
        <w:t xml:space="preserve">”, mientras que el artículo 83 dispone que: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5" w:line="249" w:lineRule="auto"/>
        <w:ind w:left="-5" w:right="112"/>
      </w:pPr>
      <w:r>
        <w:t>“</w:t>
      </w:r>
      <w:r>
        <w:rPr>
          <w:b/>
          <w:i/>
        </w:rPr>
        <w:t xml:space="preserve">1.  </w:t>
      </w:r>
      <w:r>
        <w:rPr>
          <w:i/>
        </w:rPr>
        <w:t xml:space="preserve">La función a que se refiere el artículo 16 de esta Ley se ejercerá en sus modalidades de intervención crítica o fiscalización formal y material, con la extensión y los efectos que se determinan en esta Ley y en las demás disposiciones de aplicación. </w:t>
      </w:r>
    </w:p>
    <w:p w:rsidR="00A17B8A" w:rsidRDefault="00CE1516" w:rsidP="002258EF">
      <w:pPr>
        <w:tabs>
          <w:tab w:val="left" w:pos="8505"/>
        </w:tabs>
        <w:spacing w:after="5" w:line="249" w:lineRule="auto"/>
        <w:ind w:left="-5" w:right="112"/>
      </w:pPr>
      <w:r>
        <w:rPr>
          <w:b/>
          <w:i/>
        </w:rPr>
        <w:t xml:space="preserve">2.  </w:t>
      </w:r>
      <w:r>
        <w:rPr>
          <w:i/>
        </w:rPr>
        <w:t xml:space="preserve">El ejercicio de la expresada función comprenderá: </w:t>
      </w:r>
    </w:p>
    <w:p w:rsidR="00A17B8A" w:rsidRDefault="00CE1516" w:rsidP="002258EF">
      <w:pPr>
        <w:tabs>
          <w:tab w:val="left" w:pos="8505"/>
        </w:tabs>
        <w:spacing w:after="0" w:line="259" w:lineRule="auto"/>
        <w:ind w:left="720" w:right="112" w:firstLine="0"/>
        <w:jc w:val="left"/>
      </w:pPr>
      <w:r>
        <w:rPr>
          <w:i/>
        </w:rPr>
        <w:t xml:space="preserve"> </w:t>
      </w:r>
    </w:p>
    <w:p w:rsidR="00A17B8A" w:rsidRDefault="00CE1516" w:rsidP="002258EF">
      <w:pPr>
        <w:tabs>
          <w:tab w:val="left" w:pos="8505"/>
        </w:tabs>
        <w:spacing w:after="5" w:line="249" w:lineRule="auto"/>
        <w:ind w:left="370" w:right="112"/>
      </w:pPr>
      <w:r>
        <w:rPr>
          <w:b/>
          <w:i/>
        </w:rPr>
        <w:t xml:space="preserve">a) </w:t>
      </w:r>
      <w:r>
        <w:rPr>
          <w:i/>
        </w:rPr>
        <w:t xml:space="preserve">La intervención previa de todo acto, documento o expediente susceptible de producir derechos y obligaciones de contenido económico o movimiento de fondos y valores. </w:t>
      </w:r>
    </w:p>
    <w:p w:rsidR="00A17B8A" w:rsidRDefault="00CE1516" w:rsidP="002258EF">
      <w:pPr>
        <w:tabs>
          <w:tab w:val="left" w:pos="8505"/>
        </w:tabs>
        <w:spacing w:after="0" w:line="259" w:lineRule="auto"/>
        <w:ind w:left="0" w:right="112" w:firstLine="0"/>
        <w:jc w:val="left"/>
      </w:pPr>
      <w:r>
        <w:rPr>
          <w:i/>
        </w:rPr>
        <w:t xml:space="preserve"> </w:t>
      </w:r>
    </w:p>
    <w:p w:rsidR="00A17B8A" w:rsidRDefault="00CE1516" w:rsidP="002258EF">
      <w:pPr>
        <w:tabs>
          <w:tab w:val="left" w:pos="8505"/>
        </w:tabs>
        <w:ind w:left="-5" w:right="112"/>
      </w:pPr>
      <w:r>
        <w:rPr>
          <w:i/>
        </w:rPr>
        <w:t>…</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Asimismo, hay que citar el artículo 85.6 de la LRHCM que dice que: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5" w:line="249" w:lineRule="auto"/>
        <w:ind w:left="-5" w:right="112"/>
      </w:pPr>
      <w:r>
        <w:t>“</w:t>
      </w:r>
      <w:r>
        <w:rPr>
          <w:i/>
        </w:rPr>
        <w:t>La fiscalización previa de los derechos y de los movimientos internos de fondos será sustituida por la inherente a la toma de razón en contabilidad, estableciéndose las actuaciones comprobatorias posteriores que determine la Intervención General de la Comunidad.</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Para resolver la cuestión planteada basta con subsumir las obligaciones fijadas en el borrador de Convenio con las normas transcritas.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lo que se refiere a gastos de personal el Anexo I del Convenio se refiere expresamente a los gastos de formación que se impartirá al personal transferido, que serán asumidos por el IMAP con cargo al programa 921N, se estiman en un importe de 23.640,00 € por anualidad, salvo en el año 2020 que será por un importe de 15.760 €; en cuanto a los gastos retributivos, en el Convenio no se pormenorizan, pero sí en la memoria económica que los cuantifica en un importe máximo previsto de 4.645.552,89 euros. </w:t>
      </w:r>
    </w:p>
    <w:p w:rsidR="00A17B8A" w:rsidRDefault="00CE1516" w:rsidP="002258EF">
      <w:pPr>
        <w:tabs>
          <w:tab w:val="left" w:pos="8505"/>
        </w:tabs>
        <w:spacing w:after="0" w:line="259" w:lineRule="auto"/>
        <w:ind w:left="0" w:right="112" w:firstLine="0"/>
        <w:jc w:val="left"/>
      </w:pPr>
      <w:r>
        <w:lastRenderedPageBreak/>
        <w:t xml:space="preserve"> </w:t>
      </w:r>
    </w:p>
    <w:p w:rsidR="00A17B8A" w:rsidRDefault="00CE1516" w:rsidP="002258EF">
      <w:pPr>
        <w:tabs>
          <w:tab w:val="left" w:pos="8505"/>
        </w:tabs>
        <w:ind w:left="-5" w:right="112"/>
      </w:pPr>
      <w:r>
        <w:t xml:space="preserve">Respecto a los gastos producidos por la transferencia de medios materiales del Ayuntamiento de Leganés a la Comunidad de Madrid (en el Anexo II del convenio), según la memoria económica se cuantifican en: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2"/>
        </w:numPr>
        <w:tabs>
          <w:tab w:val="left" w:pos="8505"/>
        </w:tabs>
        <w:ind w:right="112" w:hanging="348"/>
      </w:pPr>
      <w:r>
        <w:t xml:space="preserve">Mobiliario 72.606,79 €. </w:t>
      </w:r>
    </w:p>
    <w:p w:rsidR="00A17B8A" w:rsidRDefault="00CE1516" w:rsidP="002258EF">
      <w:pPr>
        <w:numPr>
          <w:ilvl w:val="0"/>
          <w:numId w:val="2"/>
        </w:numPr>
        <w:tabs>
          <w:tab w:val="left" w:pos="8505"/>
        </w:tabs>
        <w:ind w:right="112" w:hanging="348"/>
      </w:pPr>
      <w:r>
        <w:t xml:space="preserve">Herramientas y útiles 194.582,43 €. </w:t>
      </w:r>
    </w:p>
    <w:p w:rsidR="00A17B8A" w:rsidRDefault="00CE1516" w:rsidP="002258EF">
      <w:pPr>
        <w:numPr>
          <w:ilvl w:val="0"/>
          <w:numId w:val="2"/>
        </w:numPr>
        <w:tabs>
          <w:tab w:val="left" w:pos="8505"/>
        </w:tabs>
        <w:ind w:right="112" w:hanging="348"/>
      </w:pPr>
      <w:r>
        <w:t xml:space="preserve">Vehículos 1.424.034,78 €. </w:t>
      </w:r>
    </w:p>
    <w:p w:rsidR="00A17B8A" w:rsidRDefault="00CE1516" w:rsidP="002258EF">
      <w:pPr>
        <w:numPr>
          <w:ilvl w:val="0"/>
          <w:numId w:val="2"/>
        </w:numPr>
        <w:tabs>
          <w:tab w:val="left" w:pos="8505"/>
        </w:tabs>
        <w:ind w:right="112" w:hanging="348"/>
      </w:pPr>
      <w:r>
        <w:t xml:space="preserve">Contratos vinculados al parque de bomberos el coste anual total será de 350.203,27 euros y solo para el 2020 este importe será de 273.285,51 euros. </w:t>
      </w:r>
      <w:r>
        <w:rPr>
          <w:rFonts w:ascii="Calibri" w:eastAsia="Calibri" w:hAnsi="Calibri" w:cs="Calibri"/>
          <w:sz w:val="23"/>
        </w:rP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5" w:line="249" w:lineRule="auto"/>
        <w:ind w:left="-5" w:right="112"/>
      </w:pPr>
      <w:r>
        <w:t>A mayor abundamiento de lo dicho, la página sexta de la memoria económica dice que “</w:t>
      </w:r>
      <w:r>
        <w:rPr>
          <w:i/>
        </w:rPr>
        <w:t>Del presente convenio se derivarán una serie de gastos a consecuencia de su ejecución y cumplimiento, debiendo ser asumidos por la Comunidad de Madrid con cargo a los programas 134 A y 921 N</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lo que se refiere a los ingresos, los mismos se pueden cuantificar en los siguientes importes: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3"/>
        </w:numPr>
        <w:tabs>
          <w:tab w:val="left" w:pos="8505"/>
        </w:tabs>
        <w:ind w:right="112" w:hanging="348"/>
      </w:pPr>
      <w:r>
        <w:t xml:space="preserve">Tasa prevención y extinción de incendios 3.093.915,60 €/año </w:t>
      </w:r>
    </w:p>
    <w:p w:rsidR="00A17B8A" w:rsidRDefault="00CE1516" w:rsidP="002258EF">
      <w:pPr>
        <w:numPr>
          <w:ilvl w:val="0"/>
          <w:numId w:val="3"/>
        </w:numPr>
        <w:tabs>
          <w:tab w:val="left" w:pos="8505"/>
        </w:tabs>
        <w:ind w:right="112" w:hanging="348"/>
      </w:pPr>
      <w:r>
        <w:t xml:space="preserve">UNESPA 638.992,82 €/año.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Por tanto, el contenido económico del convenio, que constituye un negocio jurídico generador de derechos y obligaciones de contenido económico, que no viene determinado por la existencia de un documento contable, es claro para este Centro Fiscal, por lo que, de conformidad con la LRHCM, debe ser sometido a intervención previa</w:t>
      </w:r>
      <w:r w:rsidR="00616B48">
        <w:rPr>
          <w:rStyle w:val="Refdenotaalpie"/>
        </w:rPr>
        <w:footnoteReference w:id="3"/>
      </w:r>
      <w:r>
        <w:t>. En el mismo sentido, la Junta Consultiva de Contratación Administrativa del Estado en su informe 17/12, de 20 de diciembre, respecto del valor estimado en los Acuerdos marco, dice que “</w:t>
      </w:r>
      <w:r>
        <w:rPr>
          <w:i/>
        </w:rPr>
        <w:t>Por tal motivo, no afecta a ningún elemento constitutivo del contrato, por lo que no es preceptivo que se determine ni en los pliegos ni en el contrato…basta con señalar que deberá figurar en alguno de los documentos que se incorporan al expediente de contratación a fin de que se pueda proceder e la fiscalización previa y a la posterior aprobación del expediente (artículos 93 y 94 de la LCSP).</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En el ámbito contractual este ha sido el criterio seguido para establecer el valor económico de las relaciones obligacionales de las partes, a efectos de establecer el valor estimado del contrato, que es el relevante a efectos de publicidad, procedimientos de adjudicación, solvencia del empresario y recursos contractuales, independiente de conceptos como el </w:t>
      </w:r>
      <w:r>
        <w:lastRenderedPageBreak/>
        <w:t xml:space="preserve">presupuesto de licitación, que vendrá determinado por el precio a abonar al contratista, o por el contratista si existe un canon.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Ese criterio, sentado en el informe de la de la Junta Consultiva de Contratación del Estado en su Informe 25/2012, de 20 de noviembre, fue expresamente asumido también en el Informe 13/2014, de 7 de mayo, de la Junta Consultiva de Contratación Administrativa de la Comunidad Autónoma de Aragón, sobre el valor estimado de los servicios de gestión de bares, restaurantes, barras de fiestas o similares. Esa Junta consultiva concluía que «no es posible, por tanto, considerar que en este tipo de contratos pueda considerarse un valor estimado cero o negativo, aunque el precio a satisfacer por el ente contratante sí lo pueda ser. En consecuencia, debe computarse, para el cálculo del valor estimado del contrato, […] el valor total del negocio».  </w:t>
      </w:r>
    </w:p>
    <w:p w:rsidR="00A17B8A" w:rsidRDefault="00CE1516" w:rsidP="002258EF">
      <w:pPr>
        <w:tabs>
          <w:tab w:val="left" w:pos="8505"/>
        </w:tabs>
        <w:spacing w:after="0" w:line="259" w:lineRule="auto"/>
        <w:ind w:left="0" w:right="112" w:firstLine="0"/>
        <w:jc w:val="left"/>
      </w:pPr>
      <w:r>
        <w:t xml:space="preserve"> </w:t>
      </w:r>
    </w:p>
    <w:p w:rsidR="00616B48" w:rsidRDefault="00CE1516" w:rsidP="00616B48">
      <w:pPr>
        <w:tabs>
          <w:tab w:val="left" w:pos="8505"/>
        </w:tabs>
        <w:spacing w:after="135"/>
        <w:ind w:left="-5" w:right="112"/>
      </w:pPr>
      <w:r>
        <w:t>Igual ocurre con la determinación del valor estimado de los contratos de concesión de obras y de concesión de servicios. Así en el artículo el art. 101.1, b) Ley 9/2017, de 8 de noviembre, de Contratos del Sector Público, por la que se transponen al ordenamiento jurídico español las Directivas del Parlamento Europeo y del Consejo 2014/23/UE y 2014/24/UE, de 26 de febrero de 2014. (LCSP)</w:t>
      </w:r>
    </w:p>
    <w:p w:rsidR="00A17B8A" w:rsidRDefault="00CE1516" w:rsidP="00616B48">
      <w:pPr>
        <w:tabs>
          <w:tab w:val="left" w:pos="8505"/>
        </w:tabs>
        <w:spacing w:after="135"/>
        <w:ind w:left="-5" w:right="112"/>
      </w:pPr>
      <w:r>
        <w:t xml:space="preserve">«1. A todos los efectos previstos en esta Ley, el valor estimado de los contratos será determinado como sigue: […] </w:t>
      </w:r>
    </w:p>
    <w:p w:rsidR="00A17B8A" w:rsidRDefault="00CE1516" w:rsidP="002258EF">
      <w:pPr>
        <w:tabs>
          <w:tab w:val="left" w:pos="8505"/>
        </w:tabs>
        <w:ind w:left="-5" w:right="112"/>
      </w:pPr>
      <w:r>
        <w:t>b) En el caso de los contratos de concesión de obras y de concesión de servicios, el órgano de contratación tomará el importe neto de la cifra de negocios, sin incluir el Impuesto sobre el Valor Añadido,</w:t>
      </w:r>
      <w:r w:rsidR="00616B48">
        <w:t xml:space="preserve"> </w:t>
      </w:r>
      <w:r>
        <w:t xml:space="preserve">que según sus estimaciones, generará la empresa concesionaria durante la ejecución del mismo como contraprestación por las obras y los servicios objeto del contrato, así como de los suministros relacionados con estas obras y servicios.” </w:t>
      </w:r>
    </w:p>
    <w:p w:rsidR="00A17B8A" w:rsidRDefault="00CE1516" w:rsidP="002258EF">
      <w:pPr>
        <w:tabs>
          <w:tab w:val="left" w:pos="8505"/>
        </w:tabs>
        <w:spacing w:after="0" w:line="259" w:lineRule="auto"/>
        <w:ind w:left="0" w:right="112" w:firstLine="0"/>
        <w:jc w:val="left"/>
      </w:pPr>
      <w:r>
        <w:t xml:space="preserve"> </w:t>
      </w:r>
    </w:p>
    <w:p w:rsidR="00616B48" w:rsidRDefault="00CE1516" w:rsidP="00616B48">
      <w:pPr>
        <w:tabs>
          <w:tab w:val="left" w:pos="8505"/>
        </w:tabs>
        <w:ind w:left="-5" w:right="112"/>
      </w:pPr>
      <w:r>
        <w:t>En lo que se refiere al órgano competente para realizar esta intervención el artículo 84 de la LRHCM se remite al desarrollo reglamentario para determinar la competencia entre el Interventor General</w:t>
      </w:r>
      <w:r w:rsidR="00616B48">
        <w:t xml:space="preserve"> y los Interventores Delegados.</w:t>
      </w:r>
    </w:p>
    <w:p w:rsidR="00616B48" w:rsidRDefault="00616B48" w:rsidP="00616B48">
      <w:pPr>
        <w:tabs>
          <w:tab w:val="left" w:pos="8505"/>
        </w:tabs>
        <w:ind w:left="-5" w:right="112"/>
      </w:pPr>
    </w:p>
    <w:p w:rsidR="00616B48" w:rsidRDefault="00CE1516" w:rsidP="00616B48">
      <w:pPr>
        <w:tabs>
          <w:tab w:val="left" w:pos="8505"/>
        </w:tabs>
        <w:ind w:left="-5" w:right="112"/>
      </w:pPr>
      <w:r>
        <w:t>El artículo 8 del Decreto 45/1997, de 20 de marzo, por el que se desarrolla el Régimen de</w:t>
      </w:r>
      <w:r w:rsidR="00616B48">
        <w:t xml:space="preserve"> </w:t>
      </w:r>
      <w:r>
        <w:t xml:space="preserve">Control Interno y Contable ejercido por la Intervención General de la Comunidad de Madrid, dice que: </w:t>
      </w:r>
    </w:p>
    <w:p w:rsidR="00616B48" w:rsidRDefault="00616B48" w:rsidP="00616B48">
      <w:pPr>
        <w:tabs>
          <w:tab w:val="left" w:pos="8505"/>
        </w:tabs>
        <w:ind w:left="-5" w:right="112"/>
      </w:pPr>
    </w:p>
    <w:p w:rsidR="00A17B8A" w:rsidRDefault="00CE1516" w:rsidP="00616B48">
      <w:pPr>
        <w:tabs>
          <w:tab w:val="left" w:pos="8505"/>
        </w:tabs>
        <w:ind w:left="-5" w:right="112"/>
      </w:pPr>
      <w:r>
        <w:t>“</w:t>
      </w:r>
      <w:r>
        <w:rPr>
          <w:i/>
        </w:rPr>
        <w:t xml:space="preserve">La función interventora se rige por el principio de ejercicio desconcentrado. La distribución de competencias </w:t>
      </w:r>
      <w:r>
        <w:t>entre</w:t>
      </w:r>
      <w:r>
        <w:rPr>
          <w:i/>
        </w:rPr>
        <w:t xml:space="preserve"> la Intervención General y las Intervenciones Delegadas a que se refiere el artículo 84.1 de la Ley 9/1990, Reguladora de la Hacienda de la Comunidad de Madrid, se establece del modo siguiente: </w:t>
      </w:r>
    </w:p>
    <w:p w:rsidR="00A17B8A" w:rsidRDefault="00CE1516" w:rsidP="002258EF">
      <w:pPr>
        <w:tabs>
          <w:tab w:val="left" w:pos="8505"/>
        </w:tabs>
        <w:spacing w:after="0" w:line="259" w:lineRule="auto"/>
        <w:ind w:left="0" w:right="112" w:firstLine="0"/>
        <w:jc w:val="left"/>
      </w:pPr>
      <w:r>
        <w:rPr>
          <w:i/>
        </w:rPr>
        <w:t xml:space="preserve">  </w:t>
      </w:r>
    </w:p>
    <w:p w:rsidR="00A17B8A" w:rsidRDefault="00CE1516" w:rsidP="002258EF">
      <w:pPr>
        <w:tabs>
          <w:tab w:val="left" w:pos="8505"/>
        </w:tabs>
        <w:spacing w:after="5" w:line="249" w:lineRule="auto"/>
        <w:ind w:left="-5" w:right="112"/>
      </w:pPr>
      <w:r>
        <w:rPr>
          <w:i/>
        </w:rPr>
        <w:t xml:space="preserve">a) El Interventor general ejercerá la fiscalización previa de los actos de aprobación de los gastos siguientes: </w:t>
      </w:r>
    </w:p>
    <w:p w:rsidR="00A17B8A" w:rsidRDefault="00CE1516" w:rsidP="002258EF">
      <w:pPr>
        <w:tabs>
          <w:tab w:val="left" w:pos="8505"/>
        </w:tabs>
        <w:spacing w:after="0" w:line="259" w:lineRule="auto"/>
        <w:ind w:left="0" w:right="112" w:firstLine="0"/>
        <w:jc w:val="left"/>
      </w:pPr>
      <w:r>
        <w:rPr>
          <w:i/>
        </w:rPr>
        <w:t xml:space="preserve">  </w:t>
      </w:r>
    </w:p>
    <w:p w:rsidR="00A17B8A" w:rsidRDefault="00CE1516" w:rsidP="002258EF">
      <w:pPr>
        <w:tabs>
          <w:tab w:val="left" w:pos="8505"/>
        </w:tabs>
        <w:spacing w:after="5" w:line="249" w:lineRule="auto"/>
        <w:ind w:left="370" w:right="112"/>
      </w:pPr>
      <w:r>
        <w:rPr>
          <w:i/>
        </w:rPr>
        <w:t xml:space="preserve">1) Los que hayan de ser aprobados por el Consejo de Gobierno. </w:t>
      </w:r>
    </w:p>
    <w:p w:rsidR="00A17B8A" w:rsidRDefault="00CE1516" w:rsidP="002258EF">
      <w:pPr>
        <w:tabs>
          <w:tab w:val="left" w:pos="8505"/>
        </w:tabs>
        <w:spacing w:after="0" w:line="259" w:lineRule="auto"/>
        <w:ind w:left="360" w:right="112" w:firstLine="0"/>
        <w:jc w:val="left"/>
      </w:pPr>
      <w:r>
        <w:rPr>
          <w:i/>
        </w:rPr>
        <w:t xml:space="preserve"> </w:t>
      </w:r>
    </w:p>
    <w:p w:rsidR="00A17B8A" w:rsidRDefault="00CE1516" w:rsidP="002258EF">
      <w:pPr>
        <w:tabs>
          <w:tab w:val="left" w:pos="8505"/>
        </w:tabs>
        <w:ind w:left="370" w:right="112"/>
      </w:pPr>
      <w:r>
        <w:rPr>
          <w:i/>
        </w:rPr>
        <w:t>…</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5" w:line="249" w:lineRule="auto"/>
        <w:ind w:left="-5" w:right="112"/>
      </w:pPr>
      <w:r>
        <w:t>En relación con lo anterior el artículo 46 de la Ley 9/2018, de 26 de diciembre, de Presupuestos Generales de la Comunidad de Madrid para el año 2019 (prorrogados para 2020), establece que “</w:t>
      </w:r>
      <w:r>
        <w:rPr>
          <w:i/>
        </w:rPr>
        <w:t xml:space="preserve">En relación con lo dispuesto en el artículo 55.3.a) y en el artículo 69.1.c) de la Ley 9/1990, de 8 de noviembre, Reguladora de la Hacienda de la Comunidad de Madrid, estará reservada al Consejo de Gobierno la autorización o compromiso de gastos de capital y operaciones financieras cuya cuantía exceda de 750.000 euros, o de 250.000 euros en gastos corrientes”. </w:t>
      </w:r>
    </w:p>
    <w:p w:rsidR="00A17B8A" w:rsidRDefault="00CE1516" w:rsidP="002258EF">
      <w:pPr>
        <w:tabs>
          <w:tab w:val="left" w:pos="8505"/>
        </w:tabs>
        <w:spacing w:after="0" w:line="259" w:lineRule="auto"/>
        <w:ind w:left="0" w:right="112" w:firstLine="0"/>
        <w:jc w:val="left"/>
      </w:pPr>
      <w:r>
        <w:rPr>
          <w:i/>
        </w:rPr>
        <w:lastRenderedPageBreak/>
        <w:t xml:space="preserve"> </w:t>
      </w:r>
    </w:p>
    <w:p w:rsidR="00A17B8A" w:rsidRDefault="00CE1516" w:rsidP="002258EF">
      <w:pPr>
        <w:tabs>
          <w:tab w:val="left" w:pos="8505"/>
        </w:tabs>
        <w:ind w:left="-5" w:right="112"/>
      </w:pPr>
      <w:r>
        <w:t xml:space="preserve">De acuerdo con lo expuesto en la primera parte de esta conclusión, así como en la anterior consideración, podemos concluir que el montante económico de las obligaciones entre las partes, la Comunidad de Madrid y el Ayuntamiento de Leganés del Convenio analizado, superan ampliamente tales cuantías, por lo que procedería entender que el informe fiscal corresponde emitirlo a la Intervención General a propuesta de la Intervención Delegada de Consejo de Gobierno, aun cuando del expediente no se derive la necesidad de aprobar gasto alguno.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La misma interpretación se siguió por esta Intervención General en el informe de 13 de marzo de 2017, en el que con ocasión del análisis de la fiscalización en el ámbito contractual de los Acuerdos marco, de forma que era el valor estimado del acuerdo marco el que determinaba la Intervención que efectuaba la fiscalización del expediente, se decía que “</w:t>
      </w:r>
      <w:r>
        <w:rPr>
          <w:i/>
        </w:rPr>
        <w:t xml:space="preserve">Los acuerdos marco que en función de su valor estimado requieran la autorización del Consejo de Gobierno, requerirán la </w:t>
      </w:r>
      <w:r>
        <w:rPr>
          <w:b/>
          <w:i/>
        </w:rPr>
        <w:t>fiscalización plena previa de la Intervención delegada de este Órgano</w:t>
      </w:r>
      <w:r>
        <w:rPr>
          <w:i/>
        </w:rPr>
        <w:t>.</w:t>
      </w:r>
      <w:r>
        <w:t xml:space="preserve">”, señalándose en la conclusión número 2 que </w:t>
      </w:r>
      <w:r>
        <w:rPr>
          <w:i/>
        </w:rPr>
        <w:t>“La fiscalización deberá efectuarse por la Intervención delegada del órgano que debe autorizar el acuerdo marco en función de su valor estimado y, en el supuesto que nos ocupa haciendo la salvedad de que el análisis definitivo deberá realizarse con el expediente administrativo completo, corresponderá la fiscalización a la Intervención delegada de Consejo de Gobierno</w:t>
      </w:r>
      <w:r>
        <w:t xml:space="preserve">”. En este momento no cabe sino asumir y reiterar los fundados y plenamente vigentes criterios del referido informe, de forma que no existe ningún razonamiento cabal que no los aplique, </w:t>
      </w:r>
      <w:r>
        <w:rPr>
          <w:i/>
        </w:rPr>
        <w:t>mutatis mutandi</w:t>
      </w:r>
      <w:r>
        <w:t xml:space="preserve">, a los convenios.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Sentada la premisa de que el expediente sí debe ser sometido a fiscalización y por qué Intervención Delegada, procede analizar si el expediente debe ser sometido a la autorización previa del Consejo de Gobierno para su autorización y a la aprobación de su gasto.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Sobre esta cuestión procede, en primer lugar, reiterando lo señalado en el informe de 13 de marzo de 2017, más arriba citado, recordar que la normativa de la Comunidad de Madrid sobre intervención, incluida la Circular 1/1998, de 26 de enero, de la Intervención General de la Comunidad de Madrid, por la que se dictan instrucciones sobre el ejercicio de la Función Fiscalizadora, pertenecen a la década de los 90 del siglo pasado, no existiendo una norma que se refiera expresamente a este supuesto. Sin embargo, acudiendo al artículo 3 del Código Civil, se significa que disponemos de: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4"/>
        </w:numPr>
        <w:tabs>
          <w:tab w:val="left" w:pos="8505"/>
        </w:tabs>
        <w:ind w:right="112" w:hanging="348"/>
      </w:pPr>
      <w:r>
        <w:t xml:space="preserve">El </w:t>
      </w:r>
      <w:r w:rsidR="00616B48">
        <w:t>artículo</w:t>
      </w:r>
      <w:r>
        <w:t xml:space="preserve"> 21.q) de Ley 1/1983, de 13 de diciembre, de Gobierno y Administración de la Comunidad de Madrid, que atribuye al Consejo de Gobierno de la Comunidad de Madrid la competencia para autorizar la celebración de contratos en los supuestos a que se refiere el artículo 64 de la Ley 1/1983 (supuestos entre los que figura aquellos contratos cuya cuantía coincida con las cuantías que para la autorización de gastos la Ley de Presupuestos Generales de la Comunidad de Madrid reserve a la autorización del Gobierno, así como los contratos de carácter plurianual que requieran la modificación de los porcentajes o del número de anualidades a los que se refiere el artículo 55.4 de la Ley Reguladora de la Hacienda de la Comunidad de Madrid). </w:t>
      </w:r>
    </w:p>
    <w:p w:rsidR="00616B48" w:rsidRDefault="00616B48" w:rsidP="00616B48">
      <w:pPr>
        <w:tabs>
          <w:tab w:val="left" w:pos="8505"/>
        </w:tabs>
        <w:ind w:left="708" w:right="112" w:firstLine="0"/>
      </w:pPr>
    </w:p>
    <w:p w:rsidR="00A17B8A" w:rsidRDefault="00616B48" w:rsidP="00616B48">
      <w:pPr>
        <w:numPr>
          <w:ilvl w:val="0"/>
          <w:numId w:val="4"/>
        </w:numPr>
        <w:tabs>
          <w:tab w:val="left" w:pos="8505"/>
        </w:tabs>
        <w:spacing w:after="0" w:line="259" w:lineRule="auto"/>
        <w:ind w:left="730" w:right="112" w:hanging="348"/>
      </w:pPr>
      <w:r>
        <w:t>La</w:t>
      </w:r>
      <w:r w:rsidR="00CE1516">
        <w:t xml:space="preserve"> Ley 8/1999, de 9 abril, de adecuación de la Normativa de la Comunidad de </w:t>
      </w:r>
      <w:r>
        <w:t xml:space="preserve">Madrid </w:t>
      </w:r>
      <w:r w:rsidR="00CE1516">
        <w:t xml:space="preserve">a la Ley Estatal 4/1999, de 13 de enero, de modificación de la Ley 30/1992, de 26 de noviembre, de Régimen Jurídico de las Administraciones Públicas y del Procedimiento Administrativo Común, que no establece las competencias para autorizar la celebración de Convenios, sino que sólo se refiere al órgano competente para la suscripción de los mismos (El Acuerdo de 16 de octubre de 2003, del Consejo de Gobierno, por el que se aprueban criterios de coordinación de la actividad </w:t>
      </w:r>
      <w:r w:rsidR="00CE1516">
        <w:lastRenderedPageBreak/>
        <w:t>convencional de la Comunidad de Madrid, en su apartado 8 establece que “</w:t>
      </w:r>
      <w:r w:rsidR="00CE1516" w:rsidRPr="00616B48">
        <w:rPr>
          <w:i/>
        </w:rPr>
        <w:t xml:space="preserve">8.1 La celebración de convenios administrativos requerirá la autorización previa del Gobierno en los casos siguientes: </w:t>
      </w:r>
    </w:p>
    <w:p w:rsidR="00A17B8A" w:rsidRDefault="00CE1516" w:rsidP="002258EF">
      <w:pPr>
        <w:tabs>
          <w:tab w:val="left" w:pos="8505"/>
        </w:tabs>
        <w:spacing w:after="0" w:line="259" w:lineRule="auto"/>
        <w:ind w:left="0" w:right="112" w:firstLine="0"/>
        <w:jc w:val="left"/>
      </w:pPr>
      <w:r>
        <w:rPr>
          <w:i/>
        </w:rPr>
        <w:t xml:space="preserve"> </w:t>
      </w:r>
    </w:p>
    <w:p w:rsidR="00A17B8A" w:rsidRDefault="00CE1516" w:rsidP="002258EF">
      <w:pPr>
        <w:tabs>
          <w:tab w:val="left" w:pos="8505"/>
        </w:tabs>
        <w:spacing w:after="5" w:line="249" w:lineRule="auto"/>
        <w:ind w:left="730" w:right="112"/>
      </w:pPr>
      <w:r>
        <w:rPr>
          <w:i/>
        </w:rPr>
        <w:t xml:space="preserve">… </w:t>
      </w:r>
    </w:p>
    <w:p w:rsidR="00A17B8A" w:rsidRDefault="00CE1516" w:rsidP="002258EF">
      <w:pPr>
        <w:tabs>
          <w:tab w:val="left" w:pos="8505"/>
        </w:tabs>
        <w:spacing w:after="5" w:line="249" w:lineRule="auto"/>
        <w:ind w:left="730" w:right="112"/>
      </w:pPr>
      <w:r>
        <w:rPr>
          <w:i/>
        </w:rPr>
        <w:t xml:space="preserve">b) Convenios de los que se derive un compromiso cuya adopción exija acuerdo del Gobierno, en virtud de norma legal o reglamentaria. </w:t>
      </w:r>
    </w:p>
    <w:p w:rsidR="00A17B8A" w:rsidRDefault="00CE1516" w:rsidP="002258EF">
      <w:pPr>
        <w:tabs>
          <w:tab w:val="left" w:pos="8505"/>
        </w:tabs>
        <w:spacing w:after="5" w:line="249" w:lineRule="auto"/>
        <w:ind w:left="730" w:right="112"/>
      </w:pPr>
      <w:r>
        <w:rPr>
          <w:i/>
        </w:rPr>
        <w:t>8.2. En uno y otro caso, la autorización previa se formalizará mediante Acuerdo del Consejo de Gobierno”</w:t>
      </w:r>
      <w:r>
        <w:t xml:space="preserve">) </w:t>
      </w:r>
    </w:p>
    <w:p w:rsidR="00A17B8A" w:rsidRDefault="00CE1516" w:rsidP="002258EF">
      <w:pPr>
        <w:tabs>
          <w:tab w:val="left" w:pos="8505"/>
        </w:tabs>
        <w:spacing w:after="0" w:line="259" w:lineRule="auto"/>
        <w:ind w:left="720" w:right="112" w:firstLine="0"/>
        <w:jc w:val="left"/>
      </w:pPr>
      <w:r>
        <w:t xml:space="preserve"> </w:t>
      </w:r>
    </w:p>
    <w:p w:rsidR="00A17B8A" w:rsidRDefault="00CE1516" w:rsidP="002258EF">
      <w:pPr>
        <w:tabs>
          <w:tab w:val="left" w:pos="8505"/>
        </w:tabs>
        <w:spacing w:after="19" w:line="259" w:lineRule="auto"/>
        <w:ind w:left="0" w:right="112" w:firstLine="0"/>
        <w:jc w:val="left"/>
      </w:pPr>
      <w:r>
        <w:rPr>
          <w:rFonts w:ascii="Times New Roman" w:eastAsia="Times New Roman" w:hAnsi="Times New Roman" w:cs="Times New Roman"/>
          <w:color w:val="FF0000"/>
        </w:rPr>
        <w:t xml:space="preserve"> </w:t>
      </w:r>
    </w:p>
    <w:p w:rsidR="00A17B8A" w:rsidRDefault="00CE1516" w:rsidP="002258EF">
      <w:pPr>
        <w:numPr>
          <w:ilvl w:val="0"/>
          <w:numId w:val="4"/>
        </w:numPr>
        <w:tabs>
          <w:tab w:val="left" w:pos="8505"/>
        </w:tabs>
        <w:ind w:right="112" w:hanging="348"/>
      </w:pPr>
      <w:r>
        <w:t xml:space="preserve">El artículo 31.2 del Decreto Legislativo 1/2006, de 28 de septiembre, por el que se aprueba el Texto Refundido de la Ley por la que se regulan los Servicios de Prevención, Extinción de Incendios y Salvamentos de la Comunidad de Madrid que, como las normas anteriores, únicamente se refiere al órgano competente para suscribir el Convenio, pero no el que debe autorizar su celebración.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4"/>
        </w:numPr>
        <w:tabs>
          <w:tab w:val="left" w:pos="8505"/>
        </w:tabs>
        <w:spacing w:after="5" w:line="249" w:lineRule="auto"/>
        <w:ind w:right="112" w:hanging="348"/>
      </w:pPr>
      <w:r>
        <w:t>La LRHCM cuyo artículo 55, sin perjuicio de otros preceptos citados a lo largo del cuerpo de este informe, atribuye la competencia para autorizar gastos de carácter plurianual “</w:t>
      </w:r>
      <w:r>
        <w:rPr>
          <w:i/>
        </w:rPr>
        <w:t>Al Gobierno de la Comunidad de Madrid cuando la suma del conjunto de las anualidades supere el importe fijado a estos efectos en la Ley de Presupuestos Generales de la Comunidad de Madrid</w:t>
      </w:r>
      <w:r>
        <w:t>”, atribuyendo, en su número 5, competencia al gobierno para que, a propuesta del Consejero de Hacienda, modifique “</w:t>
      </w:r>
      <w:r>
        <w:rPr>
          <w:i/>
        </w:rPr>
        <w:t>los porcentajes señalados en el número 4 de este artículo, así como modificar el número de anualidades en los casos especialmente justificados, supuestos en que corresponderá también al Gobierno la autorización del gasto de acuerdo con lo previsto en el artículo 69 de esta Ley, a petición de la correspondiente Consejería y previos los informes que se estimen oportunos y, en todo caso, el de la Consejería de Hacienda</w:t>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La interpretación conjunta de la normativa expuesta permite concluir que la celebración de un Convenio que significa unos gastos anuales para la Comunidad de Madrid muy por encima del umbral que requiere autorización del Consejo de Gobierno de la Comunidad de Madrid, y cuyo horizonte temporal es indefinido, debe ser autorizada por el Consejo de Gobierno. Lo contrario produciría la indeseable situación consistente en que un negocio jurídico que genera derechos y obligaciones económicos de importe superior a los umbrales económicos fijados para recabar la aprobación de éste órgano, sería desconocido por el mismo</w:t>
      </w:r>
      <w:r>
        <w:rPr>
          <w:vertAlign w:val="superscript"/>
        </w:rPr>
        <w:footnoteReference w:id="4"/>
      </w:r>
      <w:r>
        <w:t xml:space="preserve">.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Por   último, se significa que se ha analizado la norma su</w:t>
      </w:r>
      <w:r w:rsidR="00616B48">
        <w:t>stantiva que regula la materia -</w:t>
      </w:r>
      <w:r>
        <w:t xml:space="preserve">Decreto Legislativo 1/2006, de 28 de septiembre, por el que se aprueba el Texto Refundido de la Ley por la que se regulan los Servicios de Prevención, Extinción de Incendios y Salvamentos de la Comunidad de Madrid-, no conteniendo la mismo ninguna especialidad sobre la tramitación de este tipo de convenios, lo que implica que será de aplicación plena la normativa general: el Acuerdo de 16 de octubre de 2003, del Consejo de Gobierno, por el que se aprueban criterios de coordinación de la actividad convencional de la Comunidad de Madrid, así como los artículos 47 a 53 de la LRJSP. </w:t>
      </w:r>
    </w:p>
    <w:p w:rsidR="00A17B8A" w:rsidRDefault="00CE1516" w:rsidP="002258EF">
      <w:pPr>
        <w:tabs>
          <w:tab w:val="left" w:pos="8505"/>
        </w:tabs>
        <w:spacing w:after="0" w:line="259" w:lineRule="auto"/>
        <w:ind w:left="0" w:right="112" w:firstLine="0"/>
        <w:jc w:val="left"/>
      </w:pPr>
      <w:r>
        <w:lastRenderedPageBreak/>
        <w:t xml:space="preserve"> </w:t>
      </w:r>
    </w:p>
    <w:p w:rsidR="00A17B8A" w:rsidRDefault="00CE1516" w:rsidP="002258EF">
      <w:pPr>
        <w:tabs>
          <w:tab w:val="left" w:pos="8505"/>
        </w:tabs>
        <w:ind w:left="-5" w:right="112"/>
      </w:pPr>
      <w:r>
        <w:t xml:space="preserve">Por lo tanto, según todo lo anteriormente expuesto, el borrador de Convenio debe ser elevado al Consejo de gobierno para la autorización de su celebración e intervenido previamente por la Intervención Delegada en Consejo de Gobierno.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ind w:left="-5" w:right="112"/>
      </w:pPr>
      <w:r>
        <w:t xml:space="preserve">Con base en lo establecido en las anteriores consideraciones este Centro Directivo formula las siguientes </w:t>
      </w:r>
    </w:p>
    <w:p w:rsidR="00A17B8A" w:rsidRDefault="00CE1516" w:rsidP="002258EF">
      <w:pPr>
        <w:tabs>
          <w:tab w:val="left" w:pos="8505"/>
        </w:tabs>
        <w:spacing w:after="0" w:line="259" w:lineRule="auto"/>
        <w:ind w:left="0" w:right="112" w:firstLine="0"/>
        <w:jc w:val="left"/>
      </w:pPr>
      <w:r>
        <w:t xml:space="preserve"> </w:t>
      </w:r>
    </w:p>
    <w:p w:rsidR="00A17B8A" w:rsidRDefault="00CE1516" w:rsidP="002258EF">
      <w:pPr>
        <w:tabs>
          <w:tab w:val="left" w:pos="8505"/>
        </w:tabs>
        <w:spacing w:after="0" w:line="259" w:lineRule="auto"/>
        <w:ind w:right="112"/>
        <w:jc w:val="center"/>
      </w:pPr>
      <w:r>
        <w:rPr>
          <w:b/>
        </w:rPr>
        <w:t xml:space="preserve">CONCLUSIONES </w:t>
      </w:r>
    </w:p>
    <w:p w:rsidR="00A17B8A" w:rsidRDefault="00CE1516" w:rsidP="002258EF">
      <w:pPr>
        <w:tabs>
          <w:tab w:val="left" w:pos="8505"/>
        </w:tabs>
        <w:spacing w:after="19" w:line="259" w:lineRule="auto"/>
        <w:ind w:left="0" w:right="112" w:firstLine="0"/>
        <w:jc w:val="center"/>
      </w:pPr>
      <w:r>
        <w:rPr>
          <w:b/>
        </w:rPr>
        <w:t xml:space="preserve"> </w:t>
      </w:r>
    </w:p>
    <w:p w:rsidR="00A17B8A" w:rsidRDefault="00CE1516" w:rsidP="002258EF">
      <w:pPr>
        <w:numPr>
          <w:ilvl w:val="0"/>
          <w:numId w:val="5"/>
        </w:numPr>
        <w:tabs>
          <w:tab w:val="left" w:pos="8505"/>
        </w:tabs>
        <w:ind w:right="112" w:hanging="348"/>
      </w:pPr>
      <w:r>
        <w:t xml:space="preserve">Al Convenio analizado le resulta de aplicación el Acuerdo de 16 de octubre de 2003, del Consejo de Gobierno, por el que se aprueban criterios de coordinación de la actividad convencional de la Comunidad de Madrid. </w:t>
      </w:r>
    </w:p>
    <w:p w:rsidR="00A17B8A" w:rsidRDefault="00CE1516" w:rsidP="002258EF">
      <w:pPr>
        <w:tabs>
          <w:tab w:val="left" w:pos="8505"/>
        </w:tabs>
        <w:spacing w:after="16" w:line="259" w:lineRule="auto"/>
        <w:ind w:left="720" w:right="112" w:firstLine="0"/>
        <w:jc w:val="left"/>
      </w:pPr>
      <w:r>
        <w:t xml:space="preserve"> </w:t>
      </w:r>
    </w:p>
    <w:p w:rsidR="00A17B8A" w:rsidRDefault="00CE1516" w:rsidP="002258EF">
      <w:pPr>
        <w:numPr>
          <w:ilvl w:val="0"/>
          <w:numId w:val="5"/>
        </w:numPr>
        <w:tabs>
          <w:tab w:val="left" w:pos="8505"/>
        </w:tabs>
        <w:ind w:right="112" w:hanging="348"/>
      </w:pPr>
      <w:r>
        <w:t xml:space="preserve">El informe fiscal debe solicitarse cuando el expediente esté completo, cuando hayan sido emitidos todos los informes y con carácter previo a la firma del Convenio. </w:t>
      </w:r>
    </w:p>
    <w:p w:rsidR="00A17B8A" w:rsidRDefault="00CE1516" w:rsidP="002258EF">
      <w:pPr>
        <w:tabs>
          <w:tab w:val="left" w:pos="8505"/>
        </w:tabs>
        <w:spacing w:after="16" w:line="259" w:lineRule="auto"/>
        <w:ind w:left="720" w:right="112" w:firstLine="0"/>
        <w:jc w:val="left"/>
      </w:pPr>
      <w:r>
        <w:t xml:space="preserve"> </w:t>
      </w:r>
    </w:p>
    <w:p w:rsidR="00A17B8A" w:rsidRDefault="00CE1516" w:rsidP="002258EF">
      <w:pPr>
        <w:numPr>
          <w:ilvl w:val="0"/>
          <w:numId w:val="5"/>
        </w:numPr>
        <w:tabs>
          <w:tab w:val="left" w:pos="8505"/>
        </w:tabs>
        <w:ind w:right="112" w:hanging="348"/>
      </w:pPr>
      <w:r>
        <w:t xml:space="preserve">El texto analizado tiene la naturaleza jurídica de auténtico Convenio de Colaboración y su celebración debe ser autorizada por el Consejo de Gobierno. </w:t>
      </w:r>
    </w:p>
    <w:p w:rsidR="00A17B8A" w:rsidRDefault="00CE1516" w:rsidP="002258EF">
      <w:pPr>
        <w:tabs>
          <w:tab w:val="left" w:pos="8505"/>
        </w:tabs>
        <w:spacing w:after="16" w:line="259" w:lineRule="auto"/>
        <w:ind w:left="0" w:right="112" w:firstLine="0"/>
        <w:jc w:val="left"/>
      </w:pPr>
      <w:r>
        <w:t xml:space="preserve">  </w:t>
      </w:r>
    </w:p>
    <w:p w:rsidR="00A17B8A" w:rsidRDefault="00CE1516" w:rsidP="002258EF">
      <w:pPr>
        <w:numPr>
          <w:ilvl w:val="0"/>
          <w:numId w:val="5"/>
        </w:numPr>
        <w:tabs>
          <w:tab w:val="left" w:pos="8505"/>
        </w:tabs>
        <w:ind w:right="112" w:hanging="348"/>
      </w:pPr>
      <w:r>
        <w:t xml:space="preserve">El texto analizado requiere informe fiscal de la Intervención General de la Comunidad de Madrid. </w:t>
      </w:r>
    </w:p>
    <w:p w:rsidR="00A17B8A" w:rsidRDefault="00CE1516">
      <w:pPr>
        <w:spacing w:after="0" w:line="259" w:lineRule="auto"/>
        <w:ind w:left="0" w:right="0" w:firstLine="0"/>
        <w:jc w:val="left"/>
      </w:pPr>
      <w:r>
        <w:t xml:space="preserve"> </w:t>
      </w:r>
    </w:p>
    <w:p w:rsidR="00A17B8A" w:rsidRDefault="00CE1516" w:rsidP="00C41430">
      <w:pPr>
        <w:spacing w:after="0" w:line="259" w:lineRule="auto"/>
        <w:ind w:left="0" w:right="0" w:firstLine="0"/>
        <w:jc w:val="left"/>
      </w:pPr>
      <w:r>
        <w:t xml:space="preserve"> </w:t>
      </w:r>
    </w:p>
    <w:sectPr w:rsidR="00A17B8A" w:rsidSect="00DF67AC">
      <w:headerReference w:type="even" r:id="rId8"/>
      <w:footerReference w:type="even" r:id="rId9"/>
      <w:footerReference w:type="default" r:id="rId10"/>
      <w:headerReference w:type="first" r:id="rId11"/>
      <w:footerReference w:type="first" r:id="rId12"/>
      <w:pgSz w:w="11906" w:h="16838"/>
      <w:pgMar w:top="1418" w:right="1304" w:bottom="1418" w:left="1418" w:header="714"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58" w:rsidRDefault="00CE1516">
      <w:pPr>
        <w:spacing w:after="0" w:line="240" w:lineRule="auto"/>
      </w:pPr>
      <w:r>
        <w:separator/>
      </w:r>
    </w:p>
  </w:endnote>
  <w:endnote w:type="continuationSeparator" w:id="0">
    <w:p w:rsidR="00BC3058" w:rsidRDefault="00CE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8A" w:rsidRDefault="00CE1516">
    <w:pPr>
      <w:tabs>
        <w:tab w:val="center" w:pos="4250"/>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8A" w:rsidRPr="002258EF" w:rsidRDefault="00CE1516">
    <w:pPr>
      <w:tabs>
        <w:tab w:val="center" w:pos="4250"/>
      </w:tabs>
      <w:spacing w:after="0" w:line="259" w:lineRule="auto"/>
      <w:ind w:left="0" w:right="0" w:firstLine="0"/>
      <w:jc w:val="left"/>
      <w:rPr>
        <w:sz w:val="16"/>
        <w:szCs w:val="16"/>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Pr="002258EF">
      <w:rPr>
        <w:sz w:val="16"/>
        <w:szCs w:val="16"/>
      </w:rPr>
      <w:fldChar w:fldCharType="begin"/>
    </w:r>
    <w:r w:rsidRPr="002258EF">
      <w:rPr>
        <w:sz w:val="16"/>
        <w:szCs w:val="16"/>
      </w:rPr>
      <w:instrText xml:space="preserve"> PAGE   \* MERGEFORMAT </w:instrText>
    </w:r>
    <w:r w:rsidRPr="002258EF">
      <w:rPr>
        <w:sz w:val="16"/>
        <w:szCs w:val="16"/>
      </w:rPr>
      <w:fldChar w:fldCharType="separate"/>
    </w:r>
    <w:r w:rsidR="000D552B" w:rsidRPr="000D552B">
      <w:rPr>
        <w:rFonts w:ascii="Times New Roman" w:eastAsia="Times New Roman" w:hAnsi="Times New Roman" w:cs="Times New Roman"/>
        <w:noProof/>
        <w:sz w:val="16"/>
        <w:szCs w:val="16"/>
      </w:rPr>
      <w:t>10</w:t>
    </w:r>
    <w:r w:rsidRPr="002258EF">
      <w:rPr>
        <w:rFonts w:ascii="Times New Roman" w:eastAsia="Times New Roman" w:hAnsi="Times New Roman" w:cs="Times New Roman"/>
        <w:sz w:val="16"/>
        <w:szCs w:val="16"/>
      </w:rPr>
      <w:fldChar w:fldCharType="end"/>
    </w:r>
    <w:r w:rsidRPr="002258EF">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8A" w:rsidRDefault="00CE1516">
    <w:pPr>
      <w:tabs>
        <w:tab w:val="center" w:pos="4250"/>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B8A" w:rsidRDefault="00CE1516">
      <w:pPr>
        <w:spacing w:after="0" w:line="258" w:lineRule="auto"/>
        <w:ind w:left="0" w:firstLine="0"/>
      </w:pPr>
      <w:r>
        <w:separator/>
      </w:r>
    </w:p>
  </w:footnote>
  <w:footnote w:type="continuationSeparator" w:id="0">
    <w:p w:rsidR="00A17B8A" w:rsidRDefault="00CE1516">
      <w:pPr>
        <w:spacing w:after="0" w:line="258" w:lineRule="auto"/>
        <w:ind w:left="0" w:firstLine="0"/>
      </w:pPr>
      <w:r>
        <w:continuationSeparator/>
      </w:r>
    </w:p>
  </w:footnote>
  <w:footnote w:id="1">
    <w:p w:rsidR="00A17B8A" w:rsidRPr="006710AB" w:rsidRDefault="00CE1516" w:rsidP="006D032E">
      <w:pPr>
        <w:pStyle w:val="footnotedescription"/>
        <w:spacing w:line="258" w:lineRule="auto"/>
        <w:ind w:right="112"/>
        <w:rPr>
          <w:rFonts w:ascii="Arial" w:hAnsi="Arial" w:cs="Arial"/>
          <w:sz w:val="18"/>
          <w:szCs w:val="18"/>
        </w:rPr>
      </w:pPr>
      <w:r>
        <w:rPr>
          <w:rStyle w:val="footnotemark"/>
        </w:rPr>
        <w:footnoteRef/>
      </w:r>
      <w:r>
        <w:t xml:space="preserve"> </w:t>
      </w:r>
      <w:r w:rsidRPr="006710AB">
        <w:rPr>
          <w:szCs w:val="20"/>
        </w:rPr>
        <w:t xml:space="preserve">Esto con carácter general y recordando que existen Convenios que por la especificidad de su materia no forman parte de ninguno de estos “grandes” grupos, como pueden ser por ejemplo los convenios urbanísticos o los convenios expropiatorios. </w:t>
      </w:r>
    </w:p>
  </w:footnote>
  <w:footnote w:id="2">
    <w:p w:rsidR="00A17B8A" w:rsidRPr="006710AB" w:rsidRDefault="00CE1516">
      <w:pPr>
        <w:pStyle w:val="footnotedescription"/>
        <w:spacing w:line="276" w:lineRule="auto"/>
        <w:ind w:right="147"/>
        <w:rPr>
          <w:szCs w:val="20"/>
        </w:rPr>
      </w:pPr>
      <w:r w:rsidRPr="006710AB">
        <w:rPr>
          <w:rStyle w:val="footnotemark"/>
          <w:szCs w:val="20"/>
        </w:rPr>
        <w:footnoteRef/>
      </w:r>
      <w:r w:rsidRPr="006710AB">
        <w:rPr>
          <w:szCs w:val="20"/>
        </w:rPr>
        <w:t xml:space="preserve"> En el apartado 7 de la memoria económica se hace referencia expresa al carácter no contractual del Convenio. </w:t>
      </w:r>
    </w:p>
  </w:footnote>
  <w:footnote w:id="3">
    <w:p w:rsidR="00616B48" w:rsidRDefault="00616B48" w:rsidP="00616B48">
      <w:pPr>
        <w:tabs>
          <w:tab w:val="left" w:pos="8505"/>
        </w:tabs>
        <w:spacing w:after="4" w:line="249" w:lineRule="auto"/>
        <w:ind w:left="-5" w:right="112"/>
      </w:pPr>
      <w:r>
        <w:rPr>
          <w:rStyle w:val="Refdenotaalpie"/>
        </w:rPr>
        <w:footnoteRef/>
      </w:r>
      <w:r>
        <w:t xml:space="preserve"> </w:t>
      </w:r>
      <w:r>
        <w:rPr>
          <w:rFonts w:ascii="Times New Roman" w:eastAsia="Times New Roman" w:hAnsi="Times New Roman" w:cs="Times New Roman"/>
          <w:sz w:val="20"/>
        </w:rPr>
        <w:t>De conformidad con el informe de 13 de marzo de 2017, relativo a los Acuerdos Marco de esta intervención General que un expediente no cuente con documento contable no significa, necesariamente que no deba  ser fiscalizado, diciendo que “</w:t>
      </w:r>
      <w:r>
        <w:rPr>
          <w:rFonts w:ascii="Times New Roman" w:eastAsia="Times New Roman" w:hAnsi="Times New Roman" w:cs="Times New Roman"/>
          <w:i/>
          <w:sz w:val="20"/>
        </w:rPr>
        <w:t xml:space="preserve">…Ahora bien, siendo cierto que la cuantificación del presupuesto del/de los contrato/s basados en el acuerdo marco queda diferida a un momento ulterior a la celebración de este último, no es menos cierto que en el acuerdo marco se establecen los criterios para fijar los precios ciertos de adjudicación y, finalmente, el presupuesto del/de los contrato/s </w:t>
      </w:r>
    </w:p>
    <w:p w:rsidR="00616B48" w:rsidRDefault="00616B48" w:rsidP="00616B48">
      <w:pPr>
        <w:tabs>
          <w:tab w:val="left" w:pos="8505"/>
        </w:tabs>
        <w:spacing w:after="4" w:line="249" w:lineRule="auto"/>
        <w:ind w:left="-5" w:right="112"/>
      </w:pPr>
      <w:r>
        <w:rPr>
          <w:rFonts w:ascii="Times New Roman" w:eastAsia="Times New Roman" w:hAnsi="Times New Roman" w:cs="Times New Roman"/>
          <w:i/>
          <w:sz w:val="20"/>
        </w:rPr>
        <w:t xml:space="preserve">… </w:t>
      </w:r>
    </w:p>
    <w:p w:rsidR="00616B48" w:rsidRDefault="00616B48" w:rsidP="00616B48">
      <w:pPr>
        <w:tabs>
          <w:tab w:val="left" w:pos="8505"/>
        </w:tabs>
        <w:spacing w:after="4" w:line="249" w:lineRule="auto"/>
        <w:ind w:left="-5" w:right="112"/>
      </w:pPr>
      <w:r>
        <w:rPr>
          <w:rFonts w:ascii="Times New Roman" w:eastAsia="Times New Roman" w:hAnsi="Times New Roman" w:cs="Times New Roman"/>
          <w:i/>
          <w:sz w:val="20"/>
        </w:rPr>
        <w:t>Solo a través de esta fiscalización previa se garantizará el control por parte de la Intervención de todos los actos de «ordenación del gasto», al que hace referencia el artículo 16 de la Ley 9/1990, de 8 de noviembre, anteriormente mencionado. Diferir el control al momento posterior de adjudicación de los contratos basados en el acuerdo marco impediría realizar propiamente una fiscalización plena previa, al quedar limitada a la comprobación de existencia de crédito y a las operaciones aritméticas necesarias para la comprobación del gasto quedando excluidos de fiscalización aspectos tan relevantes como la adecuación del precio o la justificación del procedimiento de contratación elegido</w:t>
      </w:r>
      <w:r>
        <w:rPr>
          <w:rFonts w:ascii="Times New Roman" w:eastAsia="Times New Roman" w:hAnsi="Times New Roman" w:cs="Times New Roman"/>
          <w:sz w:val="20"/>
        </w:rPr>
        <w:t xml:space="preserve">” </w:t>
      </w:r>
    </w:p>
    <w:p w:rsidR="00616B48" w:rsidRDefault="00616B48">
      <w:pPr>
        <w:pStyle w:val="Textonotapie"/>
      </w:pPr>
    </w:p>
  </w:footnote>
  <w:footnote w:id="4">
    <w:p w:rsidR="00A17B8A" w:rsidRPr="006710AB" w:rsidRDefault="00CE1516" w:rsidP="00616B48">
      <w:pPr>
        <w:pStyle w:val="footnotedescription"/>
        <w:spacing w:line="246" w:lineRule="auto"/>
        <w:ind w:right="112"/>
        <w:rPr>
          <w:szCs w:val="20"/>
        </w:rPr>
      </w:pPr>
      <w:r>
        <w:rPr>
          <w:rStyle w:val="footnotemark"/>
        </w:rPr>
        <w:footnoteRef/>
      </w:r>
      <w:r>
        <w:rPr>
          <w:rFonts w:ascii="Arial" w:eastAsia="Arial" w:hAnsi="Arial" w:cs="Arial"/>
          <w:sz w:val="18"/>
        </w:rPr>
        <w:t xml:space="preserve"> </w:t>
      </w:r>
      <w:r w:rsidRPr="006710AB">
        <w:rPr>
          <w:rFonts w:eastAsia="Arial"/>
          <w:szCs w:val="20"/>
        </w:rPr>
        <w:t>El artículo 31.2 del Decreto Legislativo 1/2006 dice que “</w:t>
      </w:r>
      <w:r w:rsidRPr="006710AB">
        <w:rPr>
          <w:rFonts w:eastAsia="Arial"/>
          <w:i/>
          <w:szCs w:val="20"/>
        </w:rPr>
        <w:t xml:space="preserve">… La Consejería competente en materia de prevención y extinción de incendios y salvamentos suscribirá con el Ayuntamiento un convenio que recogerá los medios personales y materiales a transferir, así como su cuantificación, como trámite previo a la concesión de la dispensa. No será necesaria la tramitación de dicho convenio cuando no existan medios personales y materiales a transferir. </w:t>
      </w:r>
    </w:p>
    <w:p w:rsidR="00A17B8A" w:rsidRPr="006710AB" w:rsidRDefault="00CE1516" w:rsidP="00616B48">
      <w:pPr>
        <w:pStyle w:val="footnotedescription"/>
        <w:spacing w:line="239" w:lineRule="auto"/>
        <w:ind w:right="112"/>
        <w:rPr>
          <w:szCs w:val="20"/>
        </w:rPr>
      </w:pPr>
      <w:r w:rsidRPr="006710AB">
        <w:rPr>
          <w:rFonts w:eastAsia="Arial"/>
          <w:i/>
          <w:szCs w:val="20"/>
        </w:rPr>
        <w:t>El Gobierno de la Comunidad de Madrid, mediante Decreto, resolverá el expediente de concesión de la dispensa solicitada.”</w:t>
      </w:r>
      <w:r w:rsidRPr="006710AB">
        <w:rPr>
          <w:rFonts w:eastAsia="Arial"/>
          <w:szCs w:val="20"/>
        </w:rPr>
        <w:t>; esta previsión sólo tiene sentido si, con carácter previo a su firma, el órgano que debe resolver el expediente puede analizar un negocio jurídico con significativos derechos y obligaciones económicas</w:t>
      </w:r>
      <w:r w:rsidR="00616B48" w:rsidRPr="006710AB">
        <w:rPr>
          <w:rFonts w:eastAsia="Arial"/>
          <w:szCs w:val="20"/>
        </w:rPr>
        <w:t>.</w:t>
      </w:r>
      <w:r w:rsidRPr="006710AB">
        <w:rPr>
          <w:rFonts w:eastAsia="Arial"/>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8A" w:rsidRDefault="00CE1516">
    <w:pPr>
      <w:spacing w:after="0" w:line="259" w:lineRule="auto"/>
      <w:ind w:left="0" w:right="0" w:firstLine="0"/>
      <w:jc w:val="left"/>
    </w:pPr>
    <w:r>
      <w:rPr>
        <w:rFonts w:ascii="Times New Roman" w:eastAsia="Times New Roman" w:hAnsi="Times New Roman" w:cs="Times New Roman"/>
        <w:sz w:val="24"/>
      </w:rPr>
      <w:t xml:space="preserve"> </w:t>
    </w:r>
  </w:p>
  <w:p w:rsidR="00A17B8A" w:rsidRDefault="00CE1516">
    <w:pPr>
      <w:spacing w:after="0" w:line="259" w:lineRule="auto"/>
      <w:ind w:left="0" w:right="0" w:firstLine="0"/>
      <w:jc w:val="left"/>
    </w:pPr>
    <w:r>
      <w:rPr>
        <w:rFonts w:ascii="Times New Roman" w:eastAsia="Times New Roman" w:hAnsi="Times New Roman" w:cs="Times New Roman"/>
        <w:sz w:val="24"/>
      </w:rPr>
      <w:t xml:space="preserve">             </w:t>
    </w:r>
  </w:p>
  <w:p w:rsidR="00A17B8A" w:rsidRDefault="00CE1516">
    <w:pPr>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1080516</wp:posOffset>
          </wp:positionH>
          <wp:positionV relativeFrom="page">
            <wp:posOffset>757431</wp:posOffset>
          </wp:positionV>
          <wp:extent cx="438912" cy="445008"/>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flipV="1">
                    <a:off x="0" y="0"/>
                    <a:ext cx="438912" cy="445008"/>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Intervención General </w:t>
    </w:r>
  </w:p>
  <w:p w:rsidR="00A17B8A" w:rsidRDefault="00CE1516">
    <w:pPr>
      <w:spacing w:after="0" w:line="259" w:lineRule="auto"/>
      <w:ind w:left="0" w:right="0" w:firstLine="0"/>
      <w:jc w:val="left"/>
    </w:pPr>
    <w:r>
      <w:rPr>
        <w:rFonts w:ascii="Times New Roman" w:eastAsia="Times New Roman" w:hAnsi="Times New Roman" w:cs="Times New Roman"/>
        <w:sz w:val="24"/>
      </w:rPr>
      <w:t xml:space="preserve">            Consejería de Hacienda y Función Pública </w:t>
    </w:r>
  </w:p>
  <w:p w:rsidR="00A17B8A" w:rsidRDefault="00CE1516">
    <w:pPr>
      <w:spacing w:after="16" w:line="259" w:lineRule="auto"/>
      <w:ind w:left="0" w:right="0" w:firstLine="0"/>
      <w:jc w:val="left"/>
    </w:pPr>
    <w:r>
      <w:rPr>
        <w:rFonts w:ascii="Times New Roman" w:eastAsia="Times New Roman" w:hAnsi="Times New Roman" w:cs="Times New Roman"/>
        <w:sz w:val="24"/>
      </w:rPr>
      <w:t xml:space="preserve"> </w:t>
    </w:r>
  </w:p>
  <w:p w:rsidR="00A17B8A" w:rsidRDefault="00CE1516">
    <w:pPr>
      <w:spacing w:after="0" w:line="259" w:lineRule="auto"/>
      <w:ind w:left="0" w:right="0" w:firstLine="0"/>
      <w:jc w:val="left"/>
    </w:pPr>
    <w:r>
      <w:rPr>
        <w:rFonts w:ascii="Times New Roman" w:eastAsia="Times New Roman" w:hAnsi="Times New Roman" w:cs="Times New Roman"/>
        <w:b/>
        <w:sz w:val="28"/>
      </w:rPr>
      <w:t xml:space="preserve">Comunidad de Madrid </w:t>
    </w:r>
  </w:p>
  <w:p w:rsidR="00A17B8A" w:rsidRDefault="00CE1516">
    <w:pPr>
      <w:spacing w:after="0" w:line="259" w:lineRule="auto"/>
      <w:ind w:left="0" w:right="0" w:firstLine="0"/>
      <w:jc w:val="left"/>
    </w:pPr>
    <w:r>
      <w:rPr>
        <w:rFonts w:ascii="Times New Roman" w:eastAsia="Times New Roman" w:hAnsi="Times New Roman" w:cs="Times New Roman"/>
        <w:sz w:val="24"/>
      </w:rPr>
      <w:t xml:space="preserve"> </w:t>
    </w:r>
  </w:p>
  <w:p w:rsidR="00A17B8A" w:rsidRDefault="00CE1516">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7213600</wp:posOffset>
              </wp:positionH>
              <wp:positionV relativeFrom="page">
                <wp:posOffset>2902331</wp:posOffset>
              </wp:positionV>
              <wp:extent cx="213360" cy="1109472"/>
              <wp:effectExtent l="0" t="0" r="0" b="0"/>
              <wp:wrapNone/>
              <wp:docPr id="13698" name="Group 13698"/>
              <wp:cNvGraphicFramePr/>
              <a:graphic xmlns:a="http://schemas.openxmlformats.org/drawingml/2006/main">
                <a:graphicData uri="http://schemas.microsoft.com/office/word/2010/wordprocessingGroup">
                  <wpg:wgp>
                    <wpg:cNvGrpSpPr/>
                    <wpg:grpSpPr>
                      <a:xfrm>
                        <a:off x="0" y="0"/>
                        <a:ext cx="213360" cy="1109472"/>
                        <a:chOff x="0" y="0"/>
                        <a:chExt cx="213360" cy="1109472"/>
                      </a:xfrm>
                    </wpg:grpSpPr>
                    <wps:wsp>
                      <wps:cNvPr id="14161" name="Shape 14161"/>
                      <wps:cNvSpPr/>
                      <wps:spPr>
                        <a:xfrm>
                          <a:off x="0" y="1095248"/>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 name="Shape 14162"/>
                      <wps:cNvSpPr/>
                      <wps:spPr>
                        <a:xfrm>
                          <a:off x="0" y="108102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3" name="Shape 14163"/>
                      <wps:cNvSpPr/>
                      <wps:spPr>
                        <a:xfrm>
                          <a:off x="0" y="1045464"/>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4" name="Shape 14164"/>
                      <wps:cNvSpPr/>
                      <wps:spPr>
                        <a:xfrm>
                          <a:off x="0" y="1017016"/>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5" name="Shape 14165"/>
                      <wps:cNvSpPr/>
                      <wps:spPr>
                        <a:xfrm>
                          <a:off x="0" y="99568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6" name="Shape 14166"/>
                      <wps:cNvSpPr/>
                      <wps:spPr>
                        <a:xfrm>
                          <a:off x="0" y="97434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7" name="Shape 14167"/>
                      <wps:cNvSpPr/>
                      <wps:spPr>
                        <a:xfrm>
                          <a:off x="0" y="931672"/>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8" name="Shape 14168"/>
                      <wps:cNvSpPr/>
                      <wps:spPr>
                        <a:xfrm>
                          <a:off x="0" y="9103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9" name="Shape 14169"/>
                      <wps:cNvSpPr/>
                      <wps:spPr>
                        <a:xfrm>
                          <a:off x="0" y="88900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0" name="Shape 14170"/>
                      <wps:cNvSpPr/>
                      <wps:spPr>
                        <a:xfrm>
                          <a:off x="0" y="86766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1" name="Shape 14171"/>
                      <wps:cNvSpPr/>
                      <wps:spPr>
                        <a:xfrm>
                          <a:off x="0" y="832104"/>
                          <a:ext cx="213360" cy="28448"/>
                        </a:xfrm>
                        <a:custGeom>
                          <a:avLst/>
                          <a:gdLst/>
                          <a:ahLst/>
                          <a:cxnLst/>
                          <a:rect l="0" t="0" r="0" b="0"/>
                          <a:pathLst>
                            <a:path w="213360" h="28448">
                              <a:moveTo>
                                <a:pt x="0" y="0"/>
                              </a:moveTo>
                              <a:lnTo>
                                <a:pt x="213360" y="0"/>
                              </a:lnTo>
                              <a:lnTo>
                                <a:pt x="213360" y="28448"/>
                              </a:lnTo>
                              <a:lnTo>
                                <a:pt x="0" y="28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2" name="Shape 14172"/>
                      <wps:cNvSpPr/>
                      <wps:spPr>
                        <a:xfrm>
                          <a:off x="0" y="81788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3" name="Shape 14173"/>
                      <wps:cNvSpPr/>
                      <wps:spPr>
                        <a:xfrm>
                          <a:off x="0" y="789432"/>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4" name="Shape 14174"/>
                      <wps:cNvSpPr/>
                      <wps:spPr>
                        <a:xfrm>
                          <a:off x="0" y="746760"/>
                          <a:ext cx="213360" cy="28448"/>
                        </a:xfrm>
                        <a:custGeom>
                          <a:avLst/>
                          <a:gdLst/>
                          <a:ahLst/>
                          <a:cxnLst/>
                          <a:rect l="0" t="0" r="0" b="0"/>
                          <a:pathLst>
                            <a:path w="213360" h="28448">
                              <a:moveTo>
                                <a:pt x="0" y="0"/>
                              </a:moveTo>
                              <a:lnTo>
                                <a:pt x="213360" y="0"/>
                              </a:lnTo>
                              <a:lnTo>
                                <a:pt x="213360" y="28448"/>
                              </a:lnTo>
                              <a:lnTo>
                                <a:pt x="0" y="28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5" name="Shape 14175"/>
                      <wps:cNvSpPr/>
                      <wps:spPr>
                        <a:xfrm>
                          <a:off x="0" y="7325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6" name="Shape 14176"/>
                      <wps:cNvSpPr/>
                      <wps:spPr>
                        <a:xfrm>
                          <a:off x="0" y="696976"/>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7" name="Shape 14177"/>
                      <wps:cNvSpPr/>
                      <wps:spPr>
                        <a:xfrm>
                          <a:off x="0" y="66852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8" name="Shape 14178"/>
                      <wps:cNvSpPr/>
                      <wps:spPr>
                        <a:xfrm>
                          <a:off x="0" y="64719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9" name="Shape 14179"/>
                      <wps:cNvSpPr/>
                      <wps:spPr>
                        <a:xfrm>
                          <a:off x="0" y="63296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0" name="Shape 14180"/>
                      <wps:cNvSpPr/>
                      <wps:spPr>
                        <a:xfrm>
                          <a:off x="0" y="61163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1" name="Shape 14181"/>
                      <wps:cNvSpPr/>
                      <wps:spPr>
                        <a:xfrm>
                          <a:off x="0" y="58318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2" name="Shape 14182"/>
                      <wps:cNvSpPr/>
                      <wps:spPr>
                        <a:xfrm>
                          <a:off x="0" y="5547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3" name="Shape 14183"/>
                      <wps:cNvSpPr/>
                      <wps:spPr>
                        <a:xfrm>
                          <a:off x="0" y="52628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4" name="Shape 14184"/>
                      <wps:cNvSpPr/>
                      <wps:spPr>
                        <a:xfrm>
                          <a:off x="0" y="490728"/>
                          <a:ext cx="213360" cy="28448"/>
                        </a:xfrm>
                        <a:custGeom>
                          <a:avLst/>
                          <a:gdLst/>
                          <a:ahLst/>
                          <a:cxnLst/>
                          <a:rect l="0" t="0" r="0" b="0"/>
                          <a:pathLst>
                            <a:path w="213360" h="28448">
                              <a:moveTo>
                                <a:pt x="0" y="0"/>
                              </a:moveTo>
                              <a:lnTo>
                                <a:pt x="213360" y="0"/>
                              </a:lnTo>
                              <a:lnTo>
                                <a:pt x="213360" y="28448"/>
                              </a:lnTo>
                              <a:lnTo>
                                <a:pt x="0" y="28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5" name="Shape 14185"/>
                      <wps:cNvSpPr/>
                      <wps:spPr>
                        <a:xfrm>
                          <a:off x="0" y="47650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6" name="Shape 14186"/>
                      <wps:cNvSpPr/>
                      <wps:spPr>
                        <a:xfrm>
                          <a:off x="0" y="448056"/>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7" name="Shape 14187"/>
                      <wps:cNvSpPr/>
                      <wps:spPr>
                        <a:xfrm>
                          <a:off x="0" y="412496"/>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8" name="Shape 14188"/>
                      <wps:cNvSpPr/>
                      <wps:spPr>
                        <a:xfrm>
                          <a:off x="0" y="398272"/>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9" name="Shape 14189"/>
                      <wps:cNvSpPr/>
                      <wps:spPr>
                        <a:xfrm>
                          <a:off x="0" y="35560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0" name="Shape 14190"/>
                      <wps:cNvSpPr/>
                      <wps:spPr>
                        <a:xfrm>
                          <a:off x="0" y="34137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1" name="Shape 14191"/>
                      <wps:cNvSpPr/>
                      <wps:spPr>
                        <a:xfrm>
                          <a:off x="0" y="312928"/>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2" name="Shape 14192"/>
                      <wps:cNvSpPr/>
                      <wps:spPr>
                        <a:xfrm>
                          <a:off x="0" y="29870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3" name="Shape 14193"/>
                      <wps:cNvSpPr/>
                      <wps:spPr>
                        <a:xfrm>
                          <a:off x="0" y="256032"/>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4" name="Shape 14194"/>
                      <wps:cNvSpPr/>
                      <wps:spPr>
                        <a:xfrm>
                          <a:off x="0" y="234696"/>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5" name="Shape 14195"/>
                      <wps:cNvSpPr/>
                      <wps:spPr>
                        <a:xfrm>
                          <a:off x="0" y="21336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6" name="Shape 14196"/>
                      <wps:cNvSpPr/>
                      <wps:spPr>
                        <a:xfrm>
                          <a:off x="0" y="18491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7" name="Shape 14197"/>
                      <wps:cNvSpPr/>
                      <wps:spPr>
                        <a:xfrm>
                          <a:off x="0" y="149352"/>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8" name="Shape 14198"/>
                      <wps:cNvSpPr/>
                      <wps:spPr>
                        <a:xfrm>
                          <a:off x="0" y="13512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9" name="Shape 14199"/>
                      <wps:cNvSpPr/>
                      <wps:spPr>
                        <a:xfrm>
                          <a:off x="0" y="99568"/>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0" name="Shape 14200"/>
                      <wps:cNvSpPr/>
                      <wps:spPr>
                        <a:xfrm>
                          <a:off x="0" y="7823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1" name="Shape 14201"/>
                      <wps:cNvSpPr/>
                      <wps:spPr>
                        <a:xfrm>
                          <a:off x="0" y="35560"/>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2" name="Shape 14202"/>
                      <wps:cNvSpPr/>
                      <wps:spPr>
                        <a:xfrm>
                          <a:off x="0" y="213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3" name="Shape 14203"/>
                      <wps:cNvSpPr/>
                      <wps:spPr>
                        <a:xfrm>
                          <a:off x="0" y="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698" style="width:16.8pt;height:87.36pt;position:absolute;z-index:-2147483648;mso-position-horizontal-relative:page;mso-position-horizontal:absolute;margin-left:568pt;mso-position-vertical-relative:page;margin-top:228.53pt;" coordsize="2133,11094">
              <v:shape id="Shape 14204" style="position:absolute;width:2133;height:142;left:0;top:10952;" coordsize="213360,14224" path="m0,0l213360,0l213360,14224l0,14224l0,0">
                <v:stroke weight="0pt" endcap="flat" joinstyle="miter" miterlimit="10" on="false" color="#000000" opacity="0"/>
                <v:fill on="true" color="#000000"/>
              </v:shape>
              <v:shape id="Shape 14205" style="position:absolute;width:2133;height:91;left:0;top:10810;" coordsize="213360,9144" path="m0,0l213360,0l213360,9144l0,9144l0,0">
                <v:stroke weight="0pt" endcap="flat" joinstyle="miter" miterlimit="10" on="false" color="#000000" opacity="0"/>
                <v:fill on="true" color="#000000"/>
              </v:shape>
              <v:shape id="Shape 14206" style="position:absolute;width:2133;height:213;left:0;top:10454;" coordsize="213360,21336" path="m0,0l213360,0l213360,21336l0,21336l0,0">
                <v:stroke weight="0pt" endcap="flat" joinstyle="miter" miterlimit="10" on="false" color="#000000" opacity="0"/>
                <v:fill on="true" color="#000000"/>
              </v:shape>
              <v:shape id="Shape 14207" style="position:absolute;width:2133;height:142;left:0;top:10170;" coordsize="213360,14224" path="m0,0l213360,0l213360,14224l0,14224l0,0">
                <v:stroke weight="0pt" endcap="flat" joinstyle="miter" miterlimit="10" on="false" color="#000000" opacity="0"/>
                <v:fill on="true" color="#000000"/>
              </v:shape>
              <v:shape id="Shape 14208" style="position:absolute;width:2133;height:91;left:0;top:9956;" coordsize="213360,9144" path="m0,0l213360,0l213360,9144l0,9144l0,0">
                <v:stroke weight="0pt" endcap="flat" joinstyle="miter" miterlimit="10" on="false" color="#000000" opacity="0"/>
                <v:fill on="true" color="#000000"/>
              </v:shape>
              <v:shape id="Shape 14209" style="position:absolute;width:2133;height:91;left:0;top:9743;" coordsize="213360,9144" path="m0,0l213360,0l213360,9144l0,9144l0,0">
                <v:stroke weight="0pt" endcap="flat" joinstyle="miter" miterlimit="10" on="false" color="#000000" opacity="0"/>
                <v:fill on="true" color="#000000"/>
              </v:shape>
              <v:shape id="Shape 14210" style="position:absolute;width:2133;height:213;left:0;top:9316;" coordsize="213360,21336" path="m0,0l213360,0l213360,21336l0,21336l0,0">
                <v:stroke weight="0pt" endcap="flat" joinstyle="miter" miterlimit="10" on="false" color="#000000" opacity="0"/>
                <v:fill on="true" color="#000000"/>
              </v:shape>
              <v:shape id="Shape 14211" style="position:absolute;width:2133;height:91;left:0;top:9103;" coordsize="213360,9144" path="m0,0l213360,0l213360,9144l0,9144l0,0">
                <v:stroke weight="0pt" endcap="flat" joinstyle="miter" miterlimit="10" on="false" color="#000000" opacity="0"/>
                <v:fill on="true" color="#000000"/>
              </v:shape>
              <v:shape id="Shape 14212" style="position:absolute;width:2133;height:142;left:0;top:8890;" coordsize="213360,14224" path="m0,0l213360,0l213360,14224l0,14224l0,0">
                <v:stroke weight="0pt" endcap="flat" joinstyle="miter" miterlimit="10" on="false" color="#000000" opacity="0"/>
                <v:fill on="true" color="#000000"/>
              </v:shape>
              <v:shape id="Shape 14213" style="position:absolute;width:2133;height:91;left:0;top:8676;" coordsize="213360,9144" path="m0,0l213360,0l213360,9144l0,9144l0,0">
                <v:stroke weight="0pt" endcap="flat" joinstyle="miter" miterlimit="10" on="false" color="#000000" opacity="0"/>
                <v:fill on="true" color="#000000"/>
              </v:shape>
              <v:shape id="Shape 14214" style="position:absolute;width:2133;height:284;left:0;top:8321;" coordsize="213360,28448" path="m0,0l213360,0l213360,28448l0,28448l0,0">
                <v:stroke weight="0pt" endcap="flat" joinstyle="miter" miterlimit="10" on="false" color="#000000" opacity="0"/>
                <v:fill on="true" color="#000000"/>
              </v:shape>
              <v:shape id="Shape 14215" style="position:absolute;width:2133;height:91;left:0;top:8178;" coordsize="213360,9144" path="m0,0l213360,0l213360,9144l0,9144l0,0">
                <v:stroke weight="0pt" endcap="flat" joinstyle="miter" miterlimit="10" on="false" color="#000000" opacity="0"/>
                <v:fill on="true" color="#000000"/>
              </v:shape>
              <v:shape id="Shape 14216" style="position:absolute;width:2133;height:91;left:0;top:7894;" coordsize="213360,9144" path="m0,0l213360,0l213360,9144l0,9144l0,0">
                <v:stroke weight="0pt" endcap="flat" joinstyle="miter" miterlimit="10" on="false" color="#000000" opacity="0"/>
                <v:fill on="true" color="#000000"/>
              </v:shape>
              <v:shape id="Shape 14217" style="position:absolute;width:2133;height:284;left:0;top:7467;" coordsize="213360,28448" path="m0,0l213360,0l213360,28448l0,28448l0,0">
                <v:stroke weight="0pt" endcap="flat" joinstyle="miter" miterlimit="10" on="false" color="#000000" opacity="0"/>
                <v:fill on="true" color="#000000"/>
              </v:shape>
              <v:shape id="Shape 14218" style="position:absolute;width:2133;height:91;left:0;top:7325;" coordsize="213360,9144" path="m0,0l213360,0l213360,9144l0,9144l0,0">
                <v:stroke weight="0pt" endcap="flat" joinstyle="miter" miterlimit="10" on="false" color="#000000" opacity="0"/>
                <v:fill on="true" color="#000000"/>
              </v:shape>
              <v:shape id="Shape 14219" style="position:absolute;width:2133;height:213;left:0;top:6969;" coordsize="213360,21336" path="m0,0l213360,0l213360,21336l0,21336l0,0">
                <v:stroke weight="0pt" endcap="flat" joinstyle="miter" miterlimit="10" on="false" color="#000000" opacity="0"/>
                <v:fill on="true" color="#000000"/>
              </v:shape>
              <v:shape id="Shape 14220" style="position:absolute;width:2133;height:91;left:0;top:6685;" coordsize="213360,9144" path="m0,0l213360,0l213360,9144l0,9144l0,0">
                <v:stroke weight="0pt" endcap="flat" joinstyle="miter" miterlimit="10" on="false" color="#000000" opacity="0"/>
                <v:fill on="true" color="#000000"/>
              </v:shape>
              <v:shape id="Shape 14221" style="position:absolute;width:2133;height:142;left:0;top:6471;" coordsize="213360,14224" path="m0,0l213360,0l213360,14224l0,14224l0,0">
                <v:stroke weight="0pt" endcap="flat" joinstyle="miter" miterlimit="10" on="false" color="#000000" opacity="0"/>
                <v:fill on="true" color="#000000"/>
              </v:shape>
              <v:shape id="Shape 14222" style="position:absolute;width:2133;height:91;left:0;top:6329;" coordsize="213360,9144" path="m0,0l213360,0l213360,9144l0,9144l0,0">
                <v:stroke weight="0pt" endcap="flat" joinstyle="miter" miterlimit="10" on="false" color="#000000" opacity="0"/>
                <v:fill on="true" color="#000000"/>
              </v:shape>
              <v:shape id="Shape 14223" style="position:absolute;width:2133;height:142;left:0;top:6116;" coordsize="213360,14224" path="m0,0l213360,0l213360,14224l0,14224l0,0">
                <v:stroke weight="0pt" endcap="flat" joinstyle="miter" miterlimit="10" on="false" color="#000000" opacity="0"/>
                <v:fill on="true" color="#000000"/>
              </v:shape>
              <v:shape id="Shape 14224" style="position:absolute;width:2133;height:91;left:0;top:5831;" coordsize="213360,9144" path="m0,0l213360,0l213360,9144l0,9144l0,0">
                <v:stroke weight="0pt" endcap="flat" joinstyle="miter" miterlimit="10" on="false" color="#000000" opacity="0"/>
                <v:fill on="true" color="#000000"/>
              </v:shape>
              <v:shape id="Shape 14225" style="position:absolute;width:2133;height:91;left:0;top:5547;" coordsize="213360,9144" path="m0,0l213360,0l213360,9144l0,9144l0,0">
                <v:stroke weight="0pt" endcap="flat" joinstyle="miter" miterlimit="10" on="false" color="#000000" opacity="0"/>
                <v:fill on="true" color="#000000"/>
              </v:shape>
              <v:shape id="Shape 14226" style="position:absolute;width:2133;height:91;left:0;top:5262;" coordsize="213360,9144" path="m0,0l213360,0l213360,9144l0,9144l0,0">
                <v:stroke weight="0pt" endcap="flat" joinstyle="miter" miterlimit="10" on="false" color="#000000" opacity="0"/>
                <v:fill on="true" color="#000000"/>
              </v:shape>
              <v:shape id="Shape 14227" style="position:absolute;width:2133;height:284;left:0;top:4907;" coordsize="213360,28448" path="m0,0l213360,0l213360,28448l0,28448l0,0">
                <v:stroke weight="0pt" endcap="flat" joinstyle="miter" miterlimit="10" on="false" color="#000000" opacity="0"/>
                <v:fill on="true" color="#000000"/>
              </v:shape>
              <v:shape id="Shape 14228" style="position:absolute;width:2133;height:91;left:0;top:4765;" coordsize="213360,9144" path="m0,0l213360,0l213360,9144l0,9144l0,0">
                <v:stroke weight="0pt" endcap="flat" joinstyle="miter" miterlimit="10" on="false" color="#000000" opacity="0"/>
                <v:fill on="true" color="#000000"/>
              </v:shape>
              <v:shape id="Shape 14229" style="position:absolute;width:2133;height:213;left:0;top:4480;" coordsize="213360,21336" path="m0,0l213360,0l213360,21336l0,21336l0,0">
                <v:stroke weight="0pt" endcap="flat" joinstyle="miter" miterlimit="10" on="false" color="#000000" opacity="0"/>
                <v:fill on="true" color="#000000"/>
              </v:shape>
              <v:shape id="Shape 14230" style="position:absolute;width:2133;height:142;left:0;top:4124;" coordsize="213360,14224" path="m0,0l213360,0l213360,14224l0,14224l0,0">
                <v:stroke weight="0pt" endcap="flat" joinstyle="miter" miterlimit="10" on="false" color="#000000" opacity="0"/>
                <v:fill on="true" color="#000000"/>
              </v:shape>
              <v:shape id="Shape 14231" style="position:absolute;width:2133;height:91;left:0;top:3982;" coordsize="213360,9144" path="m0,0l213360,0l213360,9144l0,9144l0,0">
                <v:stroke weight="0pt" endcap="flat" joinstyle="miter" miterlimit="10" on="false" color="#000000" opacity="0"/>
                <v:fill on="true" color="#000000"/>
              </v:shape>
              <v:shape id="Shape 14232" style="position:absolute;width:2133;height:142;left:0;top:3556;" coordsize="213360,14224" path="m0,0l213360,0l213360,14224l0,14224l0,0">
                <v:stroke weight="0pt" endcap="flat" joinstyle="miter" miterlimit="10" on="false" color="#000000" opacity="0"/>
                <v:fill on="true" color="#000000"/>
              </v:shape>
              <v:shape id="Shape 14233" style="position:absolute;width:2133;height:91;left:0;top:3413;" coordsize="213360,9144" path="m0,0l213360,0l213360,9144l0,9144l0,0">
                <v:stroke weight="0pt" endcap="flat" joinstyle="miter" miterlimit="10" on="false" color="#000000" opacity="0"/>
                <v:fill on="true" color="#000000"/>
              </v:shape>
              <v:shape id="Shape 14234" style="position:absolute;width:2133;height:142;left:0;top:3129;" coordsize="213360,14224" path="m0,0l213360,0l213360,14224l0,14224l0,0">
                <v:stroke weight="0pt" endcap="flat" joinstyle="miter" miterlimit="10" on="false" color="#000000" opacity="0"/>
                <v:fill on="true" color="#000000"/>
              </v:shape>
              <v:shape id="Shape 14235" style="position:absolute;width:2133;height:91;left:0;top:2987;" coordsize="213360,9144" path="m0,0l213360,0l213360,9144l0,9144l0,0">
                <v:stroke weight="0pt" endcap="flat" joinstyle="miter" miterlimit="10" on="false" color="#000000" opacity="0"/>
                <v:fill on="true" color="#000000"/>
              </v:shape>
              <v:shape id="Shape 14236" style="position:absolute;width:2133;height:213;left:0;top:2560;" coordsize="213360,21336" path="m0,0l213360,0l213360,21336l0,21336l0,0">
                <v:stroke weight="0pt" endcap="flat" joinstyle="miter" miterlimit="10" on="false" color="#000000" opacity="0"/>
                <v:fill on="true" color="#000000"/>
              </v:shape>
              <v:shape id="Shape 14237" style="position:absolute;width:2133;height:142;left:0;top:2346;" coordsize="213360,14224" path="m0,0l213360,0l213360,14224l0,14224l0,0">
                <v:stroke weight="0pt" endcap="flat" joinstyle="miter" miterlimit="10" on="false" color="#000000" opacity="0"/>
                <v:fill on="true" color="#000000"/>
              </v:shape>
              <v:shape id="Shape 14238" style="position:absolute;width:2133;height:142;left:0;top:2133;" coordsize="213360,14224" path="m0,0l213360,0l213360,14224l0,14224l0,0">
                <v:stroke weight="0pt" endcap="flat" joinstyle="miter" miterlimit="10" on="false" color="#000000" opacity="0"/>
                <v:fill on="true" color="#000000"/>
              </v:shape>
              <v:shape id="Shape 14239" style="position:absolute;width:2133;height:142;left:0;top:1849;" coordsize="213360,14224" path="m0,0l213360,0l213360,14224l0,14224l0,0">
                <v:stroke weight="0pt" endcap="flat" joinstyle="miter" miterlimit="10" on="false" color="#000000" opacity="0"/>
                <v:fill on="true" color="#000000"/>
              </v:shape>
              <v:shape id="Shape 14240" style="position:absolute;width:2133;height:213;left:0;top:1493;" coordsize="213360,21336" path="m0,0l213360,0l213360,21336l0,21336l0,0">
                <v:stroke weight="0pt" endcap="flat" joinstyle="miter" miterlimit="10" on="false" color="#000000" opacity="0"/>
                <v:fill on="true" color="#000000"/>
              </v:shape>
              <v:shape id="Shape 14241" style="position:absolute;width:2133;height:91;left:0;top:1351;" coordsize="213360,9144" path="m0,0l213360,0l213360,9144l0,9144l0,0">
                <v:stroke weight="0pt" endcap="flat" joinstyle="miter" miterlimit="10" on="false" color="#000000" opacity="0"/>
                <v:fill on="true" color="#000000"/>
              </v:shape>
              <v:shape id="Shape 14242" style="position:absolute;width:2133;height:142;left:0;top:995;" coordsize="213360,14224" path="m0,0l213360,0l213360,14224l0,14224l0,0">
                <v:stroke weight="0pt" endcap="flat" joinstyle="miter" miterlimit="10" on="false" color="#000000" opacity="0"/>
                <v:fill on="true" color="#000000"/>
              </v:shape>
              <v:shape id="Shape 14243" style="position:absolute;width:2133;height:142;left:0;top:782;" coordsize="213360,14224" path="m0,0l213360,0l213360,14224l0,14224l0,0">
                <v:stroke weight="0pt" endcap="flat" joinstyle="miter" miterlimit="10" on="false" color="#000000" opacity="0"/>
                <v:fill on="true" color="#000000"/>
              </v:shape>
              <v:shape id="Shape 14244" style="position:absolute;width:2133;height:213;left:0;top:355;" coordsize="213360,21336" path="m0,0l213360,0l213360,21336l0,21336l0,0">
                <v:stroke weight="0pt" endcap="flat" joinstyle="miter" miterlimit="10" on="false" color="#000000" opacity="0"/>
                <v:fill on="true" color="#000000"/>
              </v:shape>
              <v:shape id="Shape 14245" style="position:absolute;width:2133;height:91;left:0;top:213;" coordsize="213360,9144" path="m0,0l213360,0l213360,9144l0,9144l0,0">
                <v:stroke weight="0pt" endcap="flat" joinstyle="miter" miterlimit="10" on="false" color="#000000" opacity="0"/>
                <v:fill on="true" color="#000000"/>
              </v:shape>
              <v:shape id="Shape 14246" style="position:absolute;width:2133;height:142;left:0;top:0;" coordsize="213360,14224" path="m0,0l213360,0l213360,14224l0,1422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8A" w:rsidRDefault="00CE1516">
    <w:pPr>
      <w:spacing w:after="0" w:line="259" w:lineRule="auto"/>
      <w:ind w:left="0" w:right="0" w:firstLine="0"/>
      <w:jc w:val="left"/>
    </w:pPr>
    <w:r>
      <w:rPr>
        <w:rFonts w:ascii="Times New Roman" w:eastAsia="Times New Roman" w:hAnsi="Times New Roman" w:cs="Times New Roman"/>
        <w:sz w:val="24"/>
      </w:rPr>
      <w:t xml:space="preserve"> </w:t>
    </w:r>
  </w:p>
  <w:p w:rsidR="00A17B8A" w:rsidRDefault="00CE1516">
    <w:pPr>
      <w:spacing w:after="0" w:line="259" w:lineRule="auto"/>
      <w:ind w:left="0" w:right="0" w:firstLine="0"/>
      <w:jc w:val="left"/>
    </w:pPr>
    <w:r>
      <w:rPr>
        <w:rFonts w:ascii="Times New Roman" w:eastAsia="Times New Roman" w:hAnsi="Times New Roman" w:cs="Times New Roman"/>
        <w:sz w:val="24"/>
      </w:rPr>
      <w:t xml:space="preserve">             </w:t>
    </w:r>
  </w:p>
  <w:p w:rsidR="00A17B8A" w:rsidRDefault="00CE1516">
    <w:pPr>
      <w:spacing w:after="0" w:line="259" w:lineRule="auto"/>
      <w:ind w:left="0" w:right="0" w:firstLine="0"/>
      <w:jc w:val="left"/>
    </w:pPr>
    <w:r>
      <w:rPr>
        <w:noProof/>
      </w:rPr>
      <w:drawing>
        <wp:anchor distT="0" distB="0" distL="114300" distR="114300" simplePos="0" relativeHeight="251662336" behindDoc="0" locked="0" layoutInCell="1" allowOverlap="0">
          <wp:simplePos x="0" y="0"/>
          <wp:positionH relativeFrom="page">
            <wp:posOffset>1080516</wp:posOffset>
          </wp:positionH>
          <wp:positionV relativeFrom="page">
            <wp:posOffset>757431</wp:posOffset>
          </wp:positionV>
          <wp:extent cx="438912" cy="445008"/>
          <wp:effectExtent l="0" t="0" r="0" b="0"/>
          <wp:wrapNone/>
          <wp:docPr id="2"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flipV="1">
                    <a:off x="0" y="0"/>
                    <a:ext cx="438912" cy="445008"/>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Intervención General </w:t>
    </w:r>
  </w:p>
  <w:p w:rsidR="00A17B8A" w:rsidRDefault="00CE1516">
    <w:pPr>
      <w:spacing w:after="0" w:line="259" w:lineRule="auto"/>
      <w:ind w:left="0" w:right="0" w:firstLine="0"/>
      <w:jc w:val="left"/>
    </w:pPr>
    <w:r>
      <w:rPr>
        <w:rFonts w:ascii="Times New Roman" w:eastAsia="Times New Roman" w:hAnsi="Times New Roman" w:cs="Times New Roman"/>
        <w:sz w:val="24"/>
      </w:rPr>
      <w:t xml:space="preserve">            Consejería de Hacienda y Función Pública </w:t>
    </w:r>
  </w:p>
  <w:p w:rsidR="00A17B8A" w:rsidRDefault="00CE1516">
    <w:pPr>
      <w:spacing w:after="16" w:line="259" w:lineRule="auto"/>
      <w:ind w:left="0" w:right="0" w:firstLine="0"/>
      <w:jc w:val="left"/>
    </w:pPr>
    <w:r>
      <w:rPr>
        <w:rFonts w:ascii="Times New Roman" w:eastAsia="Times New Roman" w:hAnsi="Times New Roman" w:cs="Times New Roman"/>
        <w:sz w:val="24"/>
      </w:rPr>
      <w:t xml:space="preserve"> </w:t>
    </w:r>
  </w:p>
  <w:p w:rsidR="00A17B8A" w:rsidRDefault="00CE1516">
    <w:pPr>
      <w:spacing w:after="0" w:line="259" w:lineRule="auto"/>
      <w:ind w:left="0" w:right="0" w:firstLine="0"/>
      <w:jc w:val="left"/>
    </w:pPr>
    <w:r>
      <w:rPr>
        <w:rFonts w:ascii="Times New Roman" w:eastAsia="Times New Roman" w:hAnsi="Times New Roman" w:cs="Times New Roman"/>
        <w:b/>
        <w:sz w:val="28"/>
      </w:rPr>
      <w:t xml:space="preserve">Comunidad de Madrid </w:t>
    </w:r>
  </w:p>
  <w:p w:rsidR="00A17B8A" w:rsidRDefault="00CE1516">
    <w:pPr>
      <w:spacing w:after="0" w:line="259" w:lineRule="auto"/>
      <w:ind w:left="0" w:right="0" w:firstLine="0"/>
      <w:jc w:val="left"/>
    </w:pPr>
    <w:r>
      <w:rPr>
        <w:rFonts w:ascii="Times New Roman" w:eastAsia="Times New Roman" w:hAnsi="Times New Roman" w:cs="Times New Roman"/>
        <w:sz w:val="24"/>
      </w:rPr>
      <w:t xml:space="preserve"> </w:t>
    </w:r>
  </w:p>
  <w:p w:rsidR="00A17B8A" w:rsidRDefault="00CE1516">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7213600</wp:posOffset>
              </wp:positionH>
              <wp:positionV relativeFrom="page">
                <wp:posOffset>2902331</wp:posOffset>
              </wp:positionV>
              <wp:extent cx="213360" cy="1109472"/>
              <wp:effectExtent l="0" t="0" r="0" b="0"/>
              <wp:wrapNone/>
              <wp:docPr id="13538" name="Group 13538"/>
              <wp:cNvGraphicFramePr/>
              <a:graphic xmlns:a="http://schemas.openxmlformats.org/drawingml/2006/main">
                <a:graphicData uri="http://schemas.microsoft.com/office/word/2010/wordprocessingGroup">
                  <wpg:wgp>
                    <wpg:cNvGrpSpPr/>
                    <wpg:grpSpPr>
                      <a:xfrm>
                        <a:off x="0" y="0"/>
                        <a:ext cx="213360" cy="1109472"/>
                        <a:chOff x="0" y="0"/>
                        <a:chExt cx="213360" cy="1109472"/>
                      </a:xfrm>
                    </wpg:grpSpPr>
                    <wps:wsp>
                      <wps:cNvPr id="13989" name="Shape 13989"/>
                      <wps:cNvSpPr/>
                      <wps:spPr>
                        <a:xfrm>
                          <a:off x="0" y="1095248"/>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0" name="Shape 13990"/>
                      <wps:cNvSpPr/>
                      <wps:spPr>
                        <a:xfrm>
                          <a:off x="0" y="108102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1" name="Shape 13991"/>
                      <wps:cNvSpPr/>
                      <wps:spPr>
                        <a:xfrm>
                          <a:off x="0" y="1045464"/>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2" name="Shape 13992"/>
                      <wps:cNvSpPr/>
                      <wps:spPr>
                        <a:xfrm>
                          <a:off x="0" y="1017016"/>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3" name="Shape 13993"/>
                      <wps:cNvSpPr/>
                      <wps:spPr>
                        <a:xfrm>
                          <a:off x="0" y="99568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4" name="Shape 13994"/>
                      <wps:cNvSpPr/>
                      <wps:spPr>
                        <a:xfrm>
                          <a:off x="0" y="97434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5" name="Shape 13995"/>
                      <wps:cNvSpPr/>
                      <wps:spPr>
                        <a:xfrm>
                          <a:off x="0" y="931672"/>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6" name="Shape 13996"/>
                      <wps:cNvSpPr/>
                      <wps:spPr>
                        <a:xfrm>
                          <a:off x="0" y="9103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7" name="Shape 13997"/>
                      <wps:cNvSpPr/>
                      <wps:spPr>
                        <a:xfrm>
                          <a:off x="0" y="88900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8" name="Shape 13998"/>
                      <wps:cNvSpPr/>
                      <wps:spPr>
                        <a:xfrm>
                          <a:off x="0" y="86766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9" name="Shape 13999"/>
                      <wps:cNvSpPr/>
                      <wps:spPr>
                        <a:xfrm>
                          <a:off x="0" y="832104"/>
                          <a:ext cx="213360" cy="28448"/>
                        </a:xfrm>
                        <a:custGeom>
                          <a:avLst/>
                          <a:gdLst/>
                          <a:ahLst/>
                          <a:cxnLst/>
                          <a:rect l="0" t="0" r="0" b="0"/>
                          <a:pathLst>
                            <a:path w="213360" h="28448">
                              <a:moveTo>
                                <a:pt x="0" y="0"/>
                              </a:moveTo>
                              <a:lnTo>
                                <a:pt x="213360" y="0"/>
                              </a:lnTo>
                              <a:lnTo>
                                <a:pt x="213360" y="28448"/>
                              </a:lnTo>
                              <a:lnTo>
                                <a:pt x="0" y="28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0" name="Shape 14000"/>
                      <wps:cNvSpPr/>
                      <wps:spPr>
                        <a:xfrm>
                          <a:off x="0" y="81788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1" name="Shape 14001"/>
                      <wps:cNvSpPr/>
                      <wps:spPr>
                        <a:xfrm>
                          <a:off x="0" y="789432"/>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2" name="Shape 14002"/>
                      <wps:cNvSpPr/>
                      <wps:spPr>
                        <a:xfrm>
                          <a:off x="0" y="746760"/>
                          <a:ext cx="213360" cy="28448"/>
                        </a:xfrm>
                        <a:custGeom>
                          <a:avLst/>
                          <a:gdLst/>
                          <a:ahLst/>
                          <a:cxnLst/>
                          <a:rect l="0" t="0" r="0" b="0"/>
                          <a:pathLst>
                            <a:path w="213360" h="28448">
                              <a:moveTo>
                                <a:pt x="0" y="0"/>
                              </a:moveTo>
                              <a:lnTo>
                                <a:pt x="213360" y="0"/>
                              </a:lnTo>
                              <a:lnTo>
                                <a:pt x="213360" y="28448"/>
                              </a:lnTo>
                              <a:lnTo>
                                <a:pt x="0" y="28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3" name="Shape 14003"/>
                      <wps:cNvSpPr/>
                      <wps:spPr>
                        <a:xfrm>
                          <a:off x="0" y="7325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4" name="Shape 14004"/>
                      <wps:cNvSpPr/>
                      <wps:spPr>
                        <a:xfrm>
                          <a:off x="0" y="696976"/>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5" name="Shape 14005"/>
                      <wps:cNvSpPr/>
                      <wps:spPr>
                        <a:xfrm>
                          <a:off x="0" y="66852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6" name="Shape 14006"/>
                      <wps:cNvSpPr/>
                      <wps:spPr>
                        <a:xfrm>
                          <a:off x="0" y="64719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7" name="Shape 14007"/>
                      <wps:cNvSpPr/>
                      <wps:spPr>
                        <a:xfrm>
                          <a:off x="0" y="63296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8" name="Shape 14008"/>
                      <wps:cNvSpPr/>
                      <wps:spPr>
                        <a:xfrm>
                          <a:off x="0" y="61163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9" name="Shape 14009"/>
                      <wps:cNvSpPr/>
                      <wps:spPr>
                        <a:xfrm>
                          <a:off x="0" y="58318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0" name="Shape 14010"/>
                      <wps:cNvSpPr/>
                      <wps:spPr>
                        <a:xfrm>
                          <a:off x="0" y="5547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1" name="Shape 14011"/>
                      <wps:cNvSpPr/>
                      <wps:spPr>
                        <a:xfrm>
                          <a:off x="0" y="52628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2" name="Shape 14012"/>
                      <wps:cNvSpPr/>
                      <wps:spPr>
                        <a:xfrm>
                          <a:off x="0" y="490728"/>
                          <a:ext cx="213360" cy="28448"/>
                        </a:xfrm>
                        <a:custGeom>
                          <a:avLst/>
                          <a:gdLst/>
                          <a:ahLst/>
                          <a:cxnLst/>
                          <a:rect l="0" t="0" r="0" b="0"/>
                          <a:pathLst>
                            <a:path w="213360" h="28448">
                              <a:moveTo>
                                <a:pt x="0" y="0"/>
                              </a:moveTo>
                              <a:lnTo>
                                <a:pt x="213360" y="0"/>
                              </a:lnTo>
                              <a:lnTo>
                                <a:pt x="213360" y="28448"/>
                              </a:lnTo>
                              <a:lnTo>
                                <a:pt x="0" y="28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3" name="Shape 14013"/>
                      <wps:cNvSpPr/>
                      <wps:spPr>
                        <a:xfrm>
                          <a:off x="0" y="47650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4" name="Shape 14014"/>
                      <wps:cNvSpPr/>
                      <wps:spPr>
                        <a:xfrm>
                          <a:off x="0" y="448056"/>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5" name="Shape 14015"/>
                      <wps:cNvSpPr/>
                      <wps:spPr>
                        <a:xfrm>
                          <a:off x="0" y="412496"/>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6" name="Shape 14016"/>
                      <wps:cNvSpPr/>
                      <wps:spPr>
                        <a:xfrm>
                          <a:off x="0" y="398272"/>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7" name="Shape 14017"/>
                      <wps:cNvSpPr/>
                      <wps:spPr>
                        <a:xfrm>
                          <a:off x="0" y="35560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8" name="Shape 14018"/>
                      <wps:cNvSpPr/>
                      <wps:spPr>
                        <a:xfrm>
                          <a:off x="0" y="34137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9" name="Shape 14019"/>
                      <wps:cNvSpPr/>
                      <wps:spPr>
                        <a:xfrm>
                          <a:off x="0" y="312928"/>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0" name="Shape 14020"/>
                      <wps:cNvSpPr/>
                      <wps:spPr>
                        <a:xfrm>
                          <a:off x="0" y="298704"/>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1" name="Shape 14021"/>
                      <wps:cNvSpPr/>
                      <wps:spPr>
                        <a:xfrm>
                          <a:off x="0" y="256032"/>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2" name="Shape 14022"/>
                      <wps:cNvSpPr/>
                      <wps:spPr>
                        <a:xfrm>
                          <a:off x="0" y="234696"/>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3" name="Shape 14023"/>
                      <wps:cNvSpPr/>
                      <wps:spPr>
                        <a:xfrm>
                          <a:off x="0" y="21336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4" name="Shape 14024"/>
                      <wps:cNvSpPr/>
                      <wps:spPr>
                        <a:xfrm>
                          <a:off x="0" y="18491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5" name="Shape 14025"/>
                      <wps:cNvSpPr/>
                      <wps:spPr>
                        <a:xfrm>
                          <a:off x="0" y="149352"/>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6" name="Shape 14026"/>
                      <wps:cNvSpPr/>
                      <wps:spPr>
                        <a:xfrm>
                          <a:off x="0" y="135128"/>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7" name="Shape 14027"/>
                      <wps:cNvSpPr/>
                      <wps:spPr>
                        <a:xfrm>
                          <a:off x="0" y="99568"/>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8" name="Shape 14028"/>
                      <wps:cNvSpPr/>
                      <wps:spPr>
                        <a:xfrm>
                          <a:off x="0" y="78232"/>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9" name="Shape 14029"/>
                      <wps:cNvSpPr/>
                      <wps:spPr>
                        <a:xfrm>
                          <a:off x="0" y="35560"/>
                          <a:ext cx="213360" cy="21336"/>
                        </a:xfrm>
                        <a:custGeom>
                          <a:avLst/>
                          <a:gdLst/>
                          <a:ahLst/>
                          <a:cxnLst/>
                          <a:rect l="0" t="0" r="0" b="0"/>
                          <a:pathLst>
                            <a:path w="213360" h="21336">
                              <a:moveTo>
                                <a:pt x="0" y="0"/>
                              </a:moveTo>
                              <a:lnTo>
                                <a:pt x="213360" y="0"/>
                              </a:lnTo>
                              <a:lnTo>
                                <a:pt x="213360"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0" name="Shape 14030"/>
                      <wps:cNvSpPr/>
                      <wps:spPr>
                        <a:xfrm>
                          <a:off x="0" y="21336"/>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1" name="Shape 14031"/>
                      <wps:cNvSpPr/>
                      <wps:spPr>
                        <a:xfrm>
                          <a:off x="0" y="0"/>
                          <a:ext cx="213360" cy="14224"/>
                        </a:xfrm>
                        <a:custGeom>
                          <a:avLst/>
                          <a:gdLst/>
                          <a:ahLst/>
                          <a:cxnLst/>
                          <a:rect l="0" t="0" r="0" b="0"/>
                          <a:pathLst>
                            <a:path w="213360" h="14224">
                              <a:moveTo>
                                <a:pt x="0" y="0"/>
                              </a:moveTo>
                              <a:lnTo>
                                <a:pt x="213360" y="0"/>
                              </a:lnTo>
                              <a:lnTo>
                                <a:pt x="213360"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538" style="width:16.8pt;height:87.36pt;position:absolute;z-index:-2147483648;mso-position-horizontal-relative:page;mso-position-horizontal:absolute;margin-left:568pt;mso-position-vertical-relative:page;margin-top:228.53pt;" coordsize="2133,11094">
              <v:shape id="Shape 14032" style="position:absolute;width:2133;height:142;left:0;top:10952;" coordsize="213360,14224" path="m0,0l213360,0l213360,14224l0,14224l0,0">
                <v:stroke weight="0pt" endcap="flat" joinstyle="miter" miterlimit="10" on="false" color="#000000" opacity="0"/>
                <v:fill on="true" color="#000000"/>
              </v:shape>
              <v:shape id="Shape 14033" style="position:absolute;width:2133;height:91;left:0;top:10810;" coordsize="213360,9144" path="m0,0l213360,0l213360,9144l0,9144l0,0">
                <v:stroke weight="0pt" endcap="flat" joinstyle="miter" miterlimit="10" on="false" color="#000000" opacity="0"/>
                <v:fill on="true" color="#000000"/>
              </v:shape>
              <v:shape id="Shape 14034" style="position:absolute;width:2133;height:213;left:0;top:10454;" coordsize="213360,21336" path="m0,0l213360,0l213360,21336l0,21336l0,0">
                <v:stroke weight="0pt" endcap="flat" joinstyle="miter" miterlimit="10" on="false" color="#000000" opacity="0"/>
                <v:fill on="true" color="#000000"/>
              </v:shape>
              <v:shape id="Shape 14035" style="position:absolute;width:2133;height:142;left:0;top:10170;" coordsize="213360,14224" path="m0,0l213360,0l213360,14224l0,14224l0,0">
                <v:stroke weight="0pt" endcap="flat" joinstyle="miter" miterlimit="10" on="false" color="#000000" opacity="0"/>
                <v:fill on="true" color="#000000"/>
              </v:shape>
              <v:shape id="Shape 14036" style="position:absolute;width:2133;height:91;left:0;top:9956;" coordsize="213360,9144" path="m0,0l213360,0l213360,9144l0,9144l0,0">
                <v:stroke weight="0pt" endcap="flat" joinstyle="miter" miterlimit="10" on="false" color="#000000" opacity="0"/>
                <v:fill on="true" color="#000000"/>
              </v:shape>
              <v:shape id="Shape 14037" style="position:absolute;width:2133;height:91;left:0;top:9743;" coordsize="213360,9144" path="m0,0l213360,0l213360,9144l0,9144l0,0">
                <v:stroke weight="0pt" endcap="flat" joinstyle="miter" miterlimit="10" on="false" color="#000000" opacity="0"/>
                <v:fill on="true" color="#000000"/>
              </v:shape>
              <v:shape id="Shape 14038" style="position:absolute;width:2133;height:213;left:0;top:9316;" coordsize="213360,21336" path="m0,0l213360,0l213360,21336l0,21336l0,0">
                <v:stroke weight="0pt" endcap="flat" joinstyle="miter" miterlimit="10" on="false" color="#000000" opacity="0"/>
                <v:fill on="true" color="#000000"/>
              </v:shape>
              <v:shape id="Shape 14039" style="position:absolute;width:2133;height:91;left:0;top:9103;" coordsize="213360,9144" path="m0,0l213360,0l213360,9144l0,9144l0,0">
                <v:stroke weight="0pt" endcap="flat" joinstyle="miter" miterlimit="10" on="false" color="#000000" opacity="0"/>
                <v:fill on="true" color="#000000"/>
              </v:shape>
              <v:shape id="Shape 14040" style="position:absolute;width:2133;height:142;left:0;top:8890;" coordsize="213360,14224" path="m0,0l213360,0l213360,14224l0,14224l0,0">
                <v:stroke weight="0pt" endcap="flat" joinstyle="miter" miterlimit="10" on="false" color="#000000" opacity="0"/>
                <v:fill on="true" color="#000000"/>
              </v:shape>
              <v:shape id="Shape 14041" style="position:absolute;width:2133;height:91;left:0;top:8676;" coordsize="213360,9144" path="m0,0l213360,0l213360,9144l0,9144l0,0">
                <v:stroke weight="0pt" endcap="flat" joinstyle="miter" miterlimit="10" on="false" color="#000000" opacity="0"/>
                <v:fill on="true" color="#000000"/>
              </v:shape>
              <v:shape id="Shape 14042" style="position:absolute;width:2133;height:284;left:0;top:8321;" coordsize="213360,28448" path="m0,0l213360,0l213360,28448l0,28448l0,0">
                <v:stroke weight="0pt" endcap="flat" joinstyle="miter" miterlimit="10" on="false" color="#000000" opacity="0"/>
                <v:fill on="true" color="#000000"/>
              </v:shape>
              <v:shape id="Shape 14043" style="position:absolute;width:2133;height:91;left:0;top:8178;" coordsize="213360,9144" path="m0,0l213360,0l213360,9144l0,9144l0,0">
                <v:stroke weight="0pt" endcap="flat" joinstyle="miter" miterlimit="10" on="false" color="#000000" opacity="0"/>
                <v:fill on="true" color="#000000"/>
              </v:shape>
              <v:shape id="Shape 14044" style="position:absolute;width:2133;height:91;left:0;top:7894;" coordsize="213360,9144" path="m0,0l213360,0l213360,9144l0,9144l0,0">
                <v:stroke weight="0pt" endcap="flat" joinstyle="miter" miterlimit="10" on="false" color="#000000" opacity="0"/>
                <v:fill on="true" color="#000000"/>
              </v:shape>
              <v:shape id="Shape 14045" style="position:absolute;width:2133;height:284;left:0;top:7467;" coordsize="213360,28448" path="m0,0l213360,0l213360,28448l0,28448l0,0">
                <v:stroke weight="0pt" endcap="flat" joinstyle="miter" miterlimit="10" on="false" color="#000000" opacity="0"/>
                <v:fill on="true" color="#000000"/>
              </v:shape>
              <v:shape id="Shape 14046" style="position:absolute;width:2133;height:91;left:0;top:7325;" coordsize="213360,9144" path="m0,0l213360,0l213360,9144l0,9144l0,0">
                <v:stroke weight="0pt" endcap="flat" joinstyle="miter" miterlimit="10" on="false" color="#000000" opacity="0"/>
                <v:fill on="true" color="#000000"/>
              </v:shape>
              <v:shape id="Shape 14047" style="position:absolute;width:2133;height:213;left:0;top:6969;" coordsize="213360,21336" path="m0,0l213360,0l213360,21336l0,21336l0,0">
                <v:stroke weight="0pt" endcap="flat" joinstyle="miter" miterlimit="10" on="false" color="#000000" opacity="0"/>
                <v:fill on="true" color="#000000"/>
              </v:shape>
              <v:shape id="Shape 14048" style="position:absolute;width:2133;height:91;left:0;top:6685;" coordsize="213360,9144" path="m0,0l213360,0l213360,9144l0,9144l0,0">
                <v:stroke weight="0pt" endcap="flat" joinstyle="miter" miterlimit="10" on="false" color="#000000" opacity="0"/>
                <v:fill on="true" color="#000000"/>
              </v:shape>
              <v:shape id="Shape 14049" style="position:absolute;width:2133;height:142;left:0;top:6471;" coordsize="213360,14224" path="m0,0l213360,0l213360,14224l0,14224l0,0">
                <v:stroke weight="0pt" endcap="flat" joinstyle="miter" miterlimit="10" on="false" color="#000000" opacity="0"/>
                <v:fill on="true" color="#000000"/>
              </v:shape>
              <v:shape id="Shape 14050" style="position:absolute;width:2133;height:91;left:0;top:6329;" coordsize="213360,9144" path="m0,0l213360,0l213360,9144l0,9144l0,0">
                <v:stroke weight="0pt" endcap="flat" joinstyle="miter" miterlimit="10" on="false" color="#000000" opacity="0"/>
                <v:fill on="true" color="#000000"/>
              </v:shape>
              <v:shape id="Shape 14051" style="position:absolute;width:2133;height:142;left:0;top:6116;" coordsize="213360,14224" path="m0,0l213360,0l213360,14224l0,14224l0,0">
                <v:stroke weight="0pt" endcap="flat" joinstyle="miter" miterlimit="10" on="false" color="#000000" opacity="0"/>
                <v:fill on="true" color="#000000"/>
              </v:shape>
              <v:shape id="Shape 14052" style="position:absolute;width:2133;height:91;left:0;top:5831;" coordsize="213360,9144" path="m0,0l213360,0l213360,9144l0,9144l0,0">
                <v:stroke weight="0pt" endcap="flat" joinstyle="miter" miterlimit="10" on="false" color="#000000" opacity="0"/>
                <v:fill on="true" color="#000000"/>
              </v:shape>
              <v:shape id="Shape 14053" style="position:absolute;width:2133;height:91;left:0;top:5547;" coordsize="213360,9144" path="m0,0l213360,0l213360,9144l0,9144l0,0">
                <v:stroke weight="0pt" endcap="flat" joinstyle="miter" miterlimit="10" on="false" color="#000000" opacity="0"/>
                <v:fill on="true" color="#000000"/>
              </v:shape>
              <v:shape id="Shape 14054" style="position:absolute;width:2133;height:91;left:0;top:5262;" coordsize="213360,9144" path="m0,0l213360,0l213360,9144l0,9144l0,0">
                <v:stroke weight="0pt" endcap="flat" joinstyle="miter" miterlimit="10" on="false" color="#000000" opacity="0"/>
                <v:fill on="true" color="#000000"/>
              </v:shape>
              <v:shape id="Shape 14055" style="position:absolute;width:2133;height:284;left:0;top:4907;" coordsize="213360,28448" path="m0,0l213360,0l213360,28448l0,28448l0,0">
                <v:stroke weight="0pt" endcap="flat" joinstyle="miter" miterlimit="10" on="false" color="#000000" opacity="0"/>
                <v:fill on="true" color="#000000"/>
              </v:shape>
              <v:shape id="Shape 14056" style="position:absolute;width:2133;height:91;left:0;top:4765;" coordsize="213360,9144" path="m0,0l213360,0l213360,9144l0,9144l0,0">
                <v:stroke weight="0pt" endcap="flat" joinstyle="miter" miterlimit="10" on="false" color="#000000" opacity="0"/>
                <v:fill on="true" color="#000000"/>
              </v:shape>
              <v:shape id="Shape 14057" style="position:absolute;width:2133;height:213;left:0;top:4480;" coordsize="213360,21336" path="m0,0l213360,0l213360,21336l0,21336l0,0">
                <v:stroke weight="0pt" endcap="flat" joinstyle="miter" miterlimit="10" on="false" color="#000000" opacity="0"/>
                <v:fill on="true" color="#000000"/>
              </v:shape>
              <v:shape id="Shape 14058" style="position:absolute;width:2133;height:142;left:0;top:4124;" coordsize="213360,14224" path="m0,0l213360,0l213360,14224l0,14224l0,0">
                <v:stroke weight="0pt" endcap="flat" joinstyle="miter" miterlimit="10" on="false" color="#000000" opacity="0"/>
                <v:fill on="true" color="#000000"/>
              </v:shape>
              <v:shape id="Shape 14059" style="position:absolute;width:2133;height:91;left:0;top:3982;" coordsize="213360,9144" path="m0,0l213360,0l213360,9144l0,9144l0,0">
                <v:stroke weight="0pt" endcap="flat" joinstyle="miter" miterlimit="10" on="false" color="#000000" opacity="0"/>
                <v:fill on="true" color="#000000"/>
              </v:shape>
              <v:shape id="Shape 14060" style="position:absolute;width:2133;height:142;left:0;top:3556;" coordsize="213360,14224" path="m0,0l213360,0l213360,14224l0,14224l0,0">
                <v:stroke weight="0pt" endcap="flat" joinstyle="miter" miterlimit="10" on="false" color="#000000" opacity="0"/>
                <v:fill on="true" color="#000000"/>
              </v:shape>
              <v:shape id="Shape 14061" style="position:absolute;width:2133;height:91;left:0;top:3413;" coordsize="213360,9144" path="m0,0l213360,0l213360,9144l0,9144l0,0">
                <v:stroke weight="0pt" endcap="flat" joinstyle="miter" miterlimit="10" on="false" color="#000000" opacity="0"/>
                <v:fill on="true" color="#000000"/>
              </v:shape>
              <v:shape id="Shape 14062" style="position:absolute;width:2133;height:142;left:0;top:3129;" coordsize="213360,14224" path="m0,0l213360,0l213360,14224l0,14224l0,0">
                <v:stroke weight="0pt" endcap="flat" joinstyle="miter" miterlimit="10" on="false" color="#000000" opacity="0"/>
                <v:fill on="true" color="#000000"/>
              </v:shape>
              <v:shape id="Shape 14063" style="position:absolute;width:2133;height:91;left:0;top:2987;" coordsize="213360,9144" path="m0,0l213360,0l213360,9144l0,9144l0,0">
                <v:stroke weight="0pt" endcap="flat" joinstyle="miter" miterlimit="10" on="false" color="#000000" opacity="0"/>
                <v:fill on="true" color="#000000"/>
              </v:shape>
              <v:shape id="Shape 14064" style="position:absolute;width:2133;height:213;left:0;top:2560;" coordsize="213360,21336" path="m0,0l213360,0l213360,21336l0,21336l0,0">
                <v:stroke weight="0pt" endcap="flat" joinstyle="miter" miterlimit="10" on="false" color="#000000" opacity="0"/>
                <v:fill on="true" color="#000000"/>
              </v:shape>
              <v:shape id="Shape 14065" style="position:absolute;width:2133;height:142;left:0;top:2346;" coordsize="213360,14224" path="m0,0l213360,0l213360,14224l0,14224l0,0">
                <v:stroke weight="0pt" endcap="flat" joinstyle="miter" miterlimit="10" on="false" color="#000000" opacity="0"/>
                <v:fill on="true" color="#000000"/>
              </v:shape>
              <v:shape id="Shape 14066" style="position:absolute;width:2133;height:142;left:0;top:2133;" coordsize="213360,14224" path="m0,0l213360,0l213360,14224l0,14224l0,0">
                <v:stroke weight="0pt" endcap="flat" joinstyle="miter" miterlimit="10" on="false" color="#000000" opacity="0"/>
                <v:fill on="true" color="#000000"/>
              </v:shape>
              <v:shape id="Shape 14067" style="position:absolute;width:2133;height:142;left:0;top:1849;" coordsize="213360,14224" path="m0,0l213360,0l213360,14224l0,14224l0,0">
                <v:stroke weight="0pt" endcap="flat" joinstyle="miter" miterlimit="10" on="false" color="#000000" opacity="0"/>
                <v:fill on="true" color="#000000"/>
              </v:shape>
              <v:shape id="Shape 14068" style="position:absolute;width:2133;height:213;left:0;top:1493;" coordsize="213360,21336" path="m0,0l213360,0l213360,21336l0,21336l0,0">
                <v:stroke weight="0pt" endcap="flat" joinstyle="miter" miterlimit="10" on="false" color="#000000" opacity="0"/>
                <v:fill on="true" color="#000000"/>
              </v:shape>
              <v:shape id="Shape 14069" style="position:absolute;width:2133;height:91;left:0;top:1351;" coordsize="213360,9144" path="m0,0l213360,0l213360,9144l0,9144l0,0">
                <v:stroke weight="0pt" endcap="flat" joinstyle="miter" miterlimit="10" on="false" color="#000000" opacity="0"/>
                <v:fill on="true" color="#000000"/>
              </v:shape>
              <v:shape id="Shape 14070" style="position:absolute;width:2133;height:142;left:0;top:995;" coordsize="213360,14224" path="m0,0l213360,0l213360,14224l0,14224l0,0">
                <v:stroke weight="0pt" endcap="flat" joinstyle="miter" miterlimit="10" on="false" color="#000000" opacity="0"/>
                <v:fill on="true" color="#000000"/>
              </v:shape>
              <v:shape id="Shape 14071" style="position:absolute;width:2133;height:142;left:0;top:782;" coordsize="213360,14224" path="m0,0l213360,0l213360,14224l0,14224l0,0">
                <v:stroke weight="0pt" endcap="flat" joinstyle="miter" miterlimit="10" on="false" color="#000000" opacity="0"/>
                <v:fill on="true" color="#000000"/>
              </v:shape>
              <v:shape id="Shape 14072" style="position:absolute;width:2133;height:213;left:0;top:355;" coordsize="213360,21336" path="m0,0l213360,0l213360,21336l0,21336l0,0">
                <v:stroke weight="0pt" endcap="flat" joinstyle="miter" miterlimit="10" on="false" color="#000000" opacity="0"/>
                <v:fill on="true" color="#000000"/>
              </v:shape>
              <v:shape id="Shape 14073" style="position:absolute;width:2133;height:91;left:0;top:213;" coordsize="213360,9144" path="m0,0l213360,0l213360,9144l0,9144l0,0">
                <v:stroke weight="0pt" endcap="flat" joinstyle="miter" miterlimit="10" on="false" color="#000000" opacity="0"/>
                <v:fill on="true" color="#000000"/>
              </v:shape>
              <v:shape id="Shape 14074" style="position:absolute;width:2133;height:142;left:0;top:0;" coordsize="213360,14224" path="m0,0l213360,0l213360,14224l0,1422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2F2F"/>
    <w:multiLevelType w:val="hybridMultilevel"/>
    <w:tmpl w:val="D19A87A0"/>
    <w:lvl w:ilvl="0" w:tplc="807222F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A45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236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241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83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A8C1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4FD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EF9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BE6E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C90BC8"/>
    <w:multiLevelType w:val="hybridMultilevel"/>
    <w:tmpl w:val="72C20A2E"/>
    <w:lvl w:ilvl="0" w:tplc="0C7C55F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424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FA91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5A82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14FE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8263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F409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ABA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6231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22733A"/>
    <w:multiLevelType w:val="hybridMultilevel"/>
    <w:tmpl w:val="861C774C"/>
    <w:lvl w:ilvl="0" w:tplc="2A602B8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EB0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EE0C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A067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C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06A0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FCE8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AD1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D8C3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9F409D8"/>
    <w:multiLevelType w:val="hybridMultilevel"/>
    <w:tmpl w:val="C39CDFE8"/>
    <w:lvl w:ilvl="0" w:tplc="5DA2767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872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0043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034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863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C96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2DC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4E3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8C6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7D737C"/>
    <w:multiLevelType w:val="hybridMultilevel"/>
    <w:tmpl w:val="74988C74"/>
    <w:lvl w:ilvl="0" w:tplc="B9B848D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830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02CB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A4BF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4E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ED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2F4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3AB0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C86A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8A"/>
    <w:rsid w:val="000D552B"/>
    <w:rsid w:val="002258EF"/>
    <w:rsid w:val="00451588"/>
    <w:rsid w:val="00616B48"/>
    <w:rsid w:val="006710AB"/>
    <w:rsid w:val="006D032E"/>
    <w:rsid w:val="00A17B8A"/>
    <w:rsid w:val="00BC3058"/>
    <w:rsid w:val="00C41430"/>
    <w:rsid w:val="00CE1516"/>
    <w:rsid w:val="00DF67AC"/>
    <w:rsid w:val="00E554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C9DA"/>
  <w15:docId w15:val="{3EB6879B-6E8A-4889-875D-EE158F4A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10" w:right="1017"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52" w:lineRule="auto"/>
      <w:ind w:right="101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Encabezado">
    <w:name w:val="header"/>
    <w:basedOn w:val="Normal"/>
    <w:link w:val="EncabezadoCar"/>
    <w:uiPriority w:val="99"/>
    <w:unhideWhenUsed/>
    <w:rsid w:val="002258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8EF"/>
    <w:rPr>
      <w:rFonts w:ascii="Arial" w:eastAsia="Arial" w:hAnsi="Arial" w:cs="Arial"/>
      <w:color w:val="000000"/>
    </w:rPr>
  </w:style>
  <w:style w:type="character" w:styleId="Refdecomentario">
    <w:name w:val="annotation reference"/>
    <w:basedOn w:val="Fuentedeprrafopredeter"/>
    <w:uiPriority w:val="99"/>
    <w:semiHidden/>
    <w:unhideWhenUsed/>
    <w:rsid w:val="00616B48"/>
    <w:rPr>
      <w:sz w:val="16"/>
      <w:szCs w:val="16"/>
    </w:rPr>
  </w:style>
  <w:style w:type="paragraph" w:styleId="Textocomentario">
    <w:name w:val="annotation text"/>
    <w:basedOn w:val="Normal"/>
    <w:link w:val="TextocomentarioCar"/>
    <w:uiPriority w:val="99"/>
    <w:semiHidden/>
    <w:unhideWhenUsed/>
    <w:rsid w:val="00616B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6B48"/>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16B48"/>
    <w:rPr>
      <w:b/>
      <w:bCs/>
    </w:rPr>
  </w:style>
  <w:style w:type="character" w:customStyle="1" w:styleId="AsuntodelcomentarioCar">
    <w:name w:val="Asunto del comentario Car"/>
    <w:basedOn w:val="TextocomentarioCar"/>
    <w:link w:val="Asuntodelcomentario"/>
    <w:uiPriority w:val="99"/>
    <w:semiHidden/>
    <w:rsid w:val="00616B48"/>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616B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6B48"/>
    <w:rPr>
      <w:rFonts w:ascii="Segoe UI" w:eastAsia="Arial" w:hAnsi="Segoe UI" w:cs="Segoe UI"/>
      <w:color w:val="000000"/>
      <w:sz w:val="18"/>
      <w:szCs w:val="18"/>
    </w:rPr>
  </w:style>
  <w:style w:type="paragraph" w:styleId="Textonotapie">
    <w:name w:val="footnote text"/>
    <w:basedOn w:val="Normal"/>
    <w:link w:val="TextonotapieCar"/>
    <w:uiPriority w:val="99"/>
    <w:semiHidden/>
    <w:unhideWhenUsed/>
    <w:rsid w:val="00616B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6B48"/>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616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236458">
      <w:bodyDiv w:val="1"/>
      <w:marLeft w:val="0"/>
      <w:marRight w:val="0"/>
      <w:marTop w:val="0"/>
      <w:marBottom w:val="0"/>
      <w:divBdr>
        <w:top w:val="none" w:sz="0" w:space="0" w:color="auto"/>
        <w:left w:val="none" w:sz="0" w:space="0" w:color="auto"/>
        <w:bottom w:val="none" w:sz="0" w:space="0" w:color="auto"/>
        <w:right w:val="none" w:sz="0" w:space="0" w:color="auto"/>
      </w:divBdr>
      <w:divsChild>
        <w:div w:id="1756435426">
          <w:marLeft w:val="0"/>
          <w:marRight w:val="0"/>
          <w:marTop w:val="0"/>
          <w:marBottom w:val="0"/>
          <w:divBdr>
            <w:top w:val="none" w:sz="0" w:space="0" w:color="auto"/>
            <w:left w:val="none" w:sz="0" w:space="0" w:color="auto"/>
            <w:bottom w:val="none" w:sz="0" w:space="0" w:color="auto"/>
            <w:right w:val="none" w:sz="0" w:space="0" w:color="auto"/>
          </w:divBdr>
          <w:divsChild>
            <w:div w:id="1551261177">
              <w:marLeft w:val="0"/>
              <w:marRight w:val="0"/>
              <w:marTop w:val="0"/>
              <w:marBottom w:val="0"/>
              <w:divBdr>
                <w:top w:val="none" w:sz="0" w:space="0" w:color="auto"/>
                <w:left w:val="none" w:sz="0" w:space="0" w:color="auto"/>
                <w:bottom w:val="none" w:sz="0" w:space="0" w:color="auto"/>
                <w:right w:val="none" w:sz="0" w:space="0" w:color="auto"/>
              </w:divBdr>
            </w:div>
            <w:div w:id="879130753">
              <w:marLeft w:val="0"/>
              <w:marRight w:val="0"/>
              <w:marTop w:val="0"/>
              <w:marBottom w:val="0"/>
              <w:divBdr>
                <w:top w:val="none" w:sz="0" w:space="0" w:color="auto"/>
                <w:left w:val="none" w:sz="0" w:space="0" w:color="auto"/>
                <w:bottom w:val="none" w:sz="0" w:space="0" w:color="auto"/>
                <w:right w:val="none" w:sz="0" w:space="0" w:color="auto"/>
              </w:divBdr>
            </w:div>
            <w:div w:id="3826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5B11E-2619-4994-A616-247A268580D1}">
  <ds:schemaRefs>
    <ds:schemaRef ds:uri="http://schemas.openxmlformats.org/officeDocument/2006/bibliography"/>
  </ds:schemaRefs>
</ds:datastoreItem>
</file>

<file path=customXml/itemProps2.xml><?xml version="1.0" encoding="utf-8"?>
<ds:datastoreItem xmlns:ds="http://schemas.openxmlformats.org/officeDocument/2006/customXml" ds:itemID="{F054AC13-5E2B-4E1F-A6DB-CF9450B248E9}"/>
</file>

<file path=customXml/itemProps3.xml><?xml version="1.0" encoding="utf-8"?>
<ds:datastoreItem xmlns:ds="http://schemas.openxmlformats.org/officeDocument/2006/customXml" ds:itemID="{49226759-B0E9-44C5-8293-011AAEBFA7E8}"/>
</file>

<file path=customXml/itemProps4.xml><?xml version="1.0" encoding="utf-8"?>
<ds:datastoreItem xmlns:ds="http://schemas.openxmlformats.org/officeDocument/2006/customXml" ds:itemID="{70256AE0-F9C5-4A1E-B880-5F2345447254}"/>
</file>

<file path=docProps/app.xml><?xml version="1.0" encoding="utf-8"?>
<Properties xmlns="http://schemas.openxmlformats.org/officeDocument/2006/extended-properties" xmlns:vt="http://schemas.openxmlformats.org/officeDocument/2006/docPropsVTypes">
  <Template>Normal.dotm</Template>
  <TotalTime>183</TotalTime>
  <Pages>10</Pages>
  <Words>4507</Words>
  <Characters>24792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Recibido el proyecto de Decreto del Consejo de Gobierno, de Declaración de Utilidad Pública de treinta y un montes, no se form</vt:lpstr>
    </vt:vector>
  </TitlesOfParts>
  <Company>Comunidad de Madrid</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Recibido el proyecto de Decreto del Consejo de Gobierno, de Declaración de Utilidad Pública de treinta y un montes, no se form</dc:title>
  <dc:subject/>
  <dc:creator>usuario</dc:creator>
  <cp:keywords/>
  <cp:lastModifiedBy>Madrid Digital</cp:lastModifiedBy>
  <cp:revision>9</cp:revision>
  <dcterms:created xsi:type="dcterms:W3CDTF">2020-05-22T07:20:00Z</dcterms:created>
  <dcterms:modified xsi:type="dcterms:W3CDTF">2020-05-25T11:04:00Z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