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BC6" w:rsidRDefault="00FF6BC6" w:rsidP="00FF6BC6">
      <w:pPr>
        <w:pStyle w:val="Prrafodelista"/>
        <w:spacing w:after="0" w:line="240" w:lineRule="auto"/>
        <w:ind w:left="0"/>
        <w:contextualSpacing w:val="0"/>
        <w:jc w:val="both"/>
        <w:rPr>
          <w:rFonts w:cs="Arial"/>
          <w:b/>
          <w:color w:val="000000"/>
        </w:rPr>
      </w:pPr>
      <w:r w:rsidRPr="00A32429">
        <w:rPr>
          <w:rFonts w:cs="Arial"/>
          <w:b/>
          <w:color w:val="000000"/>
        </w:rPr>
        <w:t xml:space="preserve">INFORME DE LA INTERVENCIÓN GENERAL DE LA COMUNIDAD DE MADRID DE </w:t>
      </w:r>
      <w:r>
        <w:rPr>
          <w:rFonts w:cs="Arial"/>
          <w:b/>
          <w:color w:val="000000"/>
        </w:rPr>
        <w:t>23 DE OCTUBRE</w:t>
      </w:r>
      <w:r w:rsidRPr="00A32429">
        <w:rPr>
          <w:rFonts w:cs="Arial"/>
          <w:b/>
          <w:color w:val="000000"/>
        </w:rPr>
        <w:t xml:space="preserve"> DE 2019 RELATIVO A LA</w:t>
      </w:r>
      <w:r>
        <w:rPr>
          <w:rFonts w:cs="Arial"/>
          <w:b/>
          <w:color w:val="000000"/>
        </w:rPr>
        <w:t>S CONSECUENCIAS QUE SOBRE LOS CONTRATOS DE SERVICIOS ACCESORIOS TIENEN LAS INCIDENCIAS DE LOS CONTRATOS DE OBRAS PRINCIPALES.</w:t>
      </w:r>
      <w:r w:rsidRPr="00A32429">
        <w:rPr>
          <w:rFonts w:cs="Arial"/>
          <w:b/>
          <w:color w:val="000000"/>
        </w:rPr>
        <w:t xml:space="preserve"> </w:t>
      </w:r>
    </w:p>
    <w:p w:rsidR="00FF6BC6" w:rsidRDefault="00FF6BC6" w:rsidP="00FF6BC6">
      <w:pPr>
        <w:pStyle w:val="Prrafodelista"/>
        <w:spacing w:after="0" w:line="240" w:lineRule="auto"/>
        <w:ind w:left="0"/>
        <w:contextualSpacing w:val="0"/>
        <w:jc w:val="both"/>
        <w:rPr>
          <w:rFonts w:cs="Arial"/>
          <w:b/>
          <w:color w:val="000000"/>
        </w:rPr>
      </w:pPr>
    </w:p>
    <w:p w:rsidR="00FF6BC6" w:rsidRDefault="00FF6BC6" w:rsidP="00FF6BC6">
      <w:pPr>
        <w:pStyle w:val="Prrafodelista"/>
        <w:spacing w:after="0" w:line="240" w:lineRule="auto"/>
        <w:ind w:left="0"/>
        <w:contextualSpacing w:val="0"/>
        <w:jc w:val="both"/>
        <w:rPr>
          <w:rFonts w:cs="Arial"/>
          <w:b/>
          <w:color w:val="000000"/>
        </w:rPr>
      </w:pPr>
      <w:r w:rsidRPr="00A32429">
        <w:rPr>
          <w:rFonts w:cs="Arial"/>
          <w:b/>
          <w:color w:val="000000"/>
        </w:rPr>
        <w:t xml:space="preserve">Modalidad de informe: </w:t>
      </w:r>
      <w:r>
        <w:rPr>
          <w:rFonts w:cs="Arial"/>
          <w:b/>
          <w:color w:val="000000"/>
        </w:rPr>
        <w:t>Consulta</w:t>
      </w:r>
    </w:p>
    <w:p w:rsidR="00FF6BC6" w:rsidRDefault="00FF6BC6" w:rsidP="00FF6BC6">
      <w:pPr>
        <w:pStyle w:val="Prrafodelista"/>
        <w:spacing w:after="0" w:line="240" w:lineRule="auto"/>
        <w:ind w:left="0"/>
        <w:contextualSpacing w:val="0"/>
        <w:jc w:val="both"/>
        <w:rPr>
          <w:rFonts w:cs="Arial"/>
          <w:b/>
          <w:color w:val="000000"/>
        </w:rPr>
      </w:pPr>
      <w:r w:rsidRPr="00A32429">
        <w:rPr>
          <w:rFonts w:cs="Arial"/>
          <w:b/>
          <w:color w:val="000000"/>
        </w:rPr>
        <w:t>Área temática: Contratación.</w:t>
      </w:r>
    </w:p>
    <w:p w:rsidR="00FF6BC6" w:rsidRPr="00A32429" w:rsidRDefault="00FF6BC6" w:rsidP="00FF6BC6">
      <w:pPr>
        <w:pStyle w:val="Prrafodelista"/>
        <w:spacing w:after="0" w:line="240" w:lineRule="auto"/>
        <w:ind w:left="0"/>
        <w:contextualSpacing w:val="0"/>
        <w:jc w:val="both"/>
        <w:rPr>
          <w:b/>
        </w:rPr>
      </w:pPr>
      <w:r w:rsidRPr="00A32429">
        <w:rPr>
          <w:rFonts w:cs="Arial"/>
          <w:b/>
          <w:color w:val="000000"/>
        </w:rPr>
        <w:t>Informe vigente</w:t>
      </w:r>
      <w:r>
        <w:rPr>
          <w:rFonts w:cs="Arial"/>
          <w:b/>
          <w:color w:val="000000"/>
        </w:rPr>
        <w:t xml:space="preserve"> (LCSP 2017 y TRLCSP2011)</w:t>
      </w:r>
    </w:p>
    <w:p w:rsidR="00FC204B" w:rsidRDefault="00FC204B" w:rsidP="00FC204B">
      <w:pPr>
        <w:spacing w:after="0" w:line="240" w:lineRule="auto"/>
        <w:ind w:right="-2"/>
        <w:contextualSpacing/>
        <w:jc w:val="both"/>
      </w:pPr>
    </w:p>
    <w:p w:rsidR="00FC204B" w:rsidRDefault="00FC204B" w:rsidP="00FC204B">
      <w:pPr>
        <w:spacing w:after="0" w:line="240" w:lineRule="auto"/>
        <w:ind w:right="-2"/>
        <w:contextualSpacing/>
        <w:jc w:val="both"/>
      </w:pPr>
    </w:p>
    <w:p w:rsidR="00FC204B" w:rsidRDefault="00FC204B" w:rsidP="00FC204B">
      <w:pPr>
        <w:spacing w:after="0" w:line="240" w:lineRule="auto"/>
        <w:ind w:right="-2"/>
        <w:contextualSpacing/>
        <w:jc w:val="both"/>
      </w:pPr>
    </w:p>
    <w:p w:rsidR="00436907" w:rsidRDefault="00436907" w:rsidP="00FC204B">
      <w:pPr>
        <w:spacing w:after="0" w:line="240" w:lineRule="auto"/>
        <w:ind w:right="-2"/>
        <w:contextualSpacing/>
        <w:jc w:val="both"/>
      </w:pPr>
      <w:r>
        <w:t>Se recibe en esta Intervención General consulta, procedente de</w:t>
      </w:r>
      <w:r w:rsidR="00A154C7">
        <w:t xml:space="preserve"> </w:t>
      </w:r>
      <w:r>
        <w:t>l</w:t>
      </w:r>
      <w:r w:rsidR="00A154C7">
        <w:t xml:space="preserve">a Intervención </w:t>
      </w:r>
      <w:r w:rsidR="00AF3499">
        <w:t>D</w:t>
      </w:r>
      <w:r w:rsidR="00A154C7">
        <w:t xml:space="preserve">elegada en la </w:t>
      </w:r>
      <w:r w:rsidR="0015689C">
        <w:t xml:space="preserve">extinta </w:t>
      </w:r>
      <w:r w:rsidR="00A154C7">
        <w:t>Consejería de Transportes, Vivienda e Infraestructuras</w:t>
      </w:r>
      <w:r>
        <w:t>, relativa a la</w:t>
      </w:r>
      <w:r w:rsidR="00A154C7">
        <w:t xml:space="preserve">s incidencias </w:t>
      </w:r>
      <w:r w:rsidR="006705F8">
        <w:t xml:space="preserve">que </w:t>
      </w:r>
      <w:r w:rsidR="006A35F9">
        <w:t>diversas</w:t>
      </w:r>
      <w:r w:rsidR="006705F8">
        <w:t xml:space="preserve"> modificaci</w:t>
      </w:r>
      <w:r w:rsidR="006A35F9">
        <w:t xml:space="preserve">ones o variaciones </w:t>
      </w:r>
      <w:r w:rsidR="006705F8">
        <w:t>del contrato principal de obra provoca</w:t>
      </w:r>
      <w:r w:rsidR="00F446A7">
        <w:t>n</w:t>
      </w:r>
      <w:r w:rsidR="006705F8">
        <w:t xml:space="preserve"> </w:t>
      </w:r>
      <w:r w:rsidR="00BD3322">
        <w:t>en</w:t>
      </w:r>
      <w:r w:rsidR="00A154C7">
        <w:t xml:space="preserve"> </w:t>
      </w:r>
      <w:r w:rsidR="006705F8">
        <w:t>sus</w:t>
      </w:r>
      <w:r w:rsidR="00A154C7">
        <w:t xml:space="preserve"> contratos de servicios complementarios</w:t>
      </w:r>
      <w:r w:rsidR="00C2024F">
        <w:t xml:space="preserve"> o accesorios</w:t>
      </w:r>
      <w:r>
        <w:t>.</w:t>
      </w:r>
    </w:p>
    <w:p w:rsidR="00436907" w:rsidRDefault="00436907" w:rsidP="00FC204B">
      <w:pPr>
        <w:spacing w:after="0" w:line="240" w:lineRule="auto"/>
        <w:ind w:right="-2"/>
        <w:contextualSpacing/>
        <w:jc w:val="both"/>
      </w:pPr>
    </w:p>
    <w:p w:rsidR="00436907" w:rsidRDefault="00436907" w:rsidP="00FC204B">
      <w:pPr>
        <w:spacing w:after="0" w:line="240" w:lineRule="auto"/>
        <w:ind w:right="-2"/>
        <w:contextualSpacing/>
        <w:jc w:val="both"/>
      </w:pPr>
      <w:r>
        <w:t>E</w:t>
      </w:r>
      <w:r w:rsidR="00EF7EFD">
        <w:t>l</w:t>
      </w:r>
      <w:r>
        <w:t xml:space="preserve"> escrito de consulta trae causa de los siguientes</w:t>
      </w:r>
    </w:p>
    <w:p w:rsidR="00436907" w:rsidRDefault="00436907" w:rsidP="00FC204B">
      <w:pPr>
        <w:spacing w:after="0" w:line="240" w:lineRule="auto"/>
        <w:ind w:right="-2"/>
        <w:contextualSpacing/>
        <w:jc w:val="both"/>
      </w:pPr>
    </w:p>
    <w:p w:rsidR="00436907" w:rsidRDefault="00436907" w:rsidP="00FC204B">
      <w:pPr>
        <w:spacing w:after="0" w:line="240" w:lineRule="auto"/>
        <w:ind w:right="-2"/>
        <w:contextualSpacing/>
        <w:jc w:val="both"/>
      </w:pPr>
    </w:p>
    <w:p w:rsidR="00436907" w:rsidRDefault="00436907" w:rsidP="00FC204B">
      <w:pPr>
        <w:spacing w:after="0" w:line="240" w:lineRule="auto"/>
        <w:ind w:right="-2"/>
        <w:contextualSpacing/>
        <w:jc w:val="center"/>
        <w:rPr>
          <w:b/>
        </w:rPr>
      </w:pPr>
      <w:r w:rsidRPr="003827A3">
        <w:rPr>
          <w:b/>
        </w:rPr>
        <w:t>ANTECEDENTES</w:t>
      </w:r>
    </w:p>
    <w:p w:rsidR="00436907" w:rsidRPr="003827A3" w:rsidRDefault="00436907" w:rsidP="00FC204B">
      <w:pPr>
        <w:spacing w:after="0" w:line="240" w:lineRule="auto"/>
        <w:ind w:right="-2"/>
        <w:contextualSpacing/>
        <w:jc w:val="both"/>
        <w:rPr>
          <w:b/>
        </w:rPr>
      </w:pPr>
    </w:p>
    <w:p w:rsidR="006A35F9" w:rsidRDefault="00436907" w:rsidP="00FC204B">
      <w:pPr>
        <w:pStyle w:val="Prrafodelista"/>
        <w:spacing w:after="0" w:line="240" w:lineRule="auto"/>
        <w:ind w:left="0" w:right="-2"/>
        <w:jc w:val="both"/>
      </w:pPr>
      <w:r>
        <w:t xml:space="preserve">En la Intervención General se recibió </w:t>
      </w:r>
      <w:r w:rsidR="0002520F">
        <w:t xml:space="preserve">el pasado 4 de julio, escrito suscrito por la Interventora delegada </w:t>
      </w:r>
      <w:r w:rsidR="006A35F9">
        <w:t>J</w:t>
      </w:r>
      <w:r w:rsidR="0002520F">
        <w:t xml:space="preserve">efe en la Consejería reseñada, </w:t>
      </w:r>
      <w:r w:rsidR="006A35F9">
        <w:t xml:space="preserve">en </w:t>
      </w:r>
      <w:r w:rsidR="004D41EF">
        <w:t>el</w:t>
      </w:r>
      <w:r w:rsidR="006A35F9">
        <w:t xml:space="preserve"> que formula una serie de cuestiones sobre la</w:t>
      </w:r>
      <w:r w:rsidR="004D41EF">
        <w:t>s</w:t>
      </w:r>
      <w:r w:rsidR="006A35F9">
        <w:t xml:space="preserve"> incidencia</w:t>
      </w:r>
      <w:r w:rsidR="004D41EF">
        <w:t>s</w:t>
      </w:r>
      <w:r w:rsidR="006A35F9">
        <w:t xml:space="preserve"> que en los contratos de servicios </w:t>
      </w:r>
      <w:r w:rsidR="00C2024F">
        <w:t>accesorios</w:t>
      </w:r>
      <w:r w:rsidR="006A35F9">
        <w:t xml:space="preserve"> tiene las </w:t>
      </w:r>
      <w:r w:rsidR="004D41EF">
        <w:t>incidencias</w:t>
      </w:r>
      <w:r w:rsidR="006A35F9">
        <w:t xml:space="preserve"> de distinto tipo del contrato de obra principal.</w:t>
      </w:r>
    </w:p>
    <w:p w:rsidR="006A35F9" w:rsidRDefault="006A35F9" w:rsidP="00FC204B">
      <w:pPr>
        <w:pStyle w:val="Prrafodelista"/>
        <w:spacing w:after="0" w:line="240" w:lineRule="auto"/>
        <w:ind w:left="0" w:right="-2"/>
        <w:jc w:val="both"/>
      </w:pPr>
    </w:p>
    <w:p w:rsidR="005B5245" w:rsidRDefault="0015689C" w:rsidP="00FC204B">
      <w:pPr>
        <w:pStyle w:val="Prrafodelista"/>
        <w:spacing w:after="0" w:line="240" w:lineRule="auto"/>
        <w:ind w:left="0" w:right="-2"/>
        <w:jc w:val="both"/>
      </w:pPr>
      <w:r>
        <w:t xml:space="preserve">Se interesa el establecimiento de criterios generales para la tramitación jurídica y presupuestaria de los expedientes complementarios de servicios regidos por el Real Decreto Legislativo 3/2011, de 14 de noviembre, por el que se aprueba el texto refundido de la Ley de Contratos del Sector Público </w:t>
      </w:r>
      <w:r w:rsidR="00F21E10">
        <w:t xml:space="preserve">(de ahora en adelante TRLCSP) </w:t>
      </w:r>
      <w:r>
        <w:t xml:space="preserve">y de los </w:t>
      </w:r>
      <w:r w:rsidR="00F446A7">
        <w:t>celebrados</w:t>
      </w:r>
      <w:r>
        <w:t xml:space="preserve"> al amparo de la Ley 9/2017, de 8 de noviembre, de Contratos del Sector Público</w:t>
      </w:r>
      <w:r w:rsidR="00F21E10">
        <w:t xml:space="preserve"> (de ahora en adelante LCSP)</w:t>
      </w:r>
      <w:r w:rsidR="00623899">
        <w:t>, por la que se transponen al ordenamiento jurídico español las Directivas del parlamento Europeo y del Consejo 2014/23/UE y 2014/24/UE, de 26 de febrero de 2014</w:t>
      </w:r>
      <w:r>
        <w:t>.</w:t>
      </w:r>
    </w:p>
    <w:p w:rsidR="005B5245" w:rsidRDefault="005B5245" w:rsidP="00FC204B">
      <w:pPr>
        <w:pStyle w:val="Prrafodelista"/>
        <w:spacing w:after="0" w:line="240" w:lineRule="auto"/>
        <w:ind w:left="0" w:right="-2"/>
        <w:jc w:val="both"/>
      </w:pPr>
    </w:p>
    <w:p w:rsidR="00436907" w:rsidRDefault="00623899" w:rsidP="00FC204B">
      <w:pPr>
        <w:pStyle w:val="Prrafodelista"/>
        <w:spacing w:after="0" w:line="240" w:lineRule="auto"/>
        <w:ind w:left="0" w:right="-2"/>
        <w:jc w:val="both"/>
      </w:pPr>
      <w:r w:rsidRPr="002D7959">
        <w:t>L</w:t>
      </w:r>
      <w:r w:rsidR="007E15F4" w:rsidRPr="002D7959">
        <w:t>o</w:t>
      </w:r>
      <w:r w:rsidRPr="002D7959">
        <w:t xml:space="preserve">s </w:t>
      </w:r>
      <w:r w:rsidR="007E15F4" w:rsidRPr="002D7959">
        <w:t>supuestos</w:t>
      </w:r>
      <w:r w:rsidRPr="002D7959">
        <w:t xml:space="preserve"> plantead</w:t>
      </w:r>
      <w:r w:rsidR="007E15F4" w:rsidRPr="002D7959">
        <w:t>o</w:t>
      </w:r>
      <w:r w:rsidRPr="002D7959">
        <w:t>s</w:t>
      </w:r>
      <w:r>
        <w:t xml:space="preserve"> son, en síntesis, l</w:t>
      </w:r>
      <w:r w:rsidR="007E15F4">
        <w:t>o</w:t>
      </w:r>
      <w:r>
        <w:t>s siguientes:</w:t>
      </w:r>
    </w:p>
    <w:p w:rsidR="00623899" w:rsidRDefault="00623899" w:rsidP="00FC204B">
      <w:pPr>
        <w:pStyle w:val="Prrafodelista"/>
        <w:spacing w:after="0" w:line="240" w:lineRule="auto"/>
        <w:ind w:left="0" w:right="-2"/>
        <w:jc w:val="both"/>
      </w:pPr>
    </w:p>
    <w:p w:rsidR="00623899" w:rsidRPr="002D7959" w:rsidRDefault="00623899" w:rsidP="00FC204B">
      <w:pPr>
        <w:pStyle w:val="Prrafodelista"/>
        <w:numPr>
          <w:ilvl w:val="0"/>
          <w:numId w:val="29"/>
        </w:numPr>
        <w:spacing w:after="0" w:line="240" w:lineRule="auto"/>
        <w:ind w:right="-2"/>
        <w:jc w:val="both"/>
      </w:pPr>
      <w:r w:rsidRPr="002D7959">
        <w:t>Supuesto de modificación del contrato de obra principal.</w:t>
      </w:r>
    </w:p>
    <w:p w:rsidR="00623899" w:rsidRPr="002D7959" w:rsidRDefault="00623899" w:rsidP="00FC204B">
      <w:pPr>
        <w:pStyle w:val="Prrafodelista"/>
        <w:numPr>
          <w:ilvl w:val="0"/>
          <w:numId w:val="29"/>
        </w:numPr>
        <w:spacing w:after="0" w:line="240" w:lineRule="auto"/>
        <w:ind w:right="-2"/>
        <w:jc w:val="both"/>
      </w:pPr>
      <w:r w:rsidRPr="002D7959">
        <w:t>Supuesto de prórroga o ampliación de plazo.</w:t>
      </w:r>
    </w:p>
    <w:p w:rsidR="00623899" w:rsidRPr="002D7959" w:rsidRDefault="00623899" w:rsidP="00FC204B">
      <w:pPr>
        <w:pStyle w:val="Prrafodelista"/>
        <w:numPr>
          <w:ilvl w:val="0"/>
          <w:numId w:val="29"/>
        </w:numPr>
        <w:spacing w:after="0" w:line="240" w:lineRule="auto"/>
        <w:ind w:right="-2"/>
        <w:jc w:val="both"/>
      </w:pPr>
      <w:r w:rsidRPr="002D7959">
        <w:t>Supuesto de suspensión total o parcial de la obra principal.</w:t>
      </w:r>
    </w:p>
    <w:p w:rsidR="00623899" w:rsidRDefault="007E15F4" w:rsidP="00FC204B">
      <w:pPr>
        <w:pStyle w:val="Prrafodelista"/>
        <w:numPr>
          <w:ilvl w:val="0"/>
          <w:numId w:val="29"/>
        </w:numPr>
        <w:spacing w:after="0" w:line="240" w:lineRule="auto"/>
        <w:ind w:right="-2"/>
        <w:jc w:val="both"/>
      </w:pPr>
      <w:r w:rsidRPr="002D7959">
        <w:t>A estos tres,</w:t>
      </w:r>
      <w:r>
        <w:t xml:space="preserve"> por razones de sistemática, se añadirá el supuesto de resolución del contrato de obra.</w:t>
      </w:r>
    </w:p>
    <w:p w:rsidR="007E15F4" w:rsidRDefault="007E15F4" w:rsidP="00FC204B">
      <w:pPr>
        <w:spacing w:after="0" w:line="240" w:lineRule="auto"/>
        <w:ind w:right="-2"/>
        <w:jc w:val="both"/>
      </w:pPr>
    </w:p>
    <w:p w:rsidR="007E15F4" w:rsidRDefault="007E15F4" w:rsidP="00FC204B">
      <w:pPr>
        <w:spacing w:after="0" w:line="240" w:lineRule="auto"/>
        <w:ind w:right="-2"/>
        <w:jc w:val="both"/>
      </w:pPr>
      <w:r>
        <w:t>Las cuestiones que la Intervención delegada expresa son, con pequeñas variaciones, las indicadas a continuación:</w:t>
      </w:r>
    </w:p>
    <w:p w:rsidR="007E15F4" w:rsidRDefault="007E15F4" w:rsidP="00FC204B">
      <w:pPr>
        <w:spacing w:after="0" w:line="240" w:lineRule="auto"/>
        <w:ind w:right="-2"/>
        <w:jc w:val="both"/>
      </w:pPr>
    </w:p>
    <w:p w:rsidR="00BF5831" w:rsidRDefault="007E15F4" w:rsidP="00FC204B">
      <w:pPr>
        <w:pStyle w:val="Prrafodelista"/>
        <w:numPr>
          <w:ilvl w:val="0"/>
          <w:numId w:val="30"/>
        </w:numPr>
        <w:spacing w:after="0" w:line="240" w:lineRule="auto"/>
        <w:ind w:right="-2"/>
        <w:jc w:val="both"/>
      </w:pPr>
      <w:r>
        <w:t>Si la modificación</w:t>
      </w:r>
      <w:r w:rsidR="00BF5831">
        <w:t>, prórroga o suspensión</w:t>
      </w:r>
      <w:r>
        <w:t xml:space="preserve"> </w:t>
      </w:r>
      <w:r w:rsidR="00BF5831">
        <w:t>del contrato de obra implica la modificación, prórroga o suspensión de los contratos complementarios.</w:t>
      </w:r>
    </w:p>
    <w:p w:rsidR="00BF5831" w:rsidRDefault="00BF5831" w:rsidP="00FC204B">
      <w:pPr>
        <w:pStyle w:val="Prrafodelista"/>
        <w:numPr>
          <w:ilvl w:val="0"/>
          <w:numId w:val="30"/>
        </w:numPr>
        <w:spacing w:after="0" w:line="240" w:lineRule="auto"/>
        <w:ind w:right="-2"/>
        <w:jc w:val="both"/>
      </w:pPr>
      <w:r>
        <w:t xml:space="preserve">En qué momento se tramita la incidencia en el contrato de servicios </w:t>
      </w:r>
      <w:r w:rsidR="006D40C1">
        <w:t>accesorio</w:t>
      </w:r>
      <w:r>
        <w:t>.</w:t>
      </w:r>
    </w:p>
    <w:p w:rsidR="007E15F4" w:rsidRDefault="00BF5831" w:rsidP="00FC204B">
      <w:pPr>
        <w:pStyle w:val="Prrafodelista"/>
        <w:numPr>
          <w:ilvl w:val="0"/>
          <w:numId w:val="30"/>
        </w:numPr>
        <w:spacing w:after="0" w:line="240" w:lineRule="auto"/>
        <w:ind w:right="-2"/>
        <w:jc w:val="both"/>
      </w:pPr>
      <w:r>
        <w:t xml:space="preserve">Qué cláusulas deberían, en su caso, incorporarse a los </w:t>
      </w:r>
      <w:r w:rsidR="00C2024F">
        <w:t>pliegos de c</w:t>
      </w:r>
      <w:r>
        <w:t xml:space="preserve">láusulas </w:t>
      </w:r>
      <w:r w:rsidR="00C2024F">
        <w:t>a</w:t>
      </w:r>
      <w:r>
        <w:t xml:space="preserve">dministrativas </w:t>
      </w:r>
      <w:r w:rsidR="00C2024F">
        <w:t>p</w:t>
      </w:r>
      <w:r>
        <w:t>articulares de los contratos complementarios del contrato de obra.</w:t>
      </w:r>
      <w:r w:rsidR="007E15F4">
        <w:t xml:space="preserve"> </w:t>
      </w:r>
    </w:p>
    <w:p w:rsidR="007E15F4" w:rsidRDefault="007E15F4" w:rsidP="00FC204B">
      <w:pPr>
        <w:spacing w:after="0" w:line="240" w:lineRule="auto"/>
        <w:ind w:right="-2"/>
        <w:jc w:val="both"/>
      </w:pPr>
    </w:p>
    <w:p w:rsidR="00436907" w:rsidRDefault="00436907" w:rsidP="00FC204B">
      <w:pPr>
        <w:pStyle w:val="Prrafodelista"/>
        <w:spacing w:after="0" w:line="240" w:lineRule="auto"/>
        <w:ind w:left="0" w:right="-2"/>
        <w:jc w:val="both"/>
      </w:pPr>
    </w:p>
    <w:p w:rsidR="00436907" w:rsidRDefault="00436907" w:rsidP="00FC204B">
      <w:pPr>
        <w:spacing w:after="0" w:line="240" w:lineRule="auto"/>
        <w:ind w:right="-2"/>
        <w:contextualSpacing/>
        <w:jc w:val="both"/>
      </w:pPr>
      <w:r>
        <w:t>Establecido el objeto de la consulta, procede realizar las siguientes</w:t>
      </w:r>
    </w:p>
    <w:p w:rsidR="00436907" w:rsidRDefault="00436907" w:rsidP="00FC204B">
      <w:pPr>
        <w:spacing w:after="0" w:line="240" w:lineRule="auto"/>
        <w:ind w:right="-2"/>
        <w:contextualSpacing/>
        <w:jc w:val="both"/>
      </w:pPr>
    </w:p>
    <w:p w:rsidR="00436907" w:rsidRDefault="00436907" w:rsidP="00FC204B">
      <w:pPr>
        <w:spacing w:after="0" w:line="240" w:lineRule="auto"/>
        <w:ind w:right="-2"/>
        <w:contextualSpacing/>
        <w:jc w:val="both"/>
      </w:pPr>
    </w:p>
    <w:p w:rsidR="00436907" w:rsidRDefault="00436907" w:rsidP="00FC204B">
      <w:pPr>
        <w:spacing w:after="0" w:line="240" w:lineRule="auto"/>
        <w:ind w:right="-2"/>
        <w:contextualSpacing/>
        <w:jc w:val="center"/>
        <w:rPr>
          <w:b/>
        </w:rPr>
      </w:pPr>
      <w:r w:rsidRPr="003827A3">
        <w:rPr>
          <w:b/>
        </w:rPr>
        <w:lastRenderedPageBreak/>
        <w:t>CONSIDERACIONES</w:t>
      </w:r>
    </w:p>
    <w:p w:rsidR="00436907" w:rsidRDefault="00436907" w:rsidP="00FC204B">
      <w:pPr>
        <w:spacing w:after="0" w:line="240" w:lineRule="auto"/>
        <w:ind w:right="-2"/>
        <w:contextualSpacing/>
        <w:jc w:val="center"/>
        <w:rPr>
          <w:b/>
        </w:rPr>
      </w:pPr>
    </w:p>
    <w:p w:rsidR="00436907" w:rsidRDefault="00436907" w:rsidP="00FC204B">
      <w:pPr>
        <w:spacing w:after="0" w:line="240" w:lineRule="auto"/>
        <w:ind w:right="-2"/>
        <w:contextualSpacing/>
        <w:jc w:val="center"/>
        <w:rPr>
          <w:b/>
        </w:rPr>
      </w:pPr>
      <w:r>
        <w:rPr>
          <w:b/>
        </w:rPr>
        <w:t>I</w:t>
      </w:r>
    </w:p>
    <w:p w:rsidR="00436907" w:rsidRDefault="00A06029" w:rsidP="00FC204B">
      <w:pPr>
        <w:spacing w:after="0" w:line="240" w:lineRule="auto"/>
        <w:ind w:right="-2"/>
        <w:contextualSpacing/>
        <w:jc w:val="center"/>
        <w:rPr>
          <w:b/>
        </w:rPr>
      </w:pPr>
      <w:r>
        <w:rPr>
          <w:b/>
        </w:rPr>
        <w:t xml:space="preserve">Los contratos </w:t>
      </w:r>
      <w:r w:rsidR="00101BA3">
        <w:rPr>
          <w:b/>
        </w:rPr>
        <w:t xml:space="preserve">de servicios </w:t>
      </w:r>
      <w:r w:rsidR="00C2024F">
        <w:rPr>
          <w:b/>
        </w:rPr>
        <w:t>accesorios</w:t>
      </w:r>
      <w:r>
        <w:rPr>
          <w:b/>
        </w:rPr>
        <w:t xml:space="preserve"> de los contratos de obras</w:t>
      </w:r>
    </w:p>
    <w:p w:rsidR="00A06029" w:rsidRDefault="00A06029" w:rsidP="00FC204B">
      <w:pPr>
        <w:spacing w:after="0" w:line="240" w:lineRule="auto"/>
        <w:ind w:right="-2"/>
        <w:contextualSpacing/>
        <w:jc w:val="center"/>
        <w:rPr>
          <w:b/>
        </w:rPr>
      </w:pPr>
    </w:p>
    <w:p w:rsidR="00A06029" w:rsidRDefault="00A06029" w:rsidP="00FC204B">
      <w:pPr>
        <w:spacing w:after="0" w:line="240" w:lineRule="auto"/>
        <w:ind w:right="-2"/>
        <w:contextualSpacing/>
        <w:jc w:val="both"/>
        <w:rPr>
          <w:b/>
        </w:rPr>
      </w:pPr>
    </w:p>
    <w:p w:rsidR="001C7C9C" w:rsidRDefault="001C7C9C" w:rsidP="00FC204B">
      <w:pPr>
        <w:spacing w:after="0" w:line="240" w:lineRule="auto"/>
        <w:ind w:right="-2"/>
        <w:contextualSpacing/>
        <w:jc w:val="both"/>
      </w:pPr>
      <w:r>
        <w:t xml:space="preserve">El artículo 303 del TRLCSP define los contratos </w:t>
      </w:r>
      <w:r w:rsidR="00511141">
        <w:t>accesorios</w:t>
      </w:r>
      <w:r>
        <w:t xml:space="preserve"> [de obra o suministro] indicando que </w:t>
      </w:r>
      <w:r w:rsidRPr="001C7C9C">
        <w:t>«Solamente tendrán el concepto de contratos complementarios aquellos cuyo objeto se considere necesario para la correcta realización de la prestación o prestaciones objeto del contrato principal»</w:t>
      </w:r>
      <w:r w:rsidR="00516F66">
        <w:t>.</w:t>
      </w:r>
    </w:p>
    <w:p w:rsidR="00842C02" w:rsidRDefault="00842C02" w:rsidP="00FC204B">
      <w:pPr>
        <w:spacing w:after="0" w:line="240" w:lineRule="auto"/>
        <w:ind w:right="-2"/>
        <w:contextualSpacing/>
        <w:jc w:val="both"/>
      </w:pPr>
    </w:p>
    <w:p w:rsidR="00842C02" w:rsidRDefault="00842C02" w:rsidP="00FC204B">
      <w:pPr>
        <w:spacing w:after="0" w:line="240" w:lineRule="auto"/>
        <w:ind w:right="-2"/>
        <w:contextualSpacing/>
        <w:jc w:val="both"/>
      </w:pPr>
      <w:r>
        <w:t xml:space="preserve">En la redacción de la actual LCSP </w:t>
      </w:r>
      <w:r w:rsidRPr="001C7C9C">
        <w:t>«</w:t>
      </w:r>
      <w:r>
        <w:t>Ha de entenderse por contratos complementarios aquellos que tienen una relación de dependencia respecto de otro, el principal, y cuyo objeto se considere necesario para la correcta realización de la prestación o prestaciones a las que se refiera dicho contrato principal</w:t>
      </w:r>
      <w:r w:rsidRPr="001C7C9C">
        <w:t>»</w:t>
      </w:r>
      <w:r>
        <w:t xml:space="preserve"> (artículo 29.7).</w:t>
      </w:r>
    </w:p>
    <w:p w:rsidR="00975232" w:rsidRDefault="00975232" w:rsidP="00FC204B">
      <w:pPr>
        <w:spacing w:after="0" w:line="240" w:lineRule="auto"/>
        <w:ind w:right="-2"/>
        <w:contextualSpacing/>
        <w:jc w:val="both"/>
      </w:pPr>
    </w:p>
    <w:p w:rsidR="0017741A" w:rsidRDefault="00975232" w:rsidP="00FC204B">
      <w:pPr>
        <w:spacing w:after="0" w:line="240" w:lineRule="auto"/>
        <w:ind w:right="-2"/>
        <w:contextualSpacing/>
        <w:jc w:val="both"/>
      </w:pPr>
      <w:r>
        <w:t>El Consejo de Estado, en su Memoria del año 2017</w:t>
      </w:r>
      <w:r w:rsidR="0017741A">
        <w:rPr>
          <w:rStyle w:val="Refdenotaalpie"/>
        </w:rPr>
        <w:footnoteReference w:id="1"/>
      </w:r>
      <w:r>
        <w:t xml:space="preserve">, </w:t>
      </w:r>
      <w:r w:rsidR="0017741A">
        <w:t xml:space="preserve">señala que: </w:t>
      </w:r>
      <w:r w:rsidR="0017741A" w:rsidRPr="007627FD">
        <w:t>«</w:t>
      </w:r>
      <w:r w:rsidR="0017741A">
        <w:t>los contratos complementarios tienen sustantividad, existencia y fin propio, diferente del principal. El contrato principal puede existir por sí solo. Los complementarios, por el contrario, precisan de la existencia del principal, del que dependen y en función del cual se justifican, tendiendo a asegurarlo o a completar sus efectos. En otros términos, son una mera secuela de aquél. Pueden satisfacer funciones varias –complementarias o de garantía–.</w:t>
      </w:r>
    </w:p>
    <w:p w:rsidR="0017741A" w:rsidRDefault="0017741A" w:rsidP="00FC204B">
      <w:pPr>
        <w:spacing w:after="0" w:line="240" w:lineRule="auto"/>
        <w:ind w:right="-2"/>
        <w:contextualSpacing/>
        <w:jc w:val="both"/>
      </w:pPr>
    </w:p>
    <w:p w:rsidR="0017741A" w:rsidRDefault="0017741A" w:rsidP="00FC204B">
      <w:pPr>
        <w:spacing w:after="0" w:line="240" w:lineRule="auto"/>
        <w:ind w:right="-2"/>
        <w:contextualSpacing/>
        <w:jc w:val="both"/>
      </w:pPr>
      <w:r>
        <w:t xml:space="preserve">La calificación de un contrato como complementario viene impuesta, unas veces, directamente por la propia ley que lo hace de manera expresa para algunos tipos contractuales. Así la Ley de Contratos del Sector Público atribuye tal carácter – </w:t>
      </w:r>
      <w:r w:rsidR="002C4CDB">
        <w:t>en relación con el</w:t>
      </w:r>
      <w:r>
        <w:t xml:space="preserve"> de obra– a los de servicio que tengan por objeto la dirección de obra y la gestión integrada de proyectos (artículo 303.2 y 4).</w:t>
      </w:r>
    </w:p>
    <w:p w:rsidR="0017741A" w:rsidRDefault="0017741A" w:rsidP="00FC204B">
      <w:pPr>
        <w:spacing w:after="0" w:line="240" w:lineRule="auto"/>
        <w:ind w:right="-2"/>
        <w:contextualSpacing/>
        <w:jc w:val="both"/>
      </w:pPr>
    </w:p>
    <w:p w:rsidR="00975232" w:rsidRDefault="0017741A" w:rsidP="00FC204B">
      <w:pPr>
        <w:spacing w:after="0" w:line="240" w:lineRule="auto"/>
        <w:ind w:right="-2"/>
        <w:contextualSpacing/>
        <w:jc w:val="both"/>
      </w:pPr>
      <w:r>
        <w:t>En otras ocasiones, la calificación de un contrato como complementario se deriva de su objeto y prestación. En otros términos, depende del carácter accesorio, conexo, de su prestación en relación con otro, principal, que le sirve de fundamento o sustento. Para realizar la calificación, son irrelevantes otros criterios tales como si el contrato se adjudicó en fecha distinta del principal o si se inició su ejecución antes o después de que lo hiciera éste</w:t>
      </w:r>
      <w:r w:rsidRPr="007627FD">
        <w:t>»</w:t>
      </w:r>
      <w:r>
        <w:t>.</w:t>
      </w:r>
    </w:p>
    <w:p w:rsidR="00250AE9" w:rsidRDefault="00250AE9" w:rsidP="00FC204B">
      <w:pPr>
        <w:spacing w:after="0" w:line="240" w:lineRule="auto"/>
        <w:ind w:right="-2"/>
        <w:contextualSpacing/>
        <w:jc w:val="both"/>
      </w:pPr>
    </w:p>
    <w:p w:rsidR="00250AE9" w:rsidRDefault="00250AE9" w:rsidP="00FC204B">
      <w:pPr>
        <w:spacing w:after="0" w:line="240" w:lineRule="auto"/>
        <w:ind w:right="-2"/>
        <w:contextualSpacing/>
        <w:jc w:val="both"/>
      </w:pPr>
      <w:r w:rsidRPr="00811D49">
        <w:t xml:space="preserve">Los contratos de servicios </w:t>
      </w:r>
      <w:r w:rsidR="00C2024F" w:rsidRPr="00811D49">
        <w:t>accesorios</w:t>
      </w:r>
      <w:r w:rsidRPr="00811D49">
        <w:t xml:space="preserve"> de los contratos de obras más comunes son los que tienen por objeto la redacción del proyecto</w:t>
      </w:r>
      <w:r w:rsidR="0078665E" w:rsidRPr="00811D49">
        <w:t xml:space="preserve">, </w:t>
      </w:r>
      <w:r w:rsidR="00F75FE5" w:rsidRPr="00811D49">
        <w:t>l</w:t>
      </w:r>
      <w:r w:rsidR="0078665E" w:rsidRPr="00811D49">
        <w:t>a</w:t>
      </w:r>
      <w:r w:rsidR="00B210B6" w:rsidRPr="00811D49">
        <w:t xml:space="preserve"> dirección </w:t>
      </w:r>
      <w:r w:rsidR="00F75FE5" w:rsidRPr="00811D49">
        <w:t>facultativa</w:t>
      </w:r>
      <w:r w:rsidR="001263B6" w:rsidRPr="00811D49">
        <w:t xml:space="preserve">, </w:t>
      </w:r>
      <w:r w:rsidR="00C2024F" w:rsidRPr="00811D49">
        <w:t xml:space="preserve">el </w:t>
      </w:r>
      <w:r w:rsidR="001263B6" w:rsidRPr="00811D49">
        <w:t>control y vigilancia de la obra</w:t>
      </w:r>
      <w:r w:rsidR="00F75FE5" w:rsidRPr="00811D49">
        <w:t xml:space="preserve"> y</w:t>
      </w:r>
      <w:r w:rsidR="0078665E" w:rsidRPr="00811D49">
        <w:t xml:space="preserve"> </w:t>
      </w:r>
      <w:r w:rsidR="00F75FE5" w:rsidRPr="00811D49">
        <w:t>el estudio básico o la coordinación de seguridad y salud de las obras</w:t>
      </w:r>
      <w:r w:rsidR="001263B6" w:rsidRPr="00811D49">
        <w:t>, de acuerdo con los dictámenes de distintas juntas consultivas y sentencias de órganos jurisdiccionales</w:t>
      </w:r>
      <w:r w:rsidR="00AF710F">
        <w:t xml:space="preserve"> examinados para este informe</w:t>
      </w:r>
      <w:r w:rsidR="00F75FE5" w:rsidRPr="00811D49">
        <w:t>.</w:t>
      </w:r>
    </w:p>
    <w:p w:rsidR="00516F66" w:rsidRDefault="00516F66" w:rsidP="00FC204B">
      <w:pPr>
        <w:spacing w:after="0" w:line="240" w:lineRule="auto"/>
        <w:ind w:right="-2"/>
        <w:contextualSpacing/>
        <w:jc w:val="both"/>
      </w:pPr>
    </w:p>
    <w:p w:rsidR="00516F66" w:rsidRPr="00A06029" w:rsidRDefault="00516F66" w:rsidP="00FC204B">
      <w:pPr>
        <w:spacing w:after="0" w:line="240" w:lineRule="auto"/>
        <w:ind w:right="-2"/>
        <w:contextualSpacing/>
        <w:jc w:val="both"/>
      </w:pPr>
      <w:r w:rsidRPr="00A06029">
        <w:t xml:space="preserve">No por sabidas </w:t>
      </w:r>
      <w:r w:rsidR="00B03843">
        <w:t>podemos</w:t>
      </w:r>
      <w:r w:rsidRPr="00A06029">
        <w:t xml:space="preserve"> dejar de realizar unas breves consideraciones iniciales </w:t>
      </w:r>
      <w:r w:rsidR="002C4CDB">
        <w:t>sobre</w:t>
      </w:r>
      <w:r w:rsidRPr="00A06029">
        <w:t xml:space="preserve"> </w:t>
      </w:r>
      <w:r w:rsidR="00B92EF3">
        <w:t xml:space="preserve">la naturaleza jurídica y al objeto </w:t>
      </w:r>
      <w:r w:rsidRPr="00A06029">
        <w:t xml:space="preserve">de </w:t>
      </w:r>
      <w:r w:rsidR="00C2024F">
        <w:t>este tipo de c</w:t>
      </w:r>
      <w:r w:rsidR="00B92EF3">
        <w:t>ontratos. Estos aspectos nos facilitarán el</w:t>
      </w:r>
      <w:r w:rsidR="006364A5">
        <w:t xml:space="preserve"> análisis solicitado</w:t>
      </w:r>
      <w:r w:rsidR="00D007EA">
        <w:t>,</w:t>
      </w:r>
      <w:r w:rsidR="00B92EF3">
        <w:t xml:space="preserve"> marcando la relación entre las dos modalidades contractuales</w:t>
      </w:r>
      <w:r w:rsidR="00D007EA">
        <w:t xml:space="preserve"> (obra</w:t>
      </w:r>
      <w:r w:rsidR="00873FB5">
        <w:t>s</w:t>
      </w:r>
      <w:r w:rsidR="00D007EA">
        <w:t xml:space="preserve"> y servicios)</w:t>
      </w:r>
      <w:r w:rsidRPr="00A06029">
        <w:t>.</w:t>
      </w:r>
    </w:p>
    <w:p w:rsidR="001C7C9C" w:rsidRDefault="001C7C9C" w:rsidP="00FC204B">
      <w:pPr>
        <w:spacing w:after="0" w:line="240" w:lineRule="auto"/>
        <w:ind w:right="-2"/>
        <w:contextualSpacing/>
        <w:jc w:val="both"/>
      </w:pPr>
    </w:p>
    <w:p w:rsidR="001C7C9C" w:rsidRDefault="001C7C9C" w:rsidP="00FC204B">
      <w:pPr>
        <w:spacing w:after="0" w:line="240" w:lineRule="auto"/>
        <w:ind w:right="-2"/>
        <w:contextualSpacing/>
        <w:jc w:val="both"/>
      </w:pPr>
      <w:r w:rsidRPr="00A06029">
        <w:t>En primer lugar,</w:t>
      </w:r>
      <w:r>
        <w:t xml:space="preserve"> se trata de contratos independientes de</w:t>
      </w:r>
      <w:r w:rsidR="00516F66">
        <w:t>l</w:t>
      </w:r>
      <w:r>
        <w:t xml:space="preserve"> contrato de obra</w:t>
      </w:r>
      <w:r w:rsidR="00516F66">
        <w:t xml:space="preserve"> principal</w:t>
      </w:r>
      <w:r>
        <w:t xml:space="preserve"> a</w:t>
      </w:r>
      <w:r w:rsidR="00516F66">
        <w:t>l</w:t>
      </w:r>
      <w:r>
        <w:t xml:space="preserve"> que se encuentran vinculados,</w:t>
      </w:r>
      <w:r w:rsidR="009F3658">
        <w:t xml:space="preserve"> por </w:t>
      </w:r>
      <w:r w:rsidR="004352BA">
        <w:t>ello</w:t>
      </w:r>
      <w:r w:rsidR="009F3658">
        <w:t xml:space="preserve"> su regulación se fija</w:t>
      </w:r>
      <w:r>
        <w:t xml:space="preserve"> en el articulado correspondiente de las leyes de contratos.</w:t>
      </w:r>
      <w:r w:rsidR="005E4422">
        <w:t xml:space="preserve"> La relación de dependencia como característica de este tipo de contratos debe ser interpretada como el elemento que permite definir las especialidades en su tramitación, vinculadas </w:t>
      </w:r>
      <w:r w:rsidR="009F3658">
        <w:t xml:space="preserve">como decíamos </w:t>
      </w:r>
      <w:r w:rsidR="005E4422">
        <w:t>a la vida del contrato principal</w:t>
      </w:r>
      <w:r w:rsidR="00101BA3">
        <w:t xml:space="preserve"> al que complementan</w:t>
      </w:r>
      <w:r w:rsidR="00442BA3">
        <w:t>,</w:t>
      </w:r>
      <w:r w:rsidR="00101BA3">
        <w:t xml:space="preserve"> sin eliminar su </w:t>
      </w:r>
      <w:r w:rsidR="00BD4E58">
        <w:t>autonomía</w:t>
      </w:r>
      <w:r w:rsidR="00101BA3">
        <w:t>.</w:t>
      </w:r>
    </w:p>
    <w:p w:rsidR="001C7C9C" w:rsidRDefault="001C7C9C" w:rsidP="00FC204B">
      <w:pPr>
        <w:spacing w:after="0" w:line="240" w:lineRule="auto"/>
        <w:ind w:right="-2"/>
        <w:contextualSpacing/>
        <w:jc w:val="both"/>
      </w:pPr>
    </w:p>
    <w:p w:rsidR="00A06029" w:rsidRDefault="00A06029" w:rsidP="00FC204B">
      <w:pPr>
        <w:spacing w:after="0" w:line="240" w:lineRule="auto"/>
        <w:ind w:right="-2"/>
        <w:contextualSpacing/>
        <w:jc w:val="both"/>
      </w:pPr>
      <w:r>
        <w:t xml:space="preserve">De esta forma, los contratos complementarios adjudicados al amparo del TRLCSP se </w:t>
      </w:r>
      <w:r w:rsidR="00B3492C">
        <w:t>desarrollan</w:t>
      </w:r>
      <w:r>
        <w:t xml:space="preserve"> en los artículos 301</w:t>
      </w:r>
      <w:r w:rsidR="001C7C9C">
        <w:t xml:space="preserve"> </w:t>
      </w:r>
      <w:r>
        <w:t>y siguientes de la norma, como contratos generales de servicios, con pequeñas matizaciones como la recogida en el artículo 303.2</w:t>
      </w:r>
      <w:r w:rsidR="001C7C9C">
        <w:t>.4</w:t>
      </w:r>
      <w:r>
        <w:t xml:space="preserve"> respecto de su duración</w:t>
      </w:r>
      <w:r w:rsidR="00A34C4B">
        <w:t xml:space="preserve"> o en el artículo 308.c) </w:t>
      </w:r>
      <w:r w:rsidR="009F3658">
        <w:t xml:space="preserve">que </w:t>
      </w:r>
      <w:r w:rsidR="00A34C4B">
        <w:t>incluye</w:t>
      </w:r>
      <w:r w:rsidR="009F3658">
        <w:t xml:space="preserve"> </w:t>
      </w:r>
      <w:r w:rsidR="00A34C4B">
        <w:t>una causa adicional de resolución del contrato</w:t>
      </w:r>
      <w:r w:rsidR="00A34C4B">
        <w:rPr>
          <w:rStyle w:val="Refdenotaalpie"/>
        </w:rPr>
        <w:footnoteReference w:id="2"/>
      </w:r>
      <w:r w:rsidR="007A1823">
        <w:t>.</w:t>
      </w:r>
    </w:p>
    <w:p w:rsidR="00842C02" w:rsidRDefault="00842C02" w:rsidP="00FC204B">
      <w:pPr>
        <w:spacing w:after="0" w:line="240" w:lineRule="auto"/>
        <w:ind w:right="-2"/>
        <w:contextualSpacing/>
        <w:jc w:val="both"/>
      </w:pPr>
    </w:p>
    <w:p w:rsidR="00842C02" w:rsidRDefault="00842C02" w:rsidP="00FC204B">
      <w:pPr>
        <w:spacing w:after="0" w:line="240" w:lineRule="auto"/>
        <w:ind w:right="-2"/>
        <w:contextualSpacing/>
        <w:jc w:val="both"/>
      </w:pPr>
      <w:r>
        <w:t xml:space="preserve">En la vigente LCSP la normativa reguladora de los contratos de servicios se desarrolla en los artículos </w:t>
      </w:r>
      <w:r w:rsidR="00F21E10">
        <w:t>308</w:t>
      </w:r>
      <w:r>
        <w:t xml:space="preserve"> y siguientes, añadiendo espec</w:t>
      </w:r>
      <w:r w:rsidR="004352BA">
        <w:t>i</w:t>
      </w:r>
      <w:r>
        <w:t>fica</w:t>
      </w:r>
      <w:r w:rsidR="004352BA">
        <w:t>ciones</w:t>
      </w:r>
      <w:r>
        <w:t xml:space="preserve"> </w:t>
      </w:r>
      <w:r w:rsidR="00BD3322">
        <w:t>a</w:t>
      </w:r>
      <w:r>
        <w:t xml:space="preserve"> su duración en el artículo 29.7</w:t>
      </w:r>
      <w:r w:rsidR="00F21E10">
        <w:t xml:space="preserve"> y resolución vinculada al contrato principal en el artículo 313.1.c).</w:t>
      </w:r>
    </w:p>
    <w:p w:rsidR="00250AE9" w:rsidRDefault="00250AE9" w:rsidP="00FC204B">
      <w:pPr>
        <w:spacing w:after="0" w:line="240" w:lineRule="auto"/>
        <w:ind w:right="-2"/>
        <w:contextualSpacing/>
        <w:jc w:val="both"/>
      </w:pPr>
    </w:p>
    <w:p w:rsidR="00250AE9" w:rsidRDefault="00250AE9" w:rsidP="00FC204B">
      <w:pPr>
        <w:spacing w:after="0" w:line="240" w:lineRule="auto"/>
        <w:ind w:right="-2"/>
        <w:contextualSpacing/>
        <w:jc w:val="both"/>
      </w:pPr>
      <w:r>
        <w:t>En segundo lugar, el contrato de obra es un contrato de resultado mientras que los contratos de servicios (vinculados o no al de obras) son contratos de actividad.</w:t>
      </w:r>
    </w:p>
    <w:p w:rsidR="00436907" w:rsidRDefault="00436907" w:rsidP="00FC204B">
      <w:pPr>
        <w:spacing w:after="0" w:line="240" w:lineRule="auto"/>
        <w:ind w:right="-2"/>
        <w:contextualSpacing/>
        <w:jc w:val="center"/>
        <w:rPr>
          <w:b/>
        </w:rPr>
      </w:pPr>
    </w:p>
    <w:p w:rsidR="001C7C9C" w:rsidRDefault="001C7C9C" w:rsidP="00FC204B">
      <w:pPr>
        <w:spacing w:after="0" w:line="240" w:lineRule="auto"/>
        <w:ind w:right="-2"/>
        <w:contextualSpacing/>
        <w:jc w:val="center"/>
        <w:rPr>
          <w:b/>
        </w:rPr>
      </w:pPr>
    </w:p>
    <w:p w:rsidR="00436907" w:rsidRDefault="00436907" w:rsidP="00FC204B">
      <w:pPr>
        <w:spacing w:after="0" w:line="240" w:lineRule="auto"/>
        <w:ind w:right="-2"/>
        <w:contextualSpacing/>
        <w:jc w:val="center"/>
        <w:rPr>
          <w:b/>
        </w:rPr>
      </w:pPr>
      <w:r>
        <w:rPr>
          <w:b/>
        </w:rPr>
        <w:t>II</w:t>
      </w:r>
    </w:p>
    <w:p w:rsidR="00436907" w:rsidRDefault="00250AE9" w:rsidP="00FC204B">
      <w:pPr>
        <w:spacing w:after="0" w:line="240" w:lineRule="auto"/>
        <w:ind w:right="-2"/>
        <w:contextualSpacing/>
        <w:jc w:val="center"/>
        <w:rPr>
          <w:b/>
        </w:rPr>
      </w:pPr>
      <w:r>
        <w:rPr>
          <w:b/>
        </w:rPr>
        <w:t>Las incidencias en el contrato de obra y sus implicaciones en los contratos de servicios complementarios</w:t>
      </w:r>
    </w:p>
    <w:p w:rsidR="00250AE9" w:rsidRDefault="00250AE9" w:rsidP="00FC204B">
      <w:pPr>
        <w:spacing w:after="0" w:line="240" w:lineRule="auto"/>
        <w:ind w:right="-2"/>
        <w:contextualSpacing/>
        <w:jc w:val="center"/>
        <w:rPr>
          <w:b/>
        </w:rPr>
      </w:pPr>
    </w:p>
    <w:p w:rsidR="00250AE9" w:rsidRDefault="00250AE9" w:rsidP="00FC204B">
      <w:pPr>
        <w:spacing w:after="0" w:line="240" w:lineRule="auto"/>
        <w:ind w:right="-2"/>
        <w:contextualSpacing/>
        <w:jc w:val="both"/>
      </w:pPr>
      <w:r w:rsidRPr="00250AE9">
        <w:t xml:space="preserve">No existe automatismo </w:t>
      </w:r>
      <w:r>
        <w:t xml:space="preserve">en las </w:t>
      </w:r>
      <w:r w:rsidR="00780866">
        <w:t>alteraciones</w:t>
      </w:r>
      <w:r>
        <w:t xml:space="preserve"> </w:t>
      </w:r>
      <w:r w:rsidR="00501BF4">
        <w:t xml:space="preserve">de las cláusulas </w:t>
      </w:r>
      <w:r w:rsidR="00780866">
        <w:t xml:space="preserve">iniciales </w:t>
      </w:r>
      <w:r w:rsidR="00501BF4">
        <w:t>de</w:t>
      </w:r>
      <w:r>
        <w:t xml:space="preserve"> los contratos de obra y las consecuencias que tendrá</w:t>
      </w:r>
      <w:r w:rsidR="004352BA">
        <w:t>n</w:t>
      </w:r>
      <w:r>
        <w:t xml:space="preserve"> </w:t>
      </w:r>
      <w:r w:rsidR="004352BA">
        <w:t>en</w:t>
      </w:r>
      <w:r>
        <w:t xml:space="preserve"> sus contratos de servicios </w:t>
      </w:r>
      <w:r w:rsidR="009F3658">
        <w:t>accesorios</w:t>
      </w:r>
      <w:r>
        <w:t>.</w:t>
      </w:r>
    </w:p>
    <w:p w:rsidR="00250AE9" w:rsidRDefault="00250AE9" w:rsidP="00FC204B">
      <w:pPr>
        <w:spacing w:after="0" w:line="240" w:lineRule="auto"/>
        <w:ind w:right="-2"/>
        <w:contextualSpacing/>
        <w:jc w:val="both"/>
      </w:pPr>
    </w:p>
    <w:p w:rsidR="0078665E" w:rsidRDefault="004352BA" w:rsidP="00FC204B">
      <w:pPr>
        <w:spacing w:after="0" w:line="240" w:lineRule="auto"/>
        <w:ind w:right="-2"/>
        <w:contextualSpacing/>
        <w:jc w:val="both"/>
      </w:pPr>
      <w:r>
        <w:t>De este modo,</w:t>
      </w:r>
      <w:r w:rsidR="0078665E">
        <w:t xml:space="preserve"> solo se realizarán </w:t>
      </w:r>
      <w:r w:rsidR="00AF710F">
        <w:t>apreciaciones</w:t>
      </w:r>
      <w:r w:rsidR="0078665E">
        <w:t xml:space="preserve"> de carácter general sobre las circunstancias que pueden producirse</w:t>
      </w:r>
      <w:r w:rsidR="00AF710F">
        <w:t xml:space="preserve">, ejemplificando </w:t>
      </w:r>
      <w:r w:rsidR="002D7959">
        <w:t>cada una de las modalidades</w:t>
      </w:r>
      <w:r w:rsidR="0078665E">
        <w:t>.</w:t>
      </w:r>
    </w:p>
    <w:p w:rsidR="0078665E" w:rsidRDefault="0078665E" w:rsidP="00FC204B">
      <w:pPr>
        <w:spacing w:after="0" w:line="240" w:lineRule="auto"/>
        <w:ind w:right="-2"/>
        <w:contextualSpacing/>
        <w:jc w:val="both"/>
      </w:pPr>
    </w:p>
    <w:p w:rsidR="0078665E" w:rsidRDefault="0078665E" w:rsidP="00FC204B">
      <w:pPr>
        <w:pStyle w:val="Prrafodelista"/>
        <w:numPr>
          <w:ilvl w:val="0"/>
          <w:numId w:val="31"/>
        </w:numPr>
        <w:spacing w:after="0" w:line="240" w:lineRule="auto"/>
        <w:ind w:right="-2"/>
        <w:jc w:val="both"/>
      </w:pPr>
      <w:r>
        <w:t>Supuesto de modificación del contrato de obra principal</w:t>
      </w:r>
    </w:p>
    <w:p w:rsidR="006A4A6A" w:rsidRDefault="006A4A6A" w:rsidP="00FC204B">
      <w:pPr>
        <w:pStyle w:val="Prrafodelista"/>
        <w:spacing w:after="0" w:line="240" w:lineRule="auto"/>
        <w:ind w:right="-2"/>
        <w:jc w:val="both"/>
      </w:pPr>
    </w:p>
    <w:p w:rsidR="006A4A6A" w:rsidRDefault="006A4A6A" w:rsidP="00FC204B">
      <w:pPr>
        <w:pStyle w:val="Prrafodelista"/>
        <w:spacing w:after="0" w:line="240" w:lineRule="auto"/>
        <w:ind w:right="-2"/>
        <w:jc w:val="both"/>
      </w:pPr>
      <w:r>
        <w:t>La modificación del contrato de obra principal conlleva la modificación de todos, algunos o ninguno de los contratos de servicios vinculados.</w:t>
      </w:r>
    </w:p>
    <w:p w:rsidR="00FE040B" w:rsidRDefault="00FE040B" w:rsidP="00FC204B">
      <w:pPr>
        <w:pStyle w:val="Prrafodelista"/>
        <w:spacing w:after="0" w:line="240" w:lineRule="auto"/>
        <w:ind w:right="-2"/>
        <w:jc w:val="both"/>
      </w:pPr>
    </w:p>
    <w:p w:rsidR="007132FB" w:rsidRDefault="007132FB" w:rsidP="00FC204B">
      <w:pPr>
        <w:pStyle w:val="Prrafodelista"/>
        <w:spacing w:after="0" w:line="240" w:lineRule="auto"/>
        <w:ind w:right="-2"/>
        <w:jc w:val="both"/>
      </w:pPr>
      <w:r>
        <w:t>Así, los contratos de servicios sometidos al TRLCSP podrán ser modificados de acuerdo con lo establecido en los pliegos correspondientes y, en su defecto, conforme a lo dispuesto en el artículo 107, siguientes y concordantes de la propia norma.</w:t>
      </w:r>
    </w:p>
    <w:p w:rsidR="007132FB" w:rsidRDefault="007132FB" w:rsidP="00FC204B">
      <w:pPr>
        <w:pStyle w:val="Prrafodelista"/>
        <w:spacing w:after="0" w:line="240" w:lineRule="auto"/>
        <w:ind w:right="-2"/>
        <w:jc w:val="both"/>
      </w:pPr>
    </w:p>
    <w:p w:rsidR="007132FB" w:rsidRDefault="007132FB" w:rsidP="00FC204B">
      <w:pPr>
        <w:pStyle w:val="Prrafodelista"/>
        <w:spacing w:after="0" w:line="240" w:lineRule="auto"/>
        <w:ind w:right="-2"/>
        <w:jc w:val="both"/>
      </w:pPr>
      <w:r>
        <w:t>En el caso de los contratos adjudicados con la LCSP deberá estarse a lo dispuesto en los artículos 203 y siguientes de la misma.</w:t>
      </w:r>
    </w:p>
    <w:p w:rsidR="007132FB" w:rsidRDefault="007132FB" w:rsidP="00FC204B">
      <w:pPr>
        <w:pStyle w:val="Prrafodelista"/>
        <w:spacing w:after="0" w:line="240" w:lineRule="auto"/>
        <w:ind w:right="-2"/>
        <w:jc w:val="both"/>
      </w:pPr>
    </w:p>
    <w:p w:rsidR="009A043B" w:rsidRPr="009A043B" w:rsidRDefault="00FE040B" w:rsidP="00FC204B">
      <w:pPr>
        <w:pStyle w:val="Prrafodelista"/>
        <w:spacing w:after="0" w:line="240" w:lineRule="auto"/>
        <w:ind w:right="-2"/>
        <w:jc w:val="both"/>
      </w:pPr>
      <w:r>
        <w:t xml:space="preserve">Como </w:t>
      </w:r>
      <w:r w:rsidR="007132FB">
        <w:t xml:space="preserve">muestra, </w:t>
      </w:r>
      <w:r>
        <w:t xml:space="preserve">el Dictamen 437/2013, de 24 de septiembre, del Consejo Consultivo de Extremadura </w:t>
      </w:r>
      <w:r w:rsidR="005C2B58">
        <w:t xml:space="preserve">en </w:t>
      </w:r>
      <w:r>
        <w:t>e</w:t>
      </w:r>
      <w:r w:rsidR="0007465C">
        <w:t>l</w:t>
      </w:r>
      <w:r>
        <w:t xml:space="preserve"> expediente de modificación de</w:t>
      </w:r>
      <w:r w:rsidR="0007465C">
        <w:t xml:space="preserve"> un</w:t>
      </w:r>
      <w:r>
        <w:t xml:space="preserve"> contrato </w:t>
      </w:r>
      <w:r w:rsidR="0007465C">
        <w:t>de asistencia técnica</w:t>
      </w:r>
      <w:r w:rsidR="00732B49">
        <w:t xml:space="preserve"> sometido a la derogada Ley 30/2007, de 30 de octubre, de Contratos del Sector Público, </w:t>
      </w:r>
      <w:r w:rsidR="009A043B" w:rsidRPr="001C7C9C">
        <w:t>«</w:t>
      </w:r>
      <w:r w:rsidR="009A043B" w:rsidRPr="009A043B">
        <w:t>En el presente asunto, la modificación del contrato que se propone resulta necesaria por ser consecuencia de la modificación del contrato de obra de “Autovía autonómica EX-A1. Tramo: Coria – Moraleja Este” (expediente OBR0508037), la cual, a su vez, obedecía a causas de diversa índole: por un lado, la variación de las unidades realmente ejecutadas sobre las previstas en las mediciones del proyecto modificado nº 1- modificación del contrato prevista en el artículo 217.3 de la Ley de Contratos del Sector Público-, y por otro, a la producción de deslizamientos en los desmontes 2 y 3, que motivaron la necesidad de actuación sobre los mismos y sobre el terraplén T5, para conseguir su estabilización y aseguramiento. Tales causas no pudieron ser previstas cuando se redactó el proyecto de obras y adjudicó el contrato, por lo que se procedió a la tramitación de la correspondiente modificación del contrato de obra, que fue favorablemente informada por esta instancia consultiva y, seguida por sus trámites, fue acordada por el órgano de contratación.</w:t>
      </w:r>
    </w:p>
    <w:p w:rsidR="009A043B" w:rsidRPr="009A043B" w:rsidRDefault="009A043B" w:rsidP="00FC204B">
      <w:pPr>
        <w:pStyle w:val="Prrafodelista"/>
        <w:spacing w:after="0" w:line="240" w:lineRule="auto"/>
        <w:ind w:right="-2"/>
        <w:jc w:val="both"/>
      </w:pPr>
    </w:p>
    <w:p w:rsidR="009A043B" w:rsidRPr="009A043B" w:rsidRDefault="009A043B" w:rsidP="00FC204B">
      <w:pPr>
        <w:pStyle w:val="Prrafodelista"/>
        <w:spacing w:after="0" w:line="240" w:lineRule="auto"/>
        <w:ind w:right="-2"/>
        <w:jc w:val="both"/>
      </w:pPr>
      <w:r w:rsidRPr="009A043B">
        <w:t>En tales circunstancias, en el presente supuesto, tratándose de un contrato de asistencia técnica a la dirección, control y vigilancia de obras cuyo contrato ha sido modificado –modificado nº 2-,</w:t>
      </w:r>
      <w:r w:rsidR="00AF3499">
        <w:t xml:space="preserve"> </w:t>
      </w:r>
      <w:r w:rsidRPr="009A043B">
        <w:t>mediante la Resolución de 12 de junio de 2012 del Secretario General de la Consejería de Fomento,</w:t>
      </w:r>
      <w:r w:rsidR="00AF3499">
        <w:t xml:space="preserve"> </w:t>
      </w:r>
      <w:r w:rsidRPr="009A043B">
        <w:t xml:space="preserve">-en tal modificación ha aumentado el número de unidades de obra, con incremento del 28% del precio primitivo y el plazo de </w:t>
      </w:r>
      <w:r w:rsidR="00AF3499">
        <w:t xml:space="preserve"> ejecución en  </w:t>
      </w:r>
      <w:bookmarkStart w:id="0" w:name="_GoBack"/>
      <w:bookmarkEnd w:id="0"/>
      <w:r w:rsidR="00AF3499">
        <w:t xml:space="preserve">24 meses-, </w:t>
      </w:r>
      <w:r w:rsidRPr="009A043B">
        <w:t>resulta que el expediente de modificación del contrato de asistencia está plenamente justificada para que pueda ser dirigida y controlada la ejecución de las obras correspondiente al modificado nº 2 de las obras de la autovía autonómica EX A1, de Navalmoral de la Mata o Portugal, por Plasencia, tramo: Coria- Moraleja Este.</w:t>
      </w:r>
    </w:p>
    <w:p w:rsidR="009A043B" w:rsidRDefault="009A043B" w:rsidP="00FC204B">
      <w:pPr>
        <w:autoSpaceDE w:val="0"/>
        <w:autoSpaceDN w:val="0"/>
        <w:adjustRightInd w:val="0"/>
        <w:spacing w:after="0" w:line="240" w:lineRule="auto"/>
        <w:ind w:right="-2"/>
        <w:rPr>
          <w:rFonts w:ascii="BookmanOldStyle" w:eastAsiaTheme="minorHAnsi" w:hAnsi="BookmanOldStyle" w:cs="BookmanOldStyle"/>
          <w:sz w:val="24"/>
          <w:szCs w:val="24"/>
        </w:rPr>
      </w:pPr>
    </w:p>
    <w:p w:rsidR="009A043B" w:rsidRDefault="009A043B" w:rsidP="00FC204B">
      <w:pPr>
        <w:pStyle w:val="Prrafodelista"/>
        <w:spacing w:after="0" w:line="240" w:lineRule="auto"/>
        <w:ind w:right="-2"/>
        <w:jc w:val="both"/>
      </w:pPr>
      <w:r w:rsidRPr="009A043B">
        <w:t>Además, esta posibilidad de modificación del contrato y las condiciones en que podrá producirse fueron contempladas en el pliego de cláusulas administrativas particulares (cláusula 22). No obstante, debemos advertir en este punto a la Administración que de la jurisprudencia del Tribunal de Justicia de la Unión Europea antes citada se deduce que la Administración debe determinar en el pliego no sólo la posibilidad de modificación del contrato sino también las modalidades (en cuanto a cuantía máxima, sistema de fijación de precios, partidas en las que es posible la modificación) de forma clara, precisa e inequívoca, so pena de quebrar los principios de la contratación administrativa.</w:t>
      </w:r>
    </w:p>
    <w:p w:rsidR="009A043B" w:rsidRPr="009A043B" w:rsidRDefault="009A043B" w:rsidP="00FC204B">
      <w:pPr>
        <w:pStyle w:val="Prrafodelista"/>
        <w:spacing w:after="0" w:line="240" w:lineRule="auto"/>
        <w:ind w:right="-2"/>
        <w:jc w:val="both"/>
      </w:pPr>
    </w:p>
    <w:p w:rsidR="00FE040B" w:rsidRDefault="009A043B" w:rsidP="00FC204B">
      <w:pPr>
        <w:pStyle w:val="Prrafodelista"/>
        <w:spacing w:after="0" w:line="240" w:lineRule="auto"/>
        <w:ind w:right="-2"/>
        <w:jc w:val="both"/>
      </w:pPr>
      <w:r w:rsidRPr="009A043B">
        <w:t>De todo lo anterior, podemos concluir que se cumplen los requisitos formales y materiales que la Ley 30/2007, de 30 de octubre, de Contratos del Sector Público, exige para proceder a la modificación propuesta, por lo que estima este Consejo que tal modificación puede aprobarse</w:t>
      </w:r>
      <w:r w:rsidRPr="001C7C9C">
        <w:t>»</w:t>
      </w:r>
      <w:r w:rsidR="004D3618">
        <w:t>.</w:t>
      </w:r>
    </w:p>
    <w:p w:rsidR="007132FB" w:rsidRDefault="007132FB" w:rsidP="00FC204B">
      <w:pPr>
        <w:pStyle w:val="Prrafodelista"/>
        <w:spacing w:after="0" w:line="240" w:lineRule="auto"/>
        <w:ind w:right="-2"/>
        <w:jc w:val="both"/>
      </w:pPr>
    </w:p>
    <w:p w:rsidR="007132FB" w:rsidRDefault="007132FB" w:rsidP="00FC204B">
      <w:pPr>
        <w:pStyle w:val="Prrafodelista"/>
        <w:spacing w:after="0" w:line="240" w:lineRule="auto"/>
        <w:ind w:right="-2"/>
        <w:jc w:val="both"/>
      </w:pPr>
      <w:r>
        <w:t xml:space="preserve">De este ejemplo y de </w:t>
      </w:r>
      <w:r w:rsidR="00521E53">
        <w:t>otros</w:t>
      </w:r>
      <w:r>
        <w:t xml:space="preserve"> que </w:t>
      </w:r>
      <w:r w:rsidR="00C94249">
        <w:t>solo se reseñan</w:t>
      </w:r>
      <w:r w:rsidR="007C422D" w:rsidRPr="00F90A37">
        <w:rPr>
          <w:rStyle w:val="Refdenotaalpie"/>
        </w:rPr>
        <w:footnoteReference w:id="3"/>
      </w:r>
      <w:r w:rsidRPr="00F90A37">
        <w:t>,</w:t>
      </w:r>
      <w:r>
        <w:t xml:space="preserve"> se deduce que </w:t>
      </w:r>
      <w:r w:rsidR="009E57A2">
        <w:t xml:space="preserve">los contratos complementarios </w:t>
      </w:r>
      <w:r w:rsidR="00C94249">
        <w:t>a veces no se ven</w:t>
      </w:r>
      <w:r w:rsidR="009E57A2">
        <w:t xml:space="preserve"> afectados por la modificación del contrato principal, siendo necesario hacer un análisis caso por caso de su objeto y de sus cláusulas para determinar si la modificación del contrato de obra se extiende a los </w:t>
      </w:r>
      <w:r w:rsidR="00521E53">
        <w:t>accesorios</w:t>
      </w:r>
      <w:r w:rsidR="009E57A2">
        <w:t xml:space="preserve">. </w:t>
      </w:r>
      <w:r w:rsidR="00386D94">
        <w:t>Ahora bien</w:t>
      </w:r>
      <w:r w:rsidR="009E57A2">
        <w:t xml:space="preserve">, </w:t>
      </w:r>
      <w:r>
        <w:t>la modificación del contrato de obra es necesaria pero no suficiente para proceder a la modificación de los contratos complementarios, deb</w:t>
      </w:r>
      <w:r w:rsidR="009E57A2">
        <w:t>iendo</w:t>
      </w:r>
      <w:r>
        <w:t xml:space="preserve"> concurrir además los requisitos y procedimientos aplicables </w:t>
      </w:r>
      <w:r w:rsidR="00D17FF6">
        <w:t xml:space="preserve">a los modificados </w:t>
      </w:r>
      <w:r>
        <w:t>según la ley del contrato</w:t>
      </w:r>
      <w:r w:rsidR="00521E53">
        <w:t xml:space="preserve"> de servicios vinculado</w:t>
      </w:r>
      <w:r>
        <w:t>.</w:t>
      </w:r>
    </w:p>
    <w:p w:rsidR="00FF6BC6" w:rsidRDefault="00FF6BC6" w:rsidP="00FC204B">
      <w:pPr>
        <w:pStyle w:val="Prrafodelista"/>
        <w:spacing w:after="0" w:line="240" w:lineRule="auto"/>
        <w:ind w:right="-2"/>
        <w:jc w:val="both"/>
      </w:pPr>
    </w:p>
    <w:p w:rsidR="00FF6BC6" w:rsidRDefault="00FF6BC6" w:rsidP="00FC204B">
      <w:pPr>
        <w:pStyle w:val="Prrafodelista"/>
        <w:spacing w:after="0" w:line="240" w:lineRule="auto"/>
        <w:ind w:right="-2"/>
        <w:jc w:val="both"/>
      </w:pPr>
    </w:p>
    <w:p w:rsidR="00B61856" w:rsidRDefault="00B61856" w:rsidP="00FC204B">
      <w:pPr>
        <w:pStyle w:val="Prrafodelista"/>
        <w:spacing w:after="0" w:line="240" w:lineRule="auto"/>
        <w:ind w:right="-2"/>
        <w:jc w:val="both"/>
      </w:pPr>
    </w:p>
    <w:p w:rsidR="0078665E" w:rsidRDefault="0078665E" w:rsidP="00FC204B">
      <w:pPr>
        <w:pStyle w:val="Prrafodelista"/>
        <w:numPr>
          <w:ilvl w:val="0"/>
          <w:numId w:val="31"/>
        </w:numPr>
        <w:spacing w:after="0" w:line="240" w:lineRule="auto"/>
        <w:ind w:right="-2"/>
        <w:jc w:val="both"/>
      </w:pPr>
      <w:r>
        <w:lastRenderedPageBreak/>
        <w:t>Supuesto d</w:t>
      </w:r>
      <w:r w:rsidR="00521E53">
        <w:t>e prórroga o ampliación de plazo</w:t>
      </w:r>
    </w:p>
    <w:p w:rsidR="00BA520D" w:rsidRDefault="00BA520D" w:rsidP="00FC204B">
      <w:pPr>
        <w:spacing w:after="0" w:line="240" w:lineRule="auto"/>
        <w:ind w:left="708" w:right="-2"/>
        <w:jc w:val="both"/>
      </w:pPr>
    </w:p>
    <w:p w:rsidR="00261AB3" w:rsidRDefault="00261AB3" w:rsidP="00FC204B">
      <w:pPr>
        <w:pStyle w:val="Prrafodelista"/>
        <w:spacing w:after="0" w:line="240" w:lineRule="auto"/>
        <w:ind w:right="-2"/>
        <w:jc w:val="both"/>
      </w:pPr>
      <w:r>
        <w:t xml:space="preserve">El artículo 303 del TRLCSP señala que, no obstante el plazo máximo de duración de los contratos de servicios (4 años, 6 incluidas sus prórrogas), los que </w:t>
      </w:r>
      <w:r w:rsidRPr="00261AB3">
        <w:t>«sean complementarios de contratos de obras o de suministro podrán tener un plazo superior de vigencia que, en ningún caso, excederá del plazo de duración del contrato principal, salvo en los contratos que comprenden trabajos relacionados con la liquidación del contrato principal, cuyo plazo final excederá al del mismo en el tiempo necesario para realizarlos. La iniciación del contrato complementario a que se refiere este apartado quedará en suspenso, salvo causa justificada derivada de su objeto y contenido, hasta que comience la ejecución del correspondiente contrato de obras».</w:t>
      </w:r>
    </w:p>
    <w:p w:rsidR="00BA520D" w:rsidRDefault="00BA520D" w:rsidP="00FC204B">
      <w:pPr>
        <w:spacing w:after="0" w:line="240" w:lineRule="auto"/>
        <w:ind w:right="-2"/>
        <w:jc w:val="both"/>
      </w:pPr>
    </w:p>
    <w:p w:rsidR="00261AB3" w:rsidRDefault="00261AB3" w:rsidP="00FC204B">
      <w:pPr>
        <w:pStyle w:val="Prrafodelista"/>
        <w:spacing w:after="0" w:line="240" w:lineRule="auto"/>
        <w:ind w:right="-2"/>
        <w:jc w:val="both"/>
      </w:pPr>
      <w:r>
        <w:t xml:space="preserve">Por su parte, el artículo </w:t>
      </w:r>
      <w:r w:rsidR="000C5EF8">
        <w:t>29.</w:t>
      </w:r>
      <w:r>
        <w:t xml:space="preserve">7 </w:t>
      </w:r>
      <w:r w:rsidR="000C5EF8">
        <w:t>d</w:t>
      </w:r>
      <w:r>
        <w:t xml:space="preserve">e la LCSP dice </w:t>
      </w:r>
      <w:r w:rsidR="00106DAF">
        <w:t xml:space="preserve">que </w:t>
      </w:r>
      <w:r w:rsidR="00106DAF" w:rsidRPr="00106DAF">
        <w:t xml:space="preserve">«los contratos de servicios que sean complementarios de otros contratos de obras o de suministro podrán tener un plazo de vigencia superior al señalado en el apartado 4 </w:t>
      </w:r>
      <w:r w:rsidR="000C5EF8">
        <w:t xml:space="preserve">[plazo de 5 años incluidas sus prórrogas] </w:t>
      </w:r>
      <w:r w:rsidR="00106DAF" w:rsidRPr="00106DAF">
        <w:t>que, en ningún caso, excederá del plazo de duración del contrato principal, salvo en los contratos que comprendan trabajos relacionados con la liquidación del contrato principal, cuyo plazo final excederá al del mismo en el tiempo necesario para realizarlos. La iniciación del contrato complementario a que se refiere este apartado quedará en suspenso, salvo causa justificada derivada de su objeto y contenido, hasta que comience la ejecución del correspondiente contrato principal».</w:t>
      </w:r>
    </w:p>
    <w:p w:rsidR="00521E53" w:rsidRDefault="00521E53" w:rsidP="00FC204B">
      <w:pPr>
        <w:pStyle w:val="Prrafodelista"/>
        <w:spacing w:after="0" w:line="240" w:lineRule="auto"/>
        <w:ind w:right="-2"/>
        <w:jc w:val="both"/>
      </w:pPr>
    </w:p>
    <w:p w:rsidR="00521E53" w:rsidRDefault="001B159C" w:rsidP="00FC204B">
      <w:pPr>
        <w:pStyle w:val="Prrafodelista"/>
        <w:spacing w:after="0" w:line="240" w:lineRule="auto"/>
        <w:ind w:right="-2"/>
        <w:jc w:val="both"/>
      </w:pPr>
      <w:r>
        <w:t>En relación con la afectación que la prórroga o ampliación del plazo de ejecución</w:t>
      </w:r>
      <w:r w:rsidR="006534C8">
        <w:rPr>
          <w:rStyle w:val="Refdenotaalpie"/>
        </w:rPr>
        <w:footnoteReference w:id="4"/>
      </w:r>
      <w:r>
        <w:t xml:space="preserve"> del contrato principal de obras tiene </w:t>
      </w:r>
      <w:r w:rsidR="00BD3322">
        <w:t>en</w:t>
      </w:r>
      <w:r>
        <w:t xml:space="preserve"> los de servicios vinculados, </w:t>
      </w:r>
      <w:r w:rsidR="003B5CF0">
        <w:t>hacemos</w:t>
      </w:r>
      <w:r>
        <w:t xml:space="preserve"> l</w:t>
      </w:r>
      <w:r w:rsidR="00032D96">
        <w:t xml:space="preserve">a misma </w:t>
      </w:r>
      <w:r w:rsidR="00720C01">
        <w:t>precisión</w:t>
      </w:r>
      <w:r w:rsidR="00032D96">
        <w:t xml:space="preserve"> sobre la casuística concreta </w:t>
      </w:r>
      <w:r>
        <w:t>que anterior</w:t>
      </w:r>
      <w:r w:rsidR="003B5CF0">
        <w:t>mente</w:t>
      </w:r>
      <w:r>
        <w:t xml:space="preserve"> </w:t>
      </w:r>
      <w:r w:rsidR="00BD3322">
        <w:t>en</w:t>
      </w:r>
      <w:r>
        <w:t xml:space="preserve"> el supuesto de modificación contractual</w:t>
      </w:r>
      <w:r w:rsidR="00521E53">
        <w:t>.</w:t>
      </w:r>
    </w:p>
    <w:p w:rsidR="00521E53" w:rsidRDefault="00521E53" w:rsidP="00FC204B">
      <w:pPr>
        <w:pStyle w:val="Prrafodelista"/>
        <w:spacing w:after="0" w:line="240" w:lineRule="auto"/>
        <w:ind w:right="-2"/>
        <w:jc w:val="both"/>
      </w:pPr>
    </w:p>
    <w:p w:rsidR="00521E53" w:rsidRDefault="00521E53" w:rsidP="00FC204B">
      <w:pPr>
        <w:pStyle w:val="Prrafodelista"/>
        <w:spacing w:after="0" w:line="240" w:lineRule="auto"/>
        <w:ind w:right="-2"/>
        <w:jc w:val="both"/>
      </w:pPr>
      <w:r>
        <w:t xml:space="preserve">Dado que el contrato de servicios es un contrato de actividad, </w:t>
      </w:r>
      <w:r w:rsidR="003B5CF0">
        <w:t xml:space="preserve">en ocasiones </w:t>
      </w:r>
      <w:r>
        <w:t xml:space="preserve">agota su objeto sin necesidad de variar </w:t>
      </w:r>
      <w:r w:rsidR="00032D96">
        <w:t>su</w:t>
      </w:r>
      <w:r>
        <w:t xml:space="preserve"> duraci</w:t>
      </w:r>
      <w:r w:rsidR="00B77D4C">
        <w:t>ón</w:t>
      </w:r>
      <w:r w:rsidR="002F03A7">
        <w:t>,</w:t>
      </w:r>
      <w:r w:rsidR="00B77D4C">
        <w:t xml:space="preserve"> aun cuando el contrato de obras haya sido ampliado o prorrogado.</w:t>
      </w:r>
    </w:p>
    <w:p w:rsidR="00B77D4C" w:rsidRDefault="00B77D4C" w:rsidP="00FC204B">
      <w:pPr>
        <w:pStyle w:val="Prrafodelista"/>
        <w:spacing w:after="0" w:line="240" w:lineRule="auto"/>
        <w:ind w:right="-2"/>
        <w:jc w:val="both"/>
      </w:pPr>
    </w:p>
    <w:p w:rsidR="00B77D4C" w:rsidRDefault="00B77D4C" w:rsidP="00FC204B">
      <w:pPr>
        <w:pStyle w:val="Prrafodelista"/>
        <w:spacing w:after="0" w:line="240" w:lineRule="auto"/>
        <w:ind w:right="-2"/>
        <w:jc w:val="both"/>
      </w:pPr>
      <w:r>
        <w:t>Por el contrario, puede ser necesaria su ampliación para cubrir la nueva duración del contrato principal (por ejemplo, la vigilancia de la obra).</w:t>
      </w:r>
    </w:p>
    <w:p w:rsidR="009C6E7C" w:rsidRDefault="009C6E7C" w:rsidP="00FC204B">
      <w:pPr>
        <w:pStyle w:val="Prrafodelista"/>
        <w:spacing w:after="0" w:line="240" w:lineRule="auto"/>
        <w:ind w:right="-2"/>
        <w:jc w:val="both"/>
      </w:pPr>
    </w:p>
    <w:p w:rsidR="00B77D4C" w:rsidRDefault="002C4CDB" w:rsidP="00FC204B">
      <w:pPr>
        <w:pStyle w:val="Prrafodelista"/>
        <w:spacing w:after="0" w:line="240" w:lineRule="auto"/>
        <w:ind w:right="-2"/>
        <w:jc w:val="both"/>
      </w:pPr>
      <w:r>
        <w:t>A</w:t>
      </w:r>
      <w:r w:rsidR="00B77D4C">
        <w:t xml:space="preserve">unque la redacción de la cláusula del contrato sea genérica refiriendo la duración del contrato de servicios al contrato </w:t>
      </w:r>
      <w:r w:rsidR="00081899">
        <w:t>de obras</w:t>
      </w:r>
      <w:r w:rsidR="00B77D4C">
        <w:t xml:space="preserve">, lo cierto es que su precio probablemente experimentará una variación </w:t>
      </w:r>
      <w:r w:rsidR="00032D96">
        <w:t xml:space="preserve">–léase incremento- </w:t>
      </w:r>
      <w:r w:rsidR="00B77D4C">
        <w:t>y, al tratarse de un elemento esencial del contrato será necesaria su prórroga</w:t>
      </w:r>
      <w:r w:rsidR="00D91BCD">
        <w:t>,</w:t>
      </w:r>
      <w:r w:rsidR="00B77D4C">
        <w:t xml:space="preserve"> ampliación</w:t>
      </w:r>
      <w:r w:rsidR="00D91BCD">
        <w:t xml:space="preserve"> o modificación, </w:t>
      </w:r>
      <w:r w:rsidR="007F3811">
        <w:t xml:space="preserve">dependiendo </w:t>
      </w:r>
      <w:r w:rsidR="00DE657A">
        <w:t>de la necesidad a cubrir por el órgano de contratación</w:t>
      </w:r>
      <w:r w:rsidR="00D91BCD">
        <w:t>. Para la tramitación del expediente contractual y presupuestario correspondiente deberá atenderse a la propia normativa del contrato de servicios y de sus pliegos, puesto que es un contrato vinculado pero independiente del principal.</w:t>
      </w:r>
    </w:p>
    <w:p w:rsidR="00A11ECA" w:rsidRDefault="00A11ECA" w:rsidP="00FC204B">
      <w:pPr>
        <w:pStyle w:val="Prrafodelista"/>
        <w:spacing w:after="0" w:line="240" w:lineRule="auto"/>
        <w:ind w:right="-2"/>
        <w:jc w:val="both"/>
      </w:pPr>
    </w:p>
    <w:p w:rsidR="00FF6BC6" w:rsidRDefault="00FF6BC6" w:rsidP="00FC204B">
      <w:pPr>
        <w:pStyle w:val="Prrafodelista"/>
        <w:spacing w:after="0" w:line="240" w:lineRule="auto"/>
        <w:ind w:right="-2"/>
        <w:jc w:val="both"/>
      </w:pPr>
    </w:p>
    <w:p w:rsidR="00A11ECA" w:rsidRDefault="00A11ECA" w:rsidP="00FC204B">
      <w:pPr>
        <w:pStyle w:val="Prrafodelista"/>
        <w:spacing w:after="0" w:line="240" w:lineRule="auto"/>
        <w:ind w:right="-2"/>
        <w:jc w:val="both"/>
      </w:pPr>
      <w:r>
        <w:lastRenderedPageBreak/>
        <w:t xml:space="preserve">Por otra parte, insistiendo en </w:t>
      </w:r>
      <w:r w:rsidR="002F03A7">
        <w:t>su autonomía</w:t>
      </w:r>
      <w:r>
        <w:t xml:space="preserve">, la redacción del clausulado </w:t>
      </w:r>
      <w:r w:rsidR="009932B0">
        <w:t>de los pliegos</w:t>
      </w:r>
      <w:r>
        <w:t xml:space="preserve"> </w:t>
      </w:r>
      <w:r w:rsidR="00773B69">
        <w:t xml:space="preserve">o bien </w:t>
      </w:r>
      <w:r>
        <w:t>inclu</w:t>
      </w:r>
      <w:r w:rsidR="00773B69">
        <w:t>ye</w:t>
      </w:r>
      <w:r>
        <w:t xml:space="preserve"> un plazo de duración del contrato o bien un plazo de ejecución del mismo</w:t>
      </w:r>
      <w:r w:rsidR="002325A0">
        <w:t xml:space="preserve">, y este aspecto de la redacción del pliego </w:t>
      </w:r>
      <w:r w:rsidR="00773B69">
        <w:t>afectará</w:t>
      </w:r>
      <w:r w:rsidR="002325A0">
        <w:t xml:space="preserve"> a la tramitación del expediente de prolongación del plazo de ejecución –sea en una u otra modalidad: prórroga o ampliación- e incluso en la propia posibilidad de llevarlo a cabo</w:t>
      </w:r>
      <w:r>
        <w:t>.</w:t>
      </w:r>
    </w:p>
    <w:p w:rsidR="00A11ECA" w:rsidRDefault="00A11ECA" w:rsidP="00FC204B">
      <w:pPr>
        <w:pStyle w:val="Prrafodelista"/>
        <w:spacing w:after="0" w:line="240" w:lineRule="auto"/>
        <w:ind w:right="-2"/>
        <w:jc w:val="both"/>
      </w:pPr>
    </w:p>
    <w:p w:rsidR="00A11ECA" w:rsidRDefault="00A11ECA" w:rsidP="00FC204B">
      <w:pPr>
        <w:pStyle w:val="Prrafodelista"/>
        <w:spacing w:after="0" w:line="240" w:lineRule="auto"/>
        <w:ind w:right="-2"/>
        <w:jc w:val="both"/>
      </w:pPr>
      <w:r>
        <w:t xml:space="preserve">Como señala </w:t>
      </w:r>
      <w:r w:rsidR="006E08C7">
        <w:t xml:space="preserve">la </w:t>
      </w:r>
      <w:r w:rsidR="00B11E0B">
        <w:t>J</w:t>
      </w:r>
      <w:r w:rsidR="006E08C7">
        <w:t>unta Consultiva de Contratación Administrativa de Canarias</w:t>
      </w:r>
      <w:r>
        <w:t xml:space="preserve">, en su informe </w:t>
      </w:r>
      <w:r w:rsidR="006E08C7">
        <w:t>4/2016</w:t>
      </w:r>
      <w:r>
        <w:t xml:space="preserve">: </w:t>
      </w:r>
      <w:r>
        <w:rPr>
          <w:rFonts w:ascii="Calibri" w:hAnsi="Calibri" w:cs="Calibri"/>
        </w:rPr>
        <w:t>«</w:t>
      </w:r>
      <w:r>
        <w:t>La doctrina general en materia de contratos sostiene que el plazo puede fijarse:</w:t>
      </w:r>
    </w:p>
    <w:p w:rsidR="00CA6774" w:rsidRDefault="00CA6774" w:rsidP="00FC204B">
      <w:pPr>
        <w:pStyle w:val="Prrafodelista"/>
        <w:spacing w:after="0" w:line="240" w:lineRule="auto"/>
        <w:ind w:right="-2"/>
        <w:jc w:val="both"/>
      </w:pPr>
    </w:p>
    <w:p w:rsidR="00A11ECA" w:rsidRDefault="00A11ECA" w:rsidP="00FC204B">
      <w:pPr>
        <w:pStyle w:val="Prrafodelista"/>
        <w:spacing w:after="0" w:line="240" w:lineRule="auto"/>
        <w:ind w:right="-2"/>
        <w:jc w:val="both"/>
      </w:pPr>
      <w:r>
        <w:t xml:space="preserve">a) </w:t>
      </w:r>
      <w:r w:rsidRPr="006E08C7">
        <w:rPr>
          <w:b/>
        </w:rPr>
        <w:t>Como plazo de duración</w:t>
      </w:r>
      <w:r>
        <w:t>: En este caso, el tiempo opera como elemento definitorio de la prestación, de manera que, expirado el plazo, el contrato se extingue necesariamente.</w:t>
      </w:r>
    </w:p>
    <w:p w:rsidR="00CA6774" w:rsidRDefault="00CA6774" w:rsidP="00FC204B">
      <w:pPr>
        <w:pStyle w:val="Prrafodelista"/>
        <w:spacing w:after="0" w:line="240" w:lineRule="auto"/>
        <w:ind w:right="-2"/>
        <w:jc w:val="both"/>
      </w:pPr>
    </w:p>
    <w:p w:rsidR="00A11ECA" w:rsidRDefault="00A11ECA" w:rsidP="00FC204B">
      <w:pPr>
        <w:pStyle w:val="Prrafodelista"/>
        <w:spacing w:after="0" w:line="240" w:lineRule="auto"/>
        <w:ind w:right="-2"/>
        <w:jc w:val="both"/>
      </w:pPr>
      <w:r>
        <w:t xml:space="preserve">b) </w:t>
      </w:r>
      <w:r w:rsidRPr="006E08C7">
        <w:rPr>
          <w:b/>
        </w:rPr>
        <w:t>Como plazo de ejecución</w:t>
      </w:r>
      <w:r>
        <w:t>: En este caso, el tiempo opera como simple circunstancia de la prestación. Por ello, el contrato no se extingue porque llegue una fecha,</w:t>
      </w:r>
      <w:r w:rsidR="00B004F8">
        <w:t xml:space="preserve"> </w:t>
      </w:r>
      <w:r>
        <w:t>sino cuando se concluye la prestación pactada.</w:t>
      </w:r>
    </w:p>
    <w:p w:rsidR="00A11ECA" w:rsidRDefault="00A11ECA" w:rsidP="00FC204B">
      <w:pPr>
        <w:pStyle w:val="Prrafodelista"/>
        <w:spacing w:after="0" w:line="240" w:lineRule="auto"/>
        <w:ind w:right="-2"/>
        <w:jc w:val="both"/>
      </w:pPr>
      <w:r>
        <w:t>[…]</w:t>
      </w:r>
    </w:p>
    <w:p w:rsidR="006753D8" w:rsidRDefault="006753D8" w:rsidP="00FC204B">
      <w:pPr>
        <w:pStyle w:val="Prrafodelista"/>
        <w:spacing w:after="0" w:line="240" w:lineRule="auto"/>
        <w:ind w:right="-2"/>
        <w:jc w:val="both"/>
      </w:pPr>
      <w:r>
        <w:t>Sobre esta distinción se derivan distintos efectos:</w:t>
      </w:r>
    </w:p>
    <w:p w:rsidR="00CA6774" w:rsidRDefault="00CA6774" w:rsidP="00FC204B">
      <w:pPr>
        <w:pStyle w:val="Prrafodelista"/>
        <w:spacing w:after="0" w:line="240" w:lineRule="auto"/>
        <w:ind w:right="-2"/>
        <w:jc w:val="both"/>
      </w:pPr>
    </w:p>
    <w:p w:rsidR="006753D8" w:rsidRDefault="006753D8" w:rsidP="00FC204B">
      <w:pPr>
        <w:pStyle w:val="Prrafodelista"/>
        <w:spacing w:after="0" w:line="240" w:lineRule="auto"/>
        <w:ind w:right="-2"/>
        <w:jc w:val="both"/>
      </w:pPr>
      <w:r>
        <w:t>a) La prórroga del plazo de duración se otorga con el fin de que el contratista ejecute otra vez, por un nuevo período, la prestación contratada. A ella se refiere el artículo 23 del TRLCSP, además de otros preceptos específicos del texto legal para algunos tipos de contratos como es el artículo 303 TRLCSP para los contratos de servicios.</w:t>
      </w:r>
    </w:p>
    <w:p w:rsidR="006E08C7" w:rsidRDefault="006E08C7" w:rsidP="00FC204B">
      <w:pPr>
        <w:pStyle w:val="Prrafodelista"/>
        <w:spacing w:after="0" w:line="240" w:lineRule="auto"/>
        <w:ind w:right="-2"/>
        <w:jc w:val="both"/>
      </w:pPr>
      <w:r>
        <w:t>[…]</w:t>
      </w:r>
    </w:p>
    <w:p w:rsidR="006E08C7" w:rsidRDefault="006753D8" w:rsidP="00FC204B">
      <w:pPr>
        <w:pStyle w:val="Prrafodelista"/>
        <w:spacing w:after="0" w:line="240" w:lineRule="auto"/>
        <w:ind w:right="-2"/>
        <w:jc w:val="both"/>
      </w:pPr>
      <w:r>
        <w:t>b) El plazo de ejecución se prorroga con el fin de que el contratista consiga terminar la prestación todavía inacabada.</w:t>
      </w:r>
    </w:p>
    <w:p w:rsidR="002325A0" w:rsidRDefault="002325A0" w:rsidP="00FC204B">
      <w:pPr>
        <w:pStyle w:val="Prrafodelista"/>
        <w:spacing w:after="0" w:line="240" w:lineRule="auto"/>
        <w:ind w:right="-2"/>
        <w:jc w:val="both"/>
      </w:pPr>
    </w:p>
    <w:p w:rsidR="00A11ECA" w:rsidRDefault="006E08C7" w:rsidP="00FC204B">
      <w:pPr>
        <w:pStyle w:val="Prrafodelista"/>
        <w:spacing w:after="0" w:line="240" w:lineRule="auto"/>
        <w:ind w:right="-2"/>
        <w:jc w:val="both"/>
        <w:rPr>
          <w:rFonts w:ascii="Calibri" w:hAnsi="Calibri" w:cs="Calibri"/>
        </w:rPr>
      </w:pPr>
      <w:r>
        <w:t xml:space="preserve">En este supuesto, </w:t>
      </w:r>
      <w:r w:rsidRPr="006E08C7">
        <w:rPr>
          <w:b/>
        </w:rPr>
        <w:t>no</w:t>
      </w:r>
      <w:r>
        <w:t xml:space="preserve"> se concede al contratista un nuevo período para que repita en el tiempo la prestación pactada, sino que se le otorga una </w:t>
      </w:r>
      <w:r w:rsidRPr="006E08C7">
        <w:rPr>
          <w:b/>
        </w:rPr>
        <w:t>ampliación del plazo</w:t>
      </w:r>
      <w:r>
        <w:t xml:space="preserve"> inicialmente concedido</w:t>
      </w:r>
      <w:r w:rsidR="00A11ECA">
        <w:rPr>
          <w:rFonts w:ascii="Calibri" w:hAnsi="Calibri" w:cs="Calibri"/>
        </w:rPr>
        <w:t>»</w:t>
      </w:r>
      <w:r w:rsidR="00BD6D50">
        <w:rPr>
          <w:rFonts w:ascii="Calibri" w:hAnsi="Calibri" w:cs="Calibri"/>
        </w:rPr>
        <w:t>.</w:t>
      </w:r>
    </w:p>
    <w:p w:rsidR="00BD6D50" w:rsidRDefault="00BD6D50" w:rsidP="00FC204B">
      <w:pPr>
        <w:pStyle w:val="Prrafodelista"/>
        <w:spacing w:after="0" w:line="240" w:lineRule="auto"/>
        <w:ind w:right="-2"/>
        <w:jc w:val="both"/>
        <w:rPr>
          <w:rFonts w:ascii="Calibri" w:hAnsi="Calibri" w:cs="Calibri"/>
        </w:rPr>
      </w:pPr>
    </w:p>
    <w:p w:rsidR="0078665E" w:rsidRDefault="0078665E" w:rsidP="00FC204B">
      <w:pPr>
        <w:pStyle w:val="Prrafodelista"/>
        <w:numPr>
          <w:ilvl w:val="0"/>
          <w:numId w:val="31"/>
        </w:numPr>
        <w:spacing w:after="0" w:line="240" w:lineRule="auto"/>
        <w:ind w:right="-2"/>
        <w:jc w:val="both"/>
      </w:pPr>
      <w:r>
        <w:t>Supuesto de suspensión total o parcial de la obra principal</w:t>
      </w:r>
    </w:p>
    <w:p w:rsidR="002325A0" w:rsidRDefault="002325A0" w:rsidP="00FC204B">
      <w:pPr>
        <w:pStyle w:val="Prrafodelista"/>
        <w:spacing w:after="0" w:line="240" w:lineRule="auto"/>
        <w:ind w:right="-2"/>
        <w:jc w:val="both"/>
      </w:pPr>
    </w:p>
    <w:p w:rsidR="008E7866" w:rsidRDefault="00B3492C" w:rsidP="00FC204B">
      <w:pPr>
        <w:pStyle w:val="Prrafodelista"/>
        <w:spacing w:after="0" w:line="240" w:lineRule="auto"/>
        <w:ind w:right="-2"/>
        <w:jc w:val="both"/>
      </w:pPr>
      <w:r>
        <w:t>E</w:t>
      </w:r>
      <w:r w:rsidR="00F431FB">
        <w:t xml:space="preserve">l TRLCSP contempla </w:t>
      </w:r>
      <w:r w:rsidR="002D7959">
        <w:t>la</w:t>
      </w:r>
      <w:r w:rsidR="008E7866">
        <w:t xml:space="preserve"> suspensión temporal parcial o total de la ejecución de las obras como consecuencia de la tramitación de un modificado</w:t>
      </w:r>
      <w:r w:rsidR="00F431FB">
        <w:t xml:space="preserve"> (artículo 234) y la suspensión de la iniciación de las obras por plazo superior a seis meses o la suspensión por plazo superior a ocho meses, acordadas ambas por la Administración, como causas de resolución del contrato (artículo 237 y siguientes)</w:t>
      </w:r>
      <w:r w:rsidR="008E7866">
        <w:t>.</w:t>
      </w:r>
    </w:p>
    <w:p w:rsidR="00422898" w:rsidRDefault="00422898" w:rsidP="00FC204B">
      <w:pPr>
        <w:pStyle w:val="Prrafodelista"/>
        <w:spacing w:after="0" w:line="240" w:lineRule="auto"/>
        <w:ind w:right="-2"/>
        <w:jc w:val="both"/>
      </w:pPr>
    </w:p>
    <w:p w:rsidR="00422898" w:rsidRDefault="00422898" w:rsidP="00FC204B">
      <w:pPr>
        <w:pStyle w:val="Prrafodelista"/>
        <w:spacing w:after="0" w:line="240" w:lineRule="auto"/>
        <w:ind w:right="-2"/>
        <w:jc w:val="both"/>
      </w:pPr>
      <w:r>
        <w:t xml:space="preserve">En el contrato de servicios, la suspensión </w:t>
      </w:r>
      <w:r w:rsidR="009E5327">
        <w:t>de la iniciación del contrato (plazo superior a seis meses) y la suspensión del contrato (plazo superior a un año) acordadas por la Administración, se incluyen entre las causas de resolución (artículo 308).</w:t>
      </w:r>
    </w:p>
    <w:p w:rsidR="00D6657E" w:rsidRDefault="00D6657E" w:rsidP="00FC204B">
      <w:pPr>
        <w:pStyle w:val="Prrafodelista"/>
        <w:spacing w:after="0" w:line="240" w:lineRule="auto"/>
        <w:ind w:right="-2"/>
        <w:jc w:val="both"/>
      </w:pPr>
    </w:p>
    <w:p w:rsidR="00D6657E" w:rsidRDefault="00D6657E" w:rsidP="00FC204B">
      <w:pPr>
        <w:pStyle w:val="Prrafodelista"/>
        <w:spacing w:after="0" w:line="240" w:lineRule="auto"/>
        <w:ind w:right="-2"/>
        <w:jc w:val="both"/>
      </w:pPr>
      <w:r>
        <w:t>Las normas generales sobre la suspensión se encuentran recogidas dentro del capítulo dedicado a la modificación de los contratos</w:t>
      </w:r>
      <w:r>
        <w:rPr>
          <w:rStyle w:val="Refdenotaalpie"/>
        </w:rPr>
        <w:footnoteReference w:id="5"/>
      </w:r>
      <w:r>
        <w:t>.</w:t>
      </w:r>
    </w:p>
    <w:p w:rsidR="00D6657E" w:rsidRDefault="00D6657E" w:rsidP="00FC204B">
      <w:pPr>
        <w:pStyle w:val="Prrafodelista"/>
        <w:spacing w:after="0" w:line="240" w:lineRule="auto"/>
        <w:ind w:right="-2"/>
        <w:jc w:val="both"/>
      </w:pPr>
    </w:p>
    <w:p w:rsidR="00D6657E" w:rsidRDefault="00006185" w:rsidP="00FC204B">
      <w:pPr>
        <w:pStyle w:val="Prrafodelista"/>
        <w:spacing w:after="0" w:line="240" w:lineRule="auto"/>
        <w:ind w:right="-2"/>
        <w:jc w:val="both"/>
      </w:pPr>
      <w:r>
        <w:lastRenderedPageBreak/>
        <w:t xml:space="preserve">En la nueva LCSP </w:t>
      </w:r>
      <w:r w:rsidR="00F52EAE">
        <w:t>la suspensión de los contratos se encuentra regulada en el artículo 208</w:t>
      </w:r>
      <w:r w:rsidR="0054683F">
        <w:t>, incluyendo la suspensión de la iniciación de las obras por plazo superior a cuatro meses y la suspensión de la ejecución por plazo superior a ocho meses, decididas ambas por la Administración, como causas de resolución del contrato de obras. En el caso del contrato de servicios</w:t>
      </w:r>
      <w:r w:rsidR="003D48D0">
        <w:t>,</w:t>
      </w:r>
      <w:r w:rsidR="0054683F">
        <w:t xml:space="preserve"> el artículo 313 fija los plazos de resolución en plazo superior a cuatro meses para la suspensión de la iniciación y e</w:t>
      </w:r>
      <w:r w:rsidR="00813428">
        <w:t>n</w:t>
      </w:r>
      <w:r w:rsidR="0054683F">
        <w:t xml:space="preserve"> ocho meses una vez iniciada.</w:t>
      </w:r>
    </w:p>
    <w:p w:rsidR="00006185" w:rsidRDefault="00006185" w:rsidP="00FC204B">
      <w:pPr>
        <w:pStyle w:val="Prrafodelista"/>
        <w:spacing w:after="0" w:line="240" w:lineRule="auto"/>
        <w:ind w:right="-2"/>
        <w:jc w:val="both"/>
      </w:pPr>
    </w:p>
    <w:p w:rsidR="00006185" w:rsidRDefault="00006185" w:rsidP="00FC204B">
      <w:pPr>
        <w:pStyle w:val="Prrafodelista"/>
        <w:spacing w:after="0" w:line="240" w:lineRule="auto"/>
        <w:ind w:right="-2"/>
        <w:jc w:val="both"/>
      </w:pPr>
      <w:r>
        <w:t xml:space="preserve">En consecuencia, la suspensión total o parcial de la ejecución o del inicio del contrato principal de obra sería, a los efectos aquí analizados, condición indispensable para poder plantear la suspensión total o parcial de la ejecución del contrato de servicios vinculado. A continuación, una vez establecida esa premisa inicial, deberá </w:t>
      </w:r>
      <w:r w:rsidR="00AF710F">
        <w:t>comprobarse</w:t>
      </w:r>
      <w:r>
        <w:t xml:space="preserve"> </w:t>
      </w:r>
      <w:r w:rsidRPr="00B13A9B">
        <w:t xml:space="preserve">si es posible, de conformidad con </w:t>
      </w:r>
      <w:r w:rsidR="001A3C19" w:rsidRPr="00B13A9B">
        <w:t xml:space="preserve">el objeto del contrato </w:t>
      </w:r>
      <w:r w:rsidR="00B63D40" w:rsidRPr="00B13A9B">
        <w:t>complementario</w:t>
      </w:r>
      <w:r w:rsidR="001A3C19" w:rsidRPr="00B13A9B">
        <w:t xml:space="preserve">, sus </w:t>
      </w:r>
      <w:r w:rsidRPr="00B13A9B">
        <w:t>pliegos y la</w:t>
      </w:r>
      <w:r>
        <w:t xml:space="preserve"> normativa contractual general</w:t>
      </w:r>
      <w:r w:rsidR="00F52EAE">
        <w:t>,</w:t>
      </w:r>
      <w:r>
        <w:t xml:space="preserve"> la suspensión y de qué tipo del contrato de servicios</w:t>
      </w:r>
      <w:r w:rsidR="005D6A35" w:rsidRPr="00D825B5">
        <w:rPr>
          <w:rStyle w:val="Refdenotaalpie"/>
        </w:rPr>
        <w:footnoteReference w:id="6"/>
      </w:r>
      <w:r w:rsidRPr="00D825B5">
        <w:t>.</w:t>
      </w:r>
    </w:p>
    <w:p w:rsidR="001A3C19" w:rsidRDefault="001A3C19" w:rsidP="00FC204B">
      <w:pPr>
        <w:pStyle w:val="Prrafodelista"/>
        <w:spacing w:after="0" w:line="240" w:lineRule="auto"/>
        <w:ind w:right="-2"/>
        <w:jc w:val="both"/>
      </w:pPr>
    </w:p>
    <w:p w:rsidR="0078665E" w:rsidRDefault="0078665E" w:rsidP="00FC204B">
      <w:pPr>
        <w:pStyle w:val="Prrafodelista"/>
        <w:numPr>
          <w:ilvl w:val="0"/>
          <w:numId w:val="31"/>
        </w:numPr>
        <w:spacing w:after="0" w:line="240" w:lineRule="auto"/>
        <w:ind w:right="-2"/>
        <w:jc w:val="both"/>
      </w:pPr>
      <w:r>
        <w:t>Supuesto de resolución del contrato de obra</w:t>
      </w:r>
    </w:p>
    <w:p w:rsidR="00383000" w:rsidRDefault="00383000" w:rsidP="00FC204B">
      <w:pPr>
        <w:pStyle w:val="Prrafodelista"/>
        <w:spacing w:after="0" w:line="240" w:lineRule="auto"/>
        <w:ind w:right="-2"/>
        <w:jc w:val="both"/>
      </w:pPr>
    </w:p>
    <w:p w:rsidR="00E87A42" w:rsidRDefault="00383000" w:rsidP="00FC204B">
      <w:pPr>
        <w:pStyle w:val="Prrafodelista"/>
        <w:spacing w:after="0" w:line="240" w:lineRule="auto"/>
        <w:ind w:right="-2"/>
        <w:jc w:val="both"/>
      </w:pPr>
      <w:r>
        <w:t>Una vez resuelto el contrato de obras principal, quedarán resueltos los contratos complementarios de servicios (artículo 3</w:t>
      </w:r>
      <w:r w:rsidR="00386BA1">
        <w:t>08.c) del TRLCSP y 313.c) LCSP)</w:t>
      </w:r>
      <w:r w:rsidR="00686879">
        <w:rPr>
          <w:rStyle w:val="Refdenotaalpie"/>
        </w:rPr>
        <w:footnoteReference w:id="7"/>
      </w:r>
      <w:r w:rsidR="00F258EF">
        <w:t>,</w:t>
      </w:r>
      <w:r w:rsidR="00AD483E">
        <w:t xml:space="preserve"> teniendo en cuenta que la liquidación del contrato principal puede afectar a la liquidación de los contratos de servicios </w:t>
      </w:r>
      <w:r w:rsidR="003E477D">
        <w:t>accesorios</w:t>
      </w:r>
      <w:r w:rsidR="00AD483E">
        <w:rPr>
          <w:rStyle w:val="Refdenotaalpie"/>
        </w:rPr>
        <w:footnoteReference w:id="8"/>
      </w:r>
      <w:r w:rsidR="00AD483E">
        <w:t>.</w:t>
      </w:r>
    </w:p>
    <w:p w:rsidR="00B210B6" w:rsidRDefault="00B210B6" w:rsidP="00FC204B">
      <w:pPr>
        <w:pStyle w:val="Prrafodelista"/>
        <w:spacing w:after="0" w:line="240" w:lineRule="auto"/>
        <w:ind w:right="-2"/>
        <w:jc w:val="both"/>
      </w:pPr>
    </w:p>
    <w:p w:rsidR="00386BA1" w:rsidRDefault="00386BA1" w:rsidP="00FC204B">
      <w:pPr>
        <w:pStyle w:val="Prrafodelista"/>
        <w:spacing w:after="0" w:line="240" w:lineRule="auto"/>
        <w:ind w:right="-2"/>
        <w:jc w:val="both"/>
      </w:pPr>
      <w:r>
        <w:t>Este automatismo</w:t>
      </w:r>
      <w:r w:rsidR="00A25A20">
        <w:rPr>
          <w:rStyle w:val="Refdenotaalpie"/>
        </w:rPr>
        <w:footnoteReference w:id="9"/>
      </w:r>
      <w:r>
        <w:t xml:space="preserve"> no es óbice para que exista una tramitación administrativa que deje constancia del motivo de la resolución y de sus consecuencias (valoración de los trabajos efectuados por el contratista e indemnización</w:t>
      </w:r>
      <w:r w:rsidR="00051B51">
        <w:t xml:space="preserve"> incluida si tuviera lugar</w:t>
      </w:r>
      <w:r>
        <w:t>).</w:t>
      </w:r>
    </w:p>
    <w:p w:rsidR="00386BA1" w:rsidRDefault="00386BA1" w:rsidP="00FC204B">
      <w:pPr>
        <w:pStyle w:val="Prrafodelista"/>
        <w:spacing w:after="0" w:line="240" w:lineRule="auto"/>
        <w:ind w:right="-2"/>
        <w:jc w:val="both"/>
      </w:pPr>
    </w:p>
    <w:p w:rsidR="00B210B6" w:rsidRDefault="00E11250" w:rsidP="00FC204B">
      <w:pPr>
        <w:pStyle w:val="Prrafodelista"/>
        <w:spacing w:after="0" w:line="240" w:lineRule="auto"/>
        <w:ind w:right="-2"/>
        <w:jc w:val="both"/>
      </w:pPr>
      <w:r>
        <w:t xml:space="preserve">Pero incluso </w:t>
      </w:r>
      <w:r w:rsidR="00051B51">
        <w:t>así</w:t>
      </w:r>
      <w:r>
        <w:t xml:space="preserve">, </w:t>
      </w:r>
      <w:r w:rsidR="00ED0E3C">
        <w:t xml:space="preserve">resulta complejo </w:t>
      </w:r>
      <w:r>
        <w:t xml:space="preserve">establecer criterios apriorísticos </w:t>
      </w:r>
      <w:r w:rsidRPr="002D7959">
        <w:t>desvinculados del caso concreto</w:t>
      </w:r>
      <w:r>
        <w:t xml:space="preserve">. </w:t>
      </w:r>
    </w:p>
    <w:p w:rsidR="00E11250" w:rsidRDefault="00E11250" w:rsidP="00FC204B">
      <w:pPr>
        <w:pStyle w:val="Prrafodelista"/>
        <w:spacing w:after="0" w:line="240" w:lineRule="auto"/>
        <w:ind w:right="-2"/>
        <w:jc w:val="both"/>
      </w:pPr>
    </w:p>
    <w:p w:rsidR="00E11250" w:rsidRDefault="00381F6E" w:rsidP="00FC204B">
      <w:pPr>
        <w:pStyle w:val="Prrafodelista"/>
        <w:spacing w:after="0" w:line="240" w:lineRule="auto"/>
        <w:ind w:right="-2"/>
        <w:jc w:val="both"/>
      </w:pPr>
      <w:r>
        <w:t>Prueba de ello es el expediente 23/19 de l</w:t>
      </w:r>
      <w:r w:rsidR="00E11250">
        <w:t xml:space="preserve">a Junta Consultiva de Contratación Pública del Estado, en resolución de consulta sobre la posibilidad de mantener vigentes los contratos de servicios de redacción de proyecto y dirección facultativa de las obras de los nuevos edificios de juzgados de </w:t>
      </w:r>
      <w:r w:rsidR="00FF6BC6">
        <w:t>Badajoz</w:t>
      </w:r>
      <w:r w:rsidR="00E11250">
        <w:t xml:space="preserve"> y de Segovia, a pesar de haberse resuelto en ambos los contratos de obras (en el primer</w:t>
      </w:r>
      <w:r w:rsidR="00051B51">
        <w:t>o</w:t>
      </w:r>
      <w:r w:rsidR="00E11250">
        <w:t xml:space="preserve"> mediante resolución de mutuo acuerdo y en el segundo por haber sido declarada la adjudicataria en concurso).</w:t>
      </w:r>
    </w:p>
    <w:p w:rsidR="00E30074" w:rsidRDefault="00E30074" w:rsidP="00FC204B">
      <w:pPr>
        <w:pStyle w:val="Prrafodelista"/>
        <w:spacing w:after="0" w:line="240" w:lineRule="auto"/>
        <w:ind w:right="-2"/>
        <w:jc w:val="both"/>
      </w:pPr>
    </w:p>
    <w:p w:rsidR="00E30074" w:rsidRDefault="00E30074" w:rsidP="00FC204B">
      <w:pPr>
        <w:pStyle w:val="Prrafodelista"/>
        <w:spacing w:after="0" w:line="240" w:lineRule="auto"/>
        <w:ind w:right="-2"/>
        <w:jc w:val="both"/>
      </w:pPr>
      <w:r>
        <w:t>La Subsecretaria de Justicia, que formula la consulta, sostiene por razones legales y de oportunidad la necesidad de mantener la vigencia de ambos contratos.</w:t>
      </w:r>
    </w:p>
    <w:p w:rsidR="00364FC5" w:rsidRDefault="00364FC5" w:rsidP="00FC204B">
      <w:pPr>
        <w:pStyle w:val="Prrafodelista"/>
        <w:spacing w:after="0" w:line="240" w:lineRule="auto"/>
        <w:ind w:right="-2"/>
        <w:jc w:val="both"/>
      </w:pPr>
    </w:p>
    <w:p w:rsidR="00364FC5" w:rsidRPr="00364FC5" w:rsidRDefault="00364FC5" w:rsidP="00FC204B">
      <w:pPr>
        <w:pStyle w:val="Prrafodelista"/>
        <w:spacing w:after="0" w:line="240" w:lineRule="auto"/>
        <w:ind w:right="-2"/>
        <w:jc w:val="both"/>
      </w:pPr>
      <w:r>
        <w:t xml:space="preserve">Señala la Junta Consultiva: </w:t>
      </w:r>
      <w:r w:rsidRPr="001C7C9C">
        <w:t>«</w:t>
      </w:r>
      <w:r w:rsidRPr="00364FC5">
        <w:t>La primera cuestión que se nos ha consultado consiste en determinar si tras la resolución de un contrato de obras, pero acordada la continuidad de la ejecución de las mismas al amparo del 239.5 del TRLCSP</w:t>
      </w:r>
      <w:r w:rsidR="00192C03">
        <w:rPr>
          <w:rStyle w:val="Refdenotaalpie"/>
        </w:rPr>
        <w:footnoteReference w:id="10"/>
      </w:r>
      <w:r w:rsidRPr="00364FC5">
        <w:t xml:space="preserve">, procede continuar con la ejecución del contrato de servicios de redacción de proyecto y dirección facultativa de las obras. </w:t>
      </w:r>
    </w:p>
    <w:p w:rsidR="00364FC5" w:rsidRPr="00364FC5" w:rsidRDefault="00364FC5" w:rsidP="00FC204B">
      <w:pPr>
        <w:pStyle w:val="Prrafodelista"/>
        <w:spacing w:after="0" w:line="240" w:lineRule="auto"/>
        <w:ind w:right="-2"/>
        <w:jc w:val="both"/>
      </w:pPr>
    </w:p>
    <w:p w:rsidR="00364FC5" w:rsidRPr="00364FC5" w:rsidRDefault="00364FC5" w:rsidP="00FC204B">
      <w:pPr>
        <w:pStyle w:val="Prrafodelista"/>
        <w:spacing w:after="0" w:line="240" w:lineRule="auto"/>
        <w:ind w:right="-2"/>
        <w:jc w:val="both"/>
      </w:pPr>
      <w:r w:rsidRPr="00364FC5">
        <w:t xml:space="preserve">En este punto hay que tener en cuenta, en primer lugar, el contenido del artículo 303.4 del TRLCSP que prevé que “Los contratos de servicios que tengan por objeto la asistencia a la dirección de obra o la gestión integrada de proyectos tendrán una duración igual a la del contrato de obras al que están vinculados más el plazo estimado para proceder a la liquidación de las obras”. </w:t>
      </w:r>
    </w:p>
    <w:p w:rsidR="00364FC5" w:rsidRPr="00364FC5" w:rsidRDefault="00364FC5" w:rsidP="00FC204B">
      <w:pPr>
        <w:pStyle w:val="Prrafodelista"/>
        <w:spacing w:after="0" w:line="240" w:lineRule="auto"/>
        <w:ind w:right="-2"/>
        <w:jc w:val="both"/>
      </w:pPr>
    </w:p>
    <w:p w:rsidR="00364FC5" w:rsidRPr="00364FC5" w:rsidRDefault="00364FC5" w:rsidP="00FC204B">
      <w:pPr>
        <w:pStyle w:val="Prrafodelista"/>
        <w:spacing w:after="0" w:line="240" w:lineRule="auto"/>
        <w:ind w:right="-2"/>
        <w:jc w:val="both"/>
      </w:pPr>
      <w:r w:rsidRPr="00364FC5">
        <w:t xml:space="preserve">También es destacable la causa de resolución específica de estos contratos de servicios reconocida en el artículo 308.c) del TRLCSP, según el cual “Los contratos complementarios a que se refiere el artículo 303.2 quedarán resueltos, en todo caso, cuando se resuelva el contrato principal.” El artículo 303.2 alude a los contratos de servicios que sean complementarios de contratos de obras o de suministro, precisamente el caso que aquí nos atañe. </w:t>
      </w:r>
    </w:p>
    <w:p w:rsidR="00364FC5" w:rsidRPr="00364FC5" w:rsidRDefault="00364FC5" w:rsidP="00FC204B">
      <w:pPr>
        <w:pStyle w:val="Prrafodelista"/>
        <w:spacing w:after="0" w:line="240" w:lineRule="auto"/>
        <w:ind w:right="-2"/>
        <w:jc w:val="both"/>
      </w:pPr>
    </w:p>
    <w:p w:rsidR="00364FC5" w:rsidRDefault="00364FC5" w:rsidP="00FC204B">
      <w:pPr>
        <w:pStyle w:val="Prrafodelista"/>
        <w:spacing w:after="0" w:line="240" w:lineRule="auto"/>
        <w:ind w:right="-2"/>
        <w:jc w:val="both"/>
      </w:pPr>
      <w:r w:rsidRPr="00364FC5">
        <w:t>Ante la redacción de ambas normas nos encontramos ante una difícil solución a la cuestión planteada, toda vez que la ley declara la resolución de los contratos complementarios “en todo caso” cuando se resuelva el contrato principal de obras.</w:t>
      </w:r>
    </w:p>
    <w:p w:rsidR="00BA386B" w:rsidRDefault="00BA386B" w:rsidP="00FC204B">
      <w:pPr>
        <w:pStyle w:val="Prrafodelista"/>
        <w:spacing w:after="0" w:line="240" w:lineRule="auto"/>
        <w:ind w:right="-2"/>
        <w:jc w:val="both"/>
      </w:pPr>
      <w:r>
        <w:t>[…]</w:t>
      </w:r>
    </w:p>
    <w:p w:rsidR="00BA386B" w:rsidRDefault="00BA386B" w:rsidP="00FC204B">
      <w:pPr>
        <w:pStyle w:val="Prrafodelista"/>
        <w:spacing w:after="0" w:line="240" w:lineRule="auto"/>
        <w:ind w:right="-2"/>
        <w:jc w:val="both"/>
      </w:pPr>
    </w:p>
    <w:p w:rsidR="00BA386B" w:rsidRDefault="00BA386B" w:rsidP="00FC204B">
      <w:pPr>
        <w:pStyle w:val="Prrafodelista"/>
        <w:spacing w:after="0" w:line="240" w:lineRule="auto"/>
        <w:ind w:right="-2"/>
        <w:jc w:val="both"/>
      </w:pPr>
      <w:r w:rsidRPr="00BA386B">
        <w:t>Como hemos podido comprobar, el supuesto de hecho que contempla es la existencia de un contrato de obra que se ha debido resolver antes de su finalización. Por motivos de seguridad o para evitar la ruina de lo construido, el órgano de contratación podrá acordar de forma urgente que las obras sean continuadas por otro empresario o por la propia Administración desde el momento en que haya notificado al contratista la liquidación de las obras ejecutadas. Por tanto, este es un supuesto excepcional en el que, a pesar de haberse extinguido el contrato de obras por resolución, las prestaciones que constituyen su objeto han de ser ejecutadas de forma inmediata por la propia Administración o por un tercero. No puede caber ninguna duda de que tales prestaciones deben ejecutarse conforme al proyecto de obras que se aprobó en</w:t>
      </w:r>
      <w:r>
        <w:t xml:space="preserve"> su día.</w:t>
      </w:r>
    </w:p>
    <w:p w:rsidR="00BA386B" w:rsidRPr="00BA386B" w:rsidRDefault="00BA386B" w:rsidP="00FC204B">
      <w:pPr>
        <w:pStyle w:val="Prrafodelista"/>
        <w:spacing w:after="0" w:line="240" w:lineRule="auto"/>
        <w:ind w:right="-2"/>
        <w:jc w:val="both"/>
      </w:pPr>
    </w:p>
    <w:p w:rsidR="00BA386B" w:rsidRDefault="00BA386B" w:rsidP="00FC204B">
      <w:pPr>
        <w:pStyle w:val="Prrafodelista"/>
        <w:spacing w:after="0" w:line="240" w:lineRule="auto"/>
        <w:ind w:right="-2"/>
        <w:jc w:val="both"/>
      </w:pPr>
      <w:r w:rsidRPr="00BA386B">
        <w:t>En esta situación excepcional los contratos complementarios de redacción de proyecto y dirección de obras a que alude la consulta no pueden, a juicio de esta Junta Consultiva, extinguirse de forma automática</w:t>
      </w:r>
      <w:r>
        <w:rPr>
          <w:rFonts w:ascii="Calibri" w:hAnsi="Calibri" w:cs="Calibri"/>
        </w:rPr>
        <w:t>»</w:t>
      </w:r>
      <w:r w:rsidRPr="00BA386B">
        <w:t>.</w:t>
      </w:r>
    </w:p>
    <w:p w:rsidR="004E3A0C" w:rsidRDefault="004E3A0C" w:rsidP="00FC204B">
      <w:pPr>
        <w:pStyle w:val="Prrafodelista"/>
        <w:spacing w:after="0" w:line="240" w:lineRule="auto"/>
        <w:ind w:right="-2"/>
        <w:jc w:val="both"/>
      </w:pPr>
    </w:p>
    <w:p w:rsidR="004E3A0C" w:rsidRDefault="004E3A0C" w:rsidP="00FC204B">
      <w:pPr>
        <w:pStyle w:val="Prrafodelista"/>
        <w:spacing w:after="0" w:line="240" w:lineRule="auto"/>
        <w:ind w:right="-2"/>
        <w:jc w:val="both"/>
      </w:pPr>
      <w:r>
        <w:t xml:space="preserve">En realidad, la clave de la excepcionalidad radica en que, como se indica en el propio Dictamen, </w:t>
      </w:r>
      <w:r w:rsidRPr="004E3A0C">
        <w:t>«[…]conforme a la doctrina del Consejo de Estado la causa que motiva la resolución del contrato complementario con carácter general es la inexistencia de la tarea a la que asistir técnicamente. En este tipo de supuestos tal tarea sigue existiendo prácticamente sin solución de continuidad, una vez producida la resolución».</w:t>
      </w:r>
    </w:p>
    <w:p w:rsidR="00213582" w:rsidRDefault="00213582" w:rsidP="00FC204B">
      <w:pPr>
        <w:pStyle w:val="Prrafodelista"/>
        <w:spacing w:after="0" w:line="240" w:lineRule="auto"/>
        <w:ind w:right="-2"/>
        <w:jc w:val="both"/>
      </w:pPr>
    </w:p>
    <w:p w:rsidR="00213582" w:rsidRDefault="00213582" w:rsidP="00FC204B">
      <w:pPr>
        <w:pStyle w:val="Prrafodelista"/>
        <w:spacing w:after="0" w:line="240" w:lineRule="auto"/>
        <w:ind w:right="-2"/>
        <w:jc w:val="both"/>
      </w:pPr>
    </w:p>
    <w:p w:rsidR="00213582" w:rsidRPr="00B13A9B" w:rsidRDefault="00213582" w:rsidP="00FC204B">
      <w:pPr>
        <w:spacing w:after="0" w:line="240" w:lineRule="auto"/>
        <w:ind w:right="-2"/>
        <w:contextualSpacing/>
        <w:jc w:val="center"/>
        <w:rPr>
          <w:b/>
        </w:rPr>
      </w:pPr>
      <w:r w:rsidRPr="00B13A9B">
        <w:rPr>
          <w:b/>
        </w:rPr>
        <w:t>III</w:t>
      </w:r>
    </w:p>
    <w:p w:rsidR="00FB3902" w:rsidRPr="00B13A9B" w:rsidRDefault="00FB3902" w:rsidP="00FC204B">
      <w:pPr>
        <w:spacing w:after="0" w:line="240" w:lineRule="auto"/>
        <w:ind w:right="-2"/>
        <w:contextualSpacing/>
        <w:jc w:val="center"/>
        <w:rPr>
          <w:b/>
        </w:rPr>
      </w:pPr>
      <w:r w:rsidRPr="00B13A9B">
        <w:rPr>
          <w:b/>
        </w:rPr>
        <w:t>La tramitación de las incidencias en los contratos complementarios vigentes</w:t>
      </w:r>
    </w:p>
    <w:p w:rsidR="00213582" w:rsidRPr="00B13A9B" w:rsidRDefault="00FB3902" w:rsidP="00FC204B">
      <w:pPr>
        <w:spacing w:after="0" w:line="240" w:lineRule="auto"/>
        <w:ind w:right="-2"/>
        <w:contextualSpacing/>
        <w:jc w:val="center"/>
        <w:rPr>
          <w:b/>
        </w:rPr>
      </w:pPr>
      <w:r w:rsidRPr="00B13A9B">
        <w:rPr>
          <w:b/>
        </w:rPr>
        <w:t>Regulación normativa y expediente administrativo</w:t>
      </w:r>
    </w:p>
    <w:p w:rsidR="00FB3902" w:rsidRPr="00B13A9B" w:rsidRDefault="00FB3902" w:rsidP="00FC204B">
      <w:pPr>
        <w:spacing w:after="0" w:line="240" w:lineRule="auto"/>
        <w:ind w:right="-2"/>
        <w:contextualSpacing/>
        <w:jc w:val="center"/>
        <w:rPr>
          <w:b/>
        </w:rPr>
      </w:pPr>
    </w:p>
    <w:p w:rsidR="00D14A3B" w:rsidRPr="00B13A9B" w:rsidRDefault="00FB3902" w:rsidP="00FC204B">
      <w:pPr>
        <w:spacing w:after="0" w:line="240" w:lineRule="auto"/>
        <w:ind w:right="-2"/>
        <w:contextualSpacing/>
        <w:jc w:val="both"/>
      </w:pPr>
      <w:r w:rsidRPr="00B13A9B">
        <w:t>Una vez examinados l</w:t>
      </w:r>
      <w:r w:rsidR="00105743" w:rsidRPr="00B13A9B">
        <w:t>as</w:t>
      </w:r>
      <w:r w:rsidRPr="00B13A9B">
        <w:t xml:space="preserve"> incidencias de los contratos de obras principales que pueden afectar al objeto y vigencia de los contratos de servicios accesorios, queda por hacer una breve referencia, atendiendo a la consulta planteada, sobre el expediente administrativo del contrato de servicios</w:t>
      </w:r>
      <w:r w:rsidR="00D14A3B" w:rsidRPr="00B13A9B">
        <w:t>, tanto en su aspecto contractual como contable.</w:t>
      </w:r>
    </w:p>
    <w:p w:rsidR="00D14A3B" w:rsidRPr="00B13A9B" w:rsidRDefault="00D14A3B" w:rsidP="00FC204B">
      <w:pPr>
        <w:spacing w:after="0" w:line="240" w:lineRule="auto"/>
        <w:ind w:right="-2"/>
        <w:contextualSpacing/>
        <w:jc w:val="both"/>
      </w:pPr>
    </w:p>
    <w:p w:rsidR="00D14A3B" w:rsidRPr="00B13A9B" w:rsidRDefault="00D14A3B" w:rsidP="00FC204B">
      <w:pPr>
        <w:spacing w:after="0" w:line="240" w:lineRule="auto"/>
        <w:ind w:right="-2"/>
        <w:contextualSpacing/>
        <w:jc w:val="both"/>
      </w:pPr>
      <w:r w:rsidRPr="00B13A9B">
        <w:t xml:space="preserve">El contrato de servicios, como todo contrato público, se rige por la normativa vigente en el momento de suscribirse y por </w:t>
      </w:r>
      <w:r w:rsidR="00F672AC" w:rsidRPr="00B13A9B">
        <w:t>sus</w:t>
      </w:r>
      <w:r w:rsidRPr="00B13A9B">
        <w:t xml:space="preserve"> pliegos </w:t>
      </w:r>
      <w:r w:rsidR="00F672AC" w:rsidRPr="00B13A9B">
        <w:t xml:space="preserve">de cláusulas </w:t>
      </w:r>
      <w:r w:rsidRPr="00B13A9B">
        <w:t>administrativ</w:t>
      </w:r>
      <w:r w:rsidR="00F672AC" w:rsidRPr="00B13A9B">
        <w:t>a</w:t>
      </w:r>
      <w:r w:rsidRPr="00B13A9B">
        <w:t>s particulares.</w:t>
      </w:r>
    </w:p>
    <w:p w:rsidR="0054504F" w:rsidRPr="00B13A9B" w:rsidRDefault="0054504F" w:rsidP="00FC204B">
      <w:pPr>
        <w:spacing w:after="0" w:line="240" w:lineRule="auto"/>
        <w:ind w:right="-2"/>
        <w:contextualSpacing/>
        <w:jc w:val="both"/>
      </w:pPr>
    </w:p>
    <w:p w:rsidR="0054504F" w:rsidRPr="00B13A9B" w:rsidRDefault="0054504F" w:rsidP="00FC204B">
      <w:pPr>
        <w:spacing w:after="0" w:line="240" w:lineRule="auto"/>
        <w:ind w:right="-2"/>
        <w:contextualSpacing/>
        <w:jc w:val="both"/>
      </w:pPr>
      <w:r w:rsidRPr="00B13A9B">
        <w:t>De esta forma, el órgano de contratación debe incluir en el pliego todas aquellas circunstancias que</w:t>
      </w:r>
      <w:r w:rsidR="008E4D2D" w:rsidRPr="00B13A9B">
        <w:t>,</w:t>
      </w:r>
      <w:r w:rsidRPr="00B13A9B">
        <w:t xml:space="preserve"> respetando los principios generales de la normativa contractual</w:t>
      </w:r>
      <w:r w:rsidR="008E4D2D" w:rsidRPr="00B13A9B">
        <w:t>,</w:t>
      </w:r>
      <w:r w:rsidRPr="00B13A9B">
        <w:t xml:space="preserve"> permitan hacer frente a aquellas incidencias que puedan alterar el normal desenvolvimiento de la ejecución del contrato. </w:t>
      </w:r>
      <w:r w:rsidR="00AA0C3E" w:rsidRPr="00B13A9B">
        <w:t>En caso de no re</w:t>
      </w:r>
      <w:r w:rsidR="008E4D2D" w:rsidRPr="00B13A9B">
        <w:t>coger</w:t>
      </w:r>
      <w:r w:rsidR="00AA0C3E" w:rsidRPr="00B13A9B">
        <w:t xml:space="preserve"> en los pliegos de cl</w:t>
      </w:r>
      <w:r w:rsidR="008E4D2D" w:rsidRPr="00B13A9B">
        <w:t>á</w:t>
      </w:r>
      <w:r w:rsidR="00AA0C3E" w:rsidRPr="00B13A9B">
        <w:t>usulas adm</w:t>
      </w:r>
      <w:r w:rsidR="008E4D2D" w:rsidRPr="00B13A9B">
        <w:t>i</w:t>
      </w:r>
      <w:r w:rsidR="00AA0C3E" w:rsidRPr="00B13A9B">
        <w:t>nistrativas particulares las incidencias y sus efectos, solo podrán ap</w:t>
      </w:r>
      <w:r w:rsidR="008E4D2D" w:rsidRPr="00B13A9B">
        <w:t>l</w:t>
      </w:r>
      <w:r w:rsidR="00AA0C3E" w:rsidRPr="00B13A9B">
        <w:t>icarse aquellas reg</w:t>
      </w:r>
      <w:r w:rsidR="008E4D2D" w:rsidRPr="00B13A9B">
        <w:t xml:space="preserve">uladas por la normativa </w:t>
      </w:r>
      <w:r w:rsidR="00DA75FD" w:rsidRPr="00B13A9B">
        <w:t>que rige</w:t>
      </w:r>
      <w:r w:rsidR="008E4D2D" w:rsidRPr="00B13A9B">
        <w:t xml:space="preserve"> </w:t>
      </w:r>
      <w:r w:rsidR="00DA75FD" w:rsidRPr="00B13A9B">
        <w:t>e</w:t>
      </w:r>
      <w:r w:rsidR="008E4D2D" w:rsidRPr="00B13A9B">
        <w:t>l contrato.</w:t>
      </w:r>
    </w:p>
    <w:p w:rsidR="008E4D2D" w:rsidRPr="00B13A9B" w:rsidRDefault="008E4D2D" w:rsidP="00FC204B">
      <w:pPr>
        <w:spacing w:after="0" w:line="240" w:lineRule="auto"/>
        <w:ind w:right="-2"/>
        <w:contextualSpacing/>
        <w:jc w:val="both"/>
      </w:pPr>
    </w:p>
    <w:p w:rsidR="008E4D2D" w:rsidRPr="00B13A9B" w:rsidRDefault="008E4D2D" w:rsidP="00FC204B">
      <w:pPr>
        <w:spacing w:after="0" w:line="240" w:lineRule="auto"/>
        <w:ind w:right="-2"/>
        <w:contextualSpacing/>
        <w:jc w:val="both"/>
      </w:pPr>
      <w:r w:rsidRPr="00B13A9B">
        <w:t>En cuanto a qué cláusulas deb</w:t>
      </w:r>
      <w:r w:rsidR="00E97D27" w:rsidRPr="00B13A9B">
        <w:t>a</w:t>
      </w:r>
      <w:r w:rsidRPr="00B13A9B">
        <w:t xml:space="preserve">n incluirse, </w:t>
      </w:r>
      <w:r w:rsidR="00E97D27" w:rsidRPr="00B13A9B">
        <w:t xml:space="preserve">los modelos tipo recomendados por la Junta Consultiva de Contratación Administrativa de la Comunidad de Madrid </w:t>
      </w:r>
      <w:r w:rsidR="00400414" w:rsidRPr="00B13A9B">
        <w:t xml:space="preserve">se encuentran </w:t>
      </w:r>
      <w:r w:rsidR="00E97D27" w:rsidRPr="00B13A9B">
        <w:t>en el Portal de la Contratación Pública de su página web</w:t>
      </w:r>
      <w:r w:rsidR="00E97D27" w:rsidRPr="00B13A9B">
        <w:rPr>
          <w:rStyle w:val="Refdenotaalpie"/>
        </w:rPr>
        <w:footnoteReference w:id="11"/>
      </w:r>
      <w:r w:rsidR="003E302D" w:rsidRPr="00B13A9B">
        <w:t xml:space="preserve">, </w:t>
      </w:r>
      <w:r w:rsidR="00400414" w:rsidRPr="00B13A9B">
        <w:t xml:space="preserve">pudiendo añadir el órgano de contratación, atendiendo a sus necesidades específicas, cualquier otra cláusula que no siendo contraria a las </w:t>
      </w:r>
      <w:r w:rsidR="00400414" w:rsidRPr="00B13A9B">
        <w:lastRenderedPageBreak/>
        <w:t>leyes permit</w:t>
      </w:r>
      <w:r w:rsidR="009841F6" w:rsidRPr="00B13A9B">
        <w:t>a</w:t>
      </w:r>
      <w:r w:rsidR="00400414" w:rsidRPr="00B13A9B">
        <w:t xml:space="preserve"> adecuar el objeto y demás circunstancias del contrato de servicios a las que experimente el contrato de obras con el que está vinculado.</w:t>
      </w:r>
    </w:p>
    <w:p w:rsidR="00D14A3B" w:rsidRPr="00B13A9B" w:rsidRDefault="00D14A3B" w:rsidP="00FC204B">
      <w:pPr>
        <w:spacing w:after="0" w:line="240" w:lineRule="auto"/>
        <w:ind w:right="-2"/>
        <w:contextualSpacing/>
        <w:jc w:val="both"/>
      </w:pPr>
    </w:p>
    <w:p w:rsidR="00D14A3B" w:rsidRDefault="00F32A87" w:rsidP="00FC204B">
      <w:pPr>
        <w:spacing w:after="0" w:line="240" w:lineRule="auto"/>
        <w:ind w:right="-2"/>
        <w:contextualSpacing/>
        <w:jc w:val="both"/>
      </w:pPr>
      <w:r w:rsidRPr="00B13A9B">
        <w:t xml:space="preserve">A la pregunta de en qué momento debe efectuarse la tramitación del expediente (administrativo y contable), solo puede responderse que deberá efectuarse en cuanto se detecte </w:t>
      </w:r>
      <w:r w:rsidR="009841F6" w:rsidRPr="00B13A9B">
        <w:t>la</w:t>
      </w:r>
      <w:r w:rsidRPr="00B13A9B">
        <w:t xml:space="preserve"> incidencia que da lugar de la modificación, ampliación, prórroga, suspensión o resolución</w:t>
      </w:r>
      <w:r w:rsidR="009841F6" w:rsidRPr="00B13A9B">
        <w:t xml:space="preserve"> del contrato de servicios, lo que</w:t>
      </w:r>
      <w:r w:rsidR="009C7F85" w:rsidRPr="00B13A9B">
        <w:t xml:space="preserve"> normalmente tendrá </w:t>
      </w:r>
      <w:r w:rsidR="009841F6" w:rsidRPr="00B13A9B">
        <w:t xml:space="preserve">lugar en el mismo momento en que se tramita el correspondiente expediente administrativo </w:t>
      </w:r>
      <w:r w:rsidR="009C7F85" w:rsidRPr="00B13A9B">
        <w:t xml:space="preserve">de la incidencia </w:t>
      </w:r>
      <w:r w:rsidR="009841F6" w:rsidRPr="00B13A9B">
        <w:t xml:space="preserve">del contrato de obras </w:t>
      </w:r>
      <w:r w:rsidR="009C7F85" w:rsidRPr="00B13A9B">
        <w:t xml:space="preserve">pero excepcionalmente también puede producirse en otro </w:t>
      </w:r>
      <w:r w:rsidR="009841F6" w:rsidRPr="00B13A9B">
        <w:t>momento</w:t>
      </w:r>
      <w:r w:rsidR="009841F6" w:rsidRPr="00B13A9B">
        <w:rPr>
          <w:rStyle w:val="Refdenotaalpie"/>
        </w:rPr>
        <w:footnoteReference w:id="12"/>
      </w:r>
      <w:r w:rsidR="009841F6" w:rsidRPr="00B13A9B">
        <w:t>.</w:t>
      </w:r>
    </w:p>
    <w:p w:rsidR="00D14A3B" w:rsidRDefault="00D14A3B" w:rsidP="00FC204B">
      <w:pPr>
        <w:spacing w:after="0" w:line="240" w:lineRule="auto"/>
        <w:ind w:right="-2"/>
        <w:contextualSpacing/>
        <w:jc w:val="both"/>
      </w:pPr>
    </w:p>
    <w:p w:rsidR="00FB3902" w:rsidRPr="00FB3902" w:rsidRDefault="00FB3902" w:rsidP="00FC204B">
      <w:pPr>
        <w:spacing w:after="0" w:line="240" w:lineRule="auto"/>
        <w:ind w:right="-2"/>
        <w:contextualSpacing/>
        <w:jc w:val="both"/>
      </w:pPr>
      <w:r>
        <w:t xml:space="preserve"> </w:t>
      </w:r>
    </w:p>
    <w:p w:rsidR="00436907" w:rsidRDefault="00436907" w:rsidP="00FC204B">
      <w:pPr>
        <w:pStyle w:val="Prrafodelista"/>
        <w:spacing w:after="0" w:line="240" w:lineRule="auto"/>
        <w:ind w:left="0" w:right="-2"/>
        <w:jc w:val="both"/>
        <w:rPr>
          <w:rFonts w:cs="Arial"/>
        </w:rPr>
      </w:pPr>
      <w:r>
        <w:rPr>
          <w:rFonts w:cs="Arial"/>
        </w:rPr>
        <w:t xml:space="preserve">Con base en lo expuesto en las anteriores consideraciones esta Intervención General formula las siguientes </w:t>
      </w:r>
    </w:p>
    <w:p w:rsidR="00436907" w:rsidRDefault="00436907" w:rsidP="00FC204B">
      <w:pPr>
        <w:pStyle w:val="Prrafodelista"/>
        <w:spacing w:after="0" w:line="240" w:lineRule="auto"/>
        <w:ind w:left="0" w:right="-2"/>
        <w:jc w:val="both"/>
        <w:rPr>
          <w:rFonts w:cs="Arial"/>
        </w:rPr>
      </w:pPr>
    </w:p>
    <w:p w:rsidR="00436907" w:rsidRDefault="00436907" w:rsidP="00FC204B">
      <w:pPr>
        <w:pStyle w:val="Prrafodelista"/>
        <w:spacing w:after="0" w:line="240" w:lineRule="auto"/>
        <w:ind w:left="0" w:right="-2"/>
        <w:jc w:val="both"/>
        <w:rPr>
          <w:rFonts w:cs="Arial"/>
        </w:rPr>
      </w:pPr>
    </w:p>
    <w:p w:rsidR="00436907" w:rsidRPr="00DC1452" w:rsidRDefault="00436907" w:rsidP="00FC204B">
      <w:pPr>
        <w:spacing w:after="0" w:line="240" w:lineRule="auto"/>
        <w:ind w:right="-2"/>
        <w:contextualSpacing/>
        <w:jc w:val="center"/>
        <w:rPr>
          <w:b/>
        </w:rPr>
      </w:pPr>
      <w:r w:rsidRPr="00DC1452">
        <w:rPr>
          <w:b/>
        </w:rPr>
        <w:t>CONCLUSIONES</w:t>
      </w:r>
    </w:p>
    <w:p w:rsidR="00436907" w:rsidRDefault="00436907" w:rsidP="00FC204B">
      <w:pPr>
        <w:pStyle w:val="Prrafodelista"/>
        <w:spacing w:after="0" w:line="240" w:lineRule="auto"/>
        <w:ind w:left="0" w:right="-2"/>
        <w:jc w:val="both"/>
        <w:rPr>
          <w:rFonts w:cs="Arial"/>
        </w:rPr>
      </w:pPr>
    </w:p>
    <w:p w:rsidR="00436907" w:rsidRDefault="00436907" w:rsidP="00FC204B">
      <w:pPr>
        <w:pStyle w:val="Prrafodelista"/>
        <w:numPr>
          <w:ilvl w:val="0"/>
          <w:numId w:val="28"/>
        </w:numPr>
        <w:spacing w:after="0" w:line="240" w:lineRule="auto"/>
        <w:ind w:right="-2"/>
        <w:jc w:val="both"/>
        <w:rPr>
          <w:rFonts w:cs="Arial"/>
        </w:rPr>
      </w:pPr>
      <w:r>
        <w:rPr>
          <w:rFonts w:cs="Arial"/>
        </w:rPr>
        <w:t xml:space="preserve">Los </w:t>
      </w:r>
      <w:r w:rsidR="00751636">
        <w:rPr>
          <w:rFonts w:cs="Arial"/>
        </w:rPr>
        <w:t>contratos de servicios accesorios de los contratos de obra</w:t>
      </w:r>
      <w:r w:rsidR="004352BA">
        <w:rPr>
          <w:rFonts w:cs="Arial"/>
        </w:rPr>
        <w:t>s</w:t>
      </w:r>
      <w:r w:rsidR="00751636">
        <w:rPr>
          <w:rFonts w:cs="Arial"/>
        </w:rPr>
        <w:t xml:space="preserve">, están vinculados pero son independientes de ellos, por lo que deberá estarse a los pliegos que rigen su ejecución y a la normativa de esta modalidad contractual para determinar su contenido y </w:t>
      </w:r>
      <w:r w:rsidR="00881369">
        <w:rPr>
          <w:rFonts w:cs="Arial"/>
        </w:rPr>
        <w:t>alcance</w:t>
      </w:r>
      <w:r w:rsidR="00751636">
        <w:rPr>
          <w:rFonts w:cs="Arial"/>
        </w:rPr>
        <w:t>.</w:t>
      </w:r>
    </w:p>
    <w:p w:rsidR="00543C14" w:rsidRDefault="00543C14" w:rsidP="00FC204B">
      <w:pPr>
        <w:pStyle w:val="Prrafodelista"/>
        <w:spacing w:after="0" w:line="240" w:lineRule="auto"/>
        <w:ind w:left="0" w:right="-2"/>
        <w:jc w:val="both"/>
        <w:rPr>
          <w:rFonts w:cs="Arial"/>
        </w:rPr>
      </w:pPr>
    </w:p>
    <w:p w:rsidR="00751636" w:rsidRDefault="00751636" w:rsidP="00FC204B">
      <w:pPr>
        <w:pStyle w:val="Prrafodelista"/>
        <w:numPr>
          <w:ilvl w:val="0"/>
          <w:numId w:val="28"/>
        </w:numPr>
        <w:spacing w:after="0" w:line="240" w:lineRule="auto"/>
        <w:ind w:right="-2"/>
        <w:jc w:val="both"/>
        <w:rPr>
          <w:rFonts w:cs="Arial"/>
        </w:rPr>
      </w:pPr>
      <w:r>
        <w:rPr>
          <w:rFonts w:cs="Arial"/>
        </w:rPr>
        <w:t>Las consecuencias que sobre los contratos de servicios complementarios de los contratos de obras tengan la modificación, ampliación o prórroga, suspensión o resolución del contrato principal depende del caso concreto, debiendo una vez producida la incidencia en el contrato de obra principal</w:t>
      </w:r>
      <w:r w:rsidR="001E4F15">
        <w:rPr>
          <w:rFonts w:cs="Arial"/>
        </w:rPr>
        <w:t xml:space="preserve"> establecer </w:t>
      </w:r>
      <w:r>
        <w:rPr>
          <w:rFonts w:cs="Arial"/>
        </w:rPr>
        <w:t xml:space="preserve">las consecuencias </w:t>
      </w:r>
      <w:r w:rsidR="001E4F15">
        <w:rPr>
          <w:rFonts w:cs="Arial"/>
        </w:rPr>
        <w:t>en el contrato de servicios accesorio atendiendo a sus pliegos y normativa específica</w:t>
      </w:r>
      <w:r>
        <w:rPr>
          <w:rFonts w:cs="Arial"/>
        </w:rPr>
        <w:t>.</w:t>
      </w:r>
    </w:p>
    <w:p w:rsidR="00543C14" w:rsidRPr="00543C14" w:rsidRDefault="00543C14" w:rsidP="00FC204B">
      <w:pPr>
        <w:spacing w:after="0" w:line="240" w:lineRule="auto"/>
        <w:ind w:right="-2"/>
        <w:jc w:val="both"/>
        <w:rPr>
          <w:rFonts w:cs="Arial"/>
        </w:rPr>
      </w:pPr>
    </w:p>
    <w:p w:rsidR="00751636" w:rsidRDefault="001E4F15" w:rsidP="00FC204B">
      <w:pPr>
        <w:pStyle w:val="Prrafodelista"/>
        <w:numPr>
          <w:ilvl w:val="0"/>
          <w:numId w:val="28"/>
        </w:numPr>
        <w:spacing w:after="0" w:line="240" w:lineRule="auto"/>
        <w:ind w:right="-2"/>
        <w:jc w:val="both"/>
        <w:rPr>
          <w:rFonts w:cs="Arial"/>
        </w:rPr>
      </w:pPr>
      <w:r>
        <w:rPr>
          <w:rFonts w:cs="Arial"/>
        </w:rPr>
        <w:t>De afectar la incidencia del contrato principal al accesorio, deberá efectuarse la tramitación administrativa (incluida</w:t>
      </w:r>
      <w:r w:rsidR="0073631E">
        <w:rPr>
          <w:rFonts w:cs="Arial"/>
        </w:rPr>
        <w:t>, si procede,</w:t>
      </w:r>
      <w:r>
        <w:rPr>
          <w:rFonts w:cs="Arial"/>
        </w:rPr>
        <w:t xml:space="preserve"> la contable) que acredite la circunstancia y sus efectos en el contrato vinculado.</w:t>
      </w:r>
    </w:p>
    <w:p w:rsidR="00543C14" w:rsidRPr="00543C14" w:rsidRDefault="00543C14" w:rsidP="00FC204B">
      <w:pPr>
        <w:spacing w:after="0" w:line="240" w:lineRule="auto"/>
        <w:ind w:right="-2"/>
        <w:jc w:val="both"/>
        <w:rPr>
          <w:rFonts w:cs="Arial"/>
        </w:rPr>
      </w:pPr>
    </w:p>
    <w:p w:rsidR="001E4F15" w:rsidRDefault="001E4F15" w:rsidP="00FC204B">
      <w:pPr>
        <w:pStyle w:val="Prrafodelista"/>
        <w:numPr>
          <w:ilvl w:val="0"/>
          <w:numId w:val="28"/>
        </w:numPr>
        <w:spacing w:after="0" w:line="240" w:lineRule="auto"/>
        <w:ind w:right="-2"/>
        <w:jc w:val="both"/>
        <w:rPr>
          <w:rFonts w:cs="Arial"/>
        </w:rPr>
      </w:pPr>
      <w:r>
        <w:rPr>
          <w:rFonts w:cs="Arial"/>
        </w:rPr>
        <w:t xml:space="preserve">En los pliegos de los contratos accesorios deberán incluirse aquellas cláusulas que el órgano de contratación considere necesarias para hacer frente a las </w:t>
      </w:r>
      <w:r w:rsidR="009A7DD8">
        <w:rPr>
          <w:rFonts w:cs="Arial"/>
        </w:rPr>
        <w:t xml:space="preserve">incidencias que previsiblemente puedan producirse en la ejecución (estén o no vinculadas al contrato de obras principal), que no sean redundantes respecto de la normativa que rige la ejecución del contrato y que incidan en la mejora de la eficacia administrativa. </w:t>
      </w:r>
    </w:p>
    <w:p w:rsidR="00F37B1D" w:rsidRDefault="00F37B1D" w:rsidP="00FC204B">
      <w:pPr>
        <w:spacing w:after="0" w:line="240" w:lineRule="auto"/>
        <w:ind w:right="-2"/>
        <w:jc w:val="both"/>
        <w:rPr>
          <w:rFonts w:cs="Arial"/>
        </w:rPr>
      </w:pPr>
    </w:p>
    <w:sectPr w:rsidR="00F37B1D" w:rsidSect="00FC204B">
      <w:headerReference w:type="default" r:id="rId8"/>
      <w:footerReference w:type="default" r:id="rId9"/>
      <w:pgSz w:w="11906" w:h="16838"/>
      <w:pgMar w:top="1418" w:right="1133"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197" w:rsidRDefault="00C55197" w:rsidP="00A8485C">
      <w:pPr>
        <w:spacing w:after="0" w:line="240" w:lineRule="auto"/>
      </w:pPr>
      <w:r>
        <w:separator/>
      </w:r>
    </w:p>
  </w:endnote>
  <w:endnote w:type="continuationSeparator" w:id="0">
    <w:p w:rsidR="00C55197" w:rsidRDefault="00C55197" w:rsidP="00A84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BookmanOld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3812001"/>
      <w:docPartObj>
        <w:docPartGallery w:val="Page Numbers (Bottom of Page)"/>
        <w:docPartUnique/>
      </w:docPartObj>
    </w:sdtPr>
    <w:sdtEndPr>
      <w:rPr>
        <w:sz w:val="16"/>
        <w:szCs w:val="16"/>
      </w:rPr>
    </w:sdtEndPr>
    <w:sdtContent>
      <w:p w:rsidR="00692912" w:rsidRPr="00FC204B" w:rsidRDefault="00692912">
        <w:pPr>
          <w:pStyle w:val="Piedepgina"/>
          <w:jc w:val="right"/>
          <w:rPr>
            <w:sz w:val="16"/>
            <w:szCs w:val="16"/>
          </w:rPr>
        </w:pPr>
        <w:r w:rsidRPr="00FC204B">
          <w:rPr>
            <w:sz w:val="16"/>
            <w:szCs w:val="16"/>
          </w:rPr>
          <w:fldChar w:fldCharType="begin"/>
        </w:r>
        <w:r w:rsidRPr="00FC204B">
          <w:rPr>
            <w:sz w:val="16"/>
            <w:szCs w:val="16"/>
          </w:rPr>
          <w:instrText xml:space="preserve"> PAGE   \* MERGEFORMAT </w:instrText>
        </w:r>
        <w:r w:rsidRPr="00FC204B">
          <w:rPr>
            <w:sz w:val="16"/>
            <w:szCs w:val="16"/>
          </w:rPr>
          <w:fldChar w:fldCharType="separate"/>
        </w:r>
        <w:r w:rsidR="00AF3499">
          <w:rPr>
            <w:noProof/>
            <w:sz w:val="16"/>
            <w:szCs w:val="16"/>
          </w:rPr>
          <w:t>10</w:t>
        </w:r>
        <w:r w:rsidRPr="00FC204B">
          <w:rPr>
            <w:noProof/>
            <w:sz w:val="16"/>
            <w:szCs w:val="16"/>
          </w:rPr>
          <w:fldChar w:fldCharType="end"/>
        </w:r>
      </w:p>
    </w:sdtContent>
  </w:sdt>
  <w:p w:rsidR="00692912" w:rsidRDefault="006929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197" w:rsidRDefault="00C55197" w:rsidP="00A8485C">
      <w:pPr>
        <w:spacing w:after="0" w:line="240" w:lineRule="auto"/>
      </w:pPr>
      <w:r>
        <w:separator/>
      </w:r>
    </w:p>
  </w:footnote>
  <w:footnote w:type="continuationSeparator" w:id="0">
    <w:p w:rsidR="00C55197" w:rsidRDefault="00C55197" w:rsidP="00A8485C">
      <w:pPr>
        <w:spacing w:after="0" w:line="240" w:lineRule="auto"/>
      </w:pPr>
      <w:r>
        <w:continuationSeparator/>
      </w:r>
    </w:p>
  </w:footnote>
  <w:footnote w:id="1">
    <w:p w:rsidR="0017741A" w:rsidRPr="0017741A" w:rsidRDefault="0017741A" w:rsidP="00FC204B">
      <w:pPr>
        <w:pStyle w:val="Textonotapie"/>
        <w:ind w:right="-143"/>
        <w:jc w:val="both"/>
        <w:rPr>
          <w:rFonts w:ascii="Arial" w:hAnsi="Arial" w:cs="Arial"/>
          <w:sz w:val="18"/>
          <w:szCs w:val="18"/>
        </w:rPr>
      </w:pPr>
      <w:r w:rsidRPr="0017741A">
        <w:rPr>
          <w:rStyle w:val="Refdenotaalpie"/>
          <w:rFonts w:ascii="Arial" w:hAnsi="Arial" w:cs="Arial"/>
          <w:sz w:val="18"/>
          <w:szCs w:val="18"/>
        </w:rPr>
        <w:footnoteRef/>
      </w:r>
      <w:r>
        <w:t xml:space="preserve"> </w:t>
      </w:r>
      <w:r w:rsidRPr="0017741A">
        <w:rPr>
          <w:rFonts w:ascii="Arial" w:hAnsi="Arial" w:cs="Arial"/>
          <w:sz w:val="18"/>
          <w:szCs w:val="18"/>
        </w:rPr>
        <w:t xml:space="preserve">Memoria del año 2017. Segunda parte: </w:t>
      </w:r>
      <w:r w:rsidR="007627FD">
        <w:rPr>
          <w:rFonts w:ascii="Arial" w:hAnsi="Arial" w:cs="Arial"/>
          <w:sz w:val="18"/>
          <w:szCs w:val="18"/>
        </w:rPr>
        <w:t>O</w:t>
      </w:r>
      <w:r w:rsidRPr="007627FD">
        <w:rPr>
          <w:rFonts w:ascii="Arial" w:hAnsi="Arial" w:cs="Arial"/>
          <w:i/>
          <w:sz w:val="18"/>
          <w:szCs w:val="18"/>
        </w:rPr>
        <w:t>bservaciones y sugerencias</w:t>
      </w:r>
      <w:r w:rsidRPr="0017741A">
        <w:rPr>
          <w:rFonts w:ascii="Arial" w:hAnsi="Arial" w:cs="Arial"/>
          <w:sz w:val="18"/>
          <w:szCs w:val="18"/>
        </w:rPr>
        <w:t xml:space="preserve">. Punto V. </w:t>
      </w:r>
      <w:r w:rsidRPr="007627FD">
        <w:rPr>
          <w:rFonts w:ascii="Arial" w:hAnsi="Arial" w:cs="Arial"/>
          <w:i/>
          <w:sz w:val="18"/>
          <w:szCs w:val="18"/>
        </w:rPr>
        <w:t>Sobre contratación administrativa</w:t>
      </w:r>
      <w:r w:rsidRPr="0017741A">
        <w:rPr>
          <w:rFonts w:ascii="Arial" w:hAnsi="Arial" w:cs="Arial"/>
          <w:sz w:val="18"/>
          <w:szCs w:val="18"/>
        </w:rPr>
        <w:t>.</w:t>
      </w:r>
      <w:r w:rsidR="007627FD">
        <w:rPr>
          <w:rFonts w:ascii="Arial" w:hAnsi="Arial" w:cs="Arial"/>
          <w:sz w:val="18"/>
          <w:szCs w:val="18"/>
        </w:rPr>
        <w:t xml:space="preserve"> Apartado e) </w:t>
      </w:r>
      <w:r w:rsidR="007627FD" w:rsidRPr="007627FD">
        <w:rPr>
          <w:rFonts w:ascii="Arial" w:hAnsi="Arial" w:cs="Arial"/>
          <w:i/>
          <w:sz w:val="18"/>
          <w:szCs w:val="18"/>
        </w:rPr>
        <w:t>Sobre el concepto de contrato complementario</w:t>
      </w:r>
      <w:r w:rsidR="007627FD">
        <w:rPr>
          <w:rFonts w:ascii="Arial" w:hAnsi="Arial" w:cs="Arial"/>
          <w:sz w:val="18"/>
          <w:szCs w:val="18"/>
        </w:rPr>
        <w:t>.</w:t>
      </w:r>
    </w:p>
    <w:p w:rsidR="0017741A" w:rsidRDefault="0017741A">
      <w:pPr>
        <w:pStyle w:val="Textonotapie"/>
      </w:pPr>
    </w:p>
  </w:footnote>
  <w:footnote w:id="2">
    <w:p w:rsidR="00A34C4B" w:rsidRPr="00A34C4B" w:rsidRDefault="00A34C4B" w:rsidP="00FC204B">
      <w:pPr>
        <w:pStyle w:val="Textonotapie"/>
        <w:ind w:right="-143"/>
        <w:jc w:val="both"/>
        <w:rPr>
          <w:rFonts w:ascii="Arial" w:hAnsi="Arial" w:cs="Arial"/>
          <w:sz w:val="18"/>
          <w:szCs w:val="18"/>
        </w:rPr>
      </w:pPr>
      <w:r w:rsidRPr="00A34C4B">
        <w:rPr>
          <w:rStyle w:val="Refdenotaalpie"/>
          <w:rFonts w:ascii="Arial" w:hAnsi="Arial" w:cs="Arial"/>
          <w:sz w:val="18"/>
          <w:szCs w:val="18"/>
        </w:rPr>
        <w:footnoteRef/>
      </w:r>
      <w:r w:rsidRPr="00A34C4B">
        <w:rPr>
          <w:rFonts w:ascii="Arial" w:hAnsi="Arial" w:cs="Arial"/>
          <w:sz w:val="18"/>
          <w:szCs w:val="18"/>
        </w:rPr>
        <w:t xml:space="preserve"> Los artículos 310 y 311 del TRLCSP </w:t>
      </w:r>
      <w:r w:rsidR="009932B0">
        <w:rPr>
          <w:rFonts w:ascii="Arial" w:hAnsi="Arial" w:cs="Arial"/>
          <w:sz w:val="18"/>
          <w:szCs w:val="18"/>
        </w:rPr>
        <w:t>desarrollan</w:t>
      </w:r>
      <w:r w:rsidRPr="00A34C4B">
        <w:rPr>
          <w:rFonts w:ascii="Arial" w:hAnsi="Arial" w:cs="Arial"/>
          <w:sz w:val="18"/>
          <w:szCs w:val="18"/>
        </w:rPr>
        <w:t xml:space="preserve"> la subsanación de errores y corrección de deficiencias del contrato de servicios de elaboración íntegra de un proyecto de obra.</w:t>
      </w:r>
    </w:p>
  </w:footnote>
  <w:footnote w:id="3">
    <w:p w:rsidR="007C422D" w:rsidRDefault="007C422D" w:rsidP="00FC204B">
      <w:pPr>
        <w:pStyle w:val="Textonotapie"/>
        <w:ind w:right="-143"/>
        <w:jc w:val="both"/>
        <w:rPr>
          <w:rFonts w:ascii="Arial" w:hAnsi="Arial" w:cs="Arial"/>
          <w:sz w:val="18"/>
          <w:szCs w:val="18"/>
        </w:rPr>
      </w:pPr>
      <w:r w:rsidRPr="007C422D">
        <w:rPr>
          <w:rStyle w:val="Refdenotaalpie"/>
          <w:rFonts w:ascii="Arial" w:hAnsi="Arial" w:cs="Arial"/>
          <w:sz w:val="18"/>
          <w:szCs w:val="18"/>
        </w:rPr>
        <w:footnoteRef/>
      </w:r>
      <w:r w:rsidRPr="007C422D">
        <w:rPr>
          <w:rFonts w:ascii="Arial" w:hAnsi="Arial" w:cs="Arial"/>
          <w:sz w:val="18"/>
          <w:szCs w:val="18"/>
        </w:rPr>
        <w:t xml:space="preserve"> Interesante resulta a los efectos analizados el Informe 4/2001, de 4 de abril, de la Junta Consultiva de Contratación Administrativa de la Comunidad de Madrid, sobre la modificación contractual de los contratos menores. En sus conclusiones indica: </w:t>
      </w:r>
    </w:p>
    <w:p w:rsidR="007C422D" w:rsidRDefault="007C422D" w:rsidP="007C422D">
      <w:pPr>
        <w:pStyle w:val="Textonotapie"/>
        <w:ind w:right="-852"/>
        <w:jc w:val="both"/>
        <w:rPr>
          <w:rFonts w:ascii="Arial" w:hAnsi="Arial" w:cs="Arial"/>
          <w:sz w:val="18"/>
          <w:szCs w:val="18"/>
        </w:rPr>
      </w:pPr>
    </w:p>
    <w:p w:rsidR="007C422D" w:rsidRPr="007C422D" w:rsidRDefault="007C422D" w:rsidP="00FC204B">
      <w:pPr>
        <w:shd w:val="clear" w:color="auto" w:fill="FFFFFF"/>
        <w:spacing w:after="0" w:line="240" w:lineRule="auto"/>
        <w:ind w:right="-143"/>
        <w:jc w:val="both"/>
        <w:rPr>
          <w:rFonts w:eastAsia="Times New Roman" w:cs="Arial"/>
          <w:sz w:val="18"/>
          <w:szCs w:val="18"/>
          <w:lang w:eastAsia="ar-SA"/>
        </w:rPr>
      </w:pPr>
      <w:r>
        <w:rPr>
          <w:rFonts w:ascii="Calibri" w:eastAsia="Times New Roman" w:hAnsi="Calibri" w:cs="Calibri"/>
          <w:sz w:val="18"/>
          <w:szCs w:val="18"/>
          <w:lang w:eastAsia="ar-SA"/>
        </w:rPr>
        <w:t>«</w:t>
      </w:r>
      <w:r w:rsidRPr="007C422D">
        <w:rPr>
          <w:rFonts w:eastAsia="Times New Roman" w:cs="Arial"/>
          <w:sz w:val="18"/>
          <w:szCs w:val="18"/>
          <w:lang w:eastAsia="ar-SA"/>
        </w:rPr>
        <w:t>1.- Que como consecuencia de una modificación contractual no se pueden superar los límites cuantitativos que establece la LCAP cuando el contrato principal se ha tramitado como un contrato menor.</w:t>
      </w:r>
    </w:p>
    <w:p w:rsidR="007C422D" w:rsidRPr="007C422D" w:rsidRDefault="007C422D" w:rsidP="00FC204B">
      <w:pPr>
        <w:shd w:val="clear" w:color="auto" w:fill="FFFFFF"/>
        <w:spacing w:after="0" w:line="240" w:lineRule="auto"/>
        <w:ind w:right="-143"/>
        <w:jc w:val="both"/>
        <w:rPr>
          <w:rFonts w:eastAsia="Times New Roman" w:cs="Arial"/>
          <w:sz w:val="18"/>
          <w:szCs w:val="18"/>
          <w:lang w:eastAsia="ar-SA"/>
        </w:rPr>
      </w:pPr>
      <w:r w:rsidRPr="007C422D">
        <w:rPr>
          <w:rFonts w:eastAsia="Times New Roman" w:cs="Arial"/>
          <w:sz w:val="18"/>
          <w:szCs w:val="18"/>
          <w:lang w:eastAsia="ar-SA"/>
        </w:rPr>
        <w:t> </w:t>
      </w:r>
    </w:p>
    <w:p w:rsidR="007C422D" w:rsidRPr="007C422D" w:rsidRDefault="007C422D" w:rsidP="00FC204B">
      <w:pPr>
        <w:shd w:val="clear" w:color="auto" w:fill="FFFFFF"/>
        <w:spacing w:after="0" w:line="240" w:lineRule="auto"/>
        <w:ind w:right="-143"/>
        <w:jc w:val="both"/>
        <w:rPr>
          <w:rFonts w:eastAsia="Times New Roman" w:cs="Arial"/>
          <w:sz w:val="18"/>
          <w:szCs w:val="18"/>
          <w:lang w:eastAsia="ar-SA"/>
        </w:rPr>
      </w:pPr>
      <w:r w:rsidRPr="007C422D">
        <w:rPr>
          <w:rFonts w:eastAsia="Times New Roman" w:cs="Arial"/>
          <w:sz w:val="18"/>
          <w:szCs w:val="18"/>
          <w:lang w:eastAsia="ar-SA"/>
        </w:rPr>
        <w:t>2.- Que un contrato menor, como consecuencia de una modificación contractual no podrá transformarse en un procedimiento negociado sin publicidad por razón de la cuantía, ni tramitarse otro contrato menor, por el análisis realizado en las consideraciones 6ª y 7ª de este informe.</w:t>
      </w:r>
    </w:p>
    <w:p w:rsidR="007C422D" w:rsidRPr="007C422D" w:rsidRDefault="007C422D" w:rsidP="00FC204B">
      <w:pPr>
        <w:shd w:val="clear" w:color="auto" w:fill="FFFFFF"/>
        <w:spacing w:after="0" w:line="240" w:lineRule="auto"/>
        <w:ind w:right="-143"/>
        <w:jc w:val="both"/>
        <w:rPr>
          <w:rFonts w:eastAsia="Times New Roman" w:cs="Arial"/>
          <w:sz w:val="18"/>
          <w:szCs w:val="18"/>
          <w:lang w:eastAsia="ar-SA"/>
        </w:rPr>
      </w:pPr>
      <w:r w:rsidRPr="007C422D">
        <w:rPr>
          <w:rFonts w:eastAsia="Times New Roman" w:cs="Arial"/>
          <w:sz w:val="18"/>
          <w:szCs w:val="18"/>
          <w:lang w:eastAsia="ar-SA"/>
        </w:rPr>
        <w:t> </w:t>
      </w:r>
    </w:p>
    <w:p w:rsidR="007C422D" w:rsidRDefault="007C422D" w:rsidP="00FC204B">
      <w:pPr>
        <w:shd w:val="clear" w:color="auto" w:fill="FFFFFF"/>
        <w:spacing w:after="0" w:line="240" w:lineRule="auto"/>
        <w:ind w:right="-143"/>
        <w:jc w:val="both"/>
        <w:rPr>
          <w:rFonts w:eastAsia="Times New Roman" w:cs="Arial"/>
          <w:sz w:val="18"/>
          <w:szCs w:val="18"/>
          <w:lang w:eastAsia="ar-SA"/>
        </w:rPr>
      </w:pPr>
      <w:r w:rsidRPr="007C422D">
        <w:rPr>
          <w:rFonts w:eastAsia="Times New Roman" w:cs="Arial"/>
          <w:sz w:val="18"/>
          <w:szCs w:val="18"/>
          <w:lang w:eastAsia="ar-SA"/>
        </w:rPr>
        <w:t>3.- Que los órganos de contratación en los contratos de consultoría y asistencia vinculados a la ejecución de un contrato de obras, y en concreto en los de dirección, supervisión, control de ejecución y mantenimiento de obras e instalaciones, deberán elegir el procedimiento de contratación más adecuado a la naturaleza del objeto del contrato que se licita. Dadas las limitaciones cuantitativas y temporales que establece la nueva regulación de los contratos menores, no se considera idónea esta figura para los contratos que tengan los objetos mencionados</w:t>
      </w:r>
      <w:r w:rsidR="00F90A37">
        <w:rPr>
          <w:rFonts w:ascii="Calibri" w:eastAsia="Times New Roman" w:hAnsi="Calibri" w:cs="Calibri"/>
          <w:sz w:val="18"/>
          <w:szCs w:val="18"/>
          <w:lang w:eastAsia="ar-SA"/>
        </w:rPr>
        <w:t>»</w:t>
      </w:r>
      <w:r w:rsidRPr="007C422D">
        <w:rPr>
          <w:rFonts w:eastAsia="Times New Roman" w:cs="Arial"/>
          <w:sz w:val="18"/>
          <w:szCs w:val="18"/>
          <w:lang w:eastAsia="ar-SA"/>
        </w:rPr>
        <w:t>.</w:t>
      </w:r>
    </w:p>
    <w:p w:rsidR="00F90A37" w:rsidRDefault="00F90A37" w:rsidP="00FC204B">
      <w:pPr>
        <w:shd w:val="clear" w:color="auto" w:fill="FFFFFF"/>
        <w:spacing w:after="0" w:line="240" w:lineRule="auto"/>
        <w:ind w:right="-143"/>
        <w:jc w:val="both"/>
        <w:rPr>
          <w:rFonts w:eastAsia="Times New Roman" w:cs="Arial"/>
          <w:sz w:val="18"/>
          <w:szCs w:val="18"/>
          <w:lang w:eastAsia="ar-SA"/>
        </w:rPr>
      </w:pPr>
    </w:p>
    <w:p w:rsidR="00F90A37" w:rsidRDefault="00F90A37" w:rsidP="00FC204B">
      <w:pPr>
        <w:pStyle w:val="Default"/>
        <w:ind w:right="-143"/>
        <w:jc w:val="both"/>
        <w:rPr>
          <w:rFonts w:ascii="Arial" w:eastAsia="Times New Roman" w:cs="Arial"/>
          <w:color w:val="auto"/>
          <w:sz w:val="18"/>
          <w:szCs w:val="18"/>
          <w:lang w:eastAsia="ar-SA"/>
        </w:rPr>
      </w:pPr>
      <w:r w:rsidRPr="002878FA">
        <w:rPr>
          <w:rFonts w:ascii="Arial" w:eastAsia="Times New Roman" w:cs="Arial"/>
          <w:color w:val="auto"/>
          <w:sz w:val="18"/>
          <w:szCs w:val="18"/>
          <w:lang w:eastAsia="ar-SA"/>
        </w:rPr>
        <w:t xml:space="preserve">El </w:t>
      </w:r>
      <w:r w:rsidR="00BA674C" w:rsidRPr="002878FA">
        <w:rPr>
          <w:rFonts w:ascii="Arial" w:eastAsia="Times New Roman" w:cs="Arial"/>
          <w:color w:val="auto"/>
          <w:sz w:val="18"/>
          <w:szCs w:val="18"/>
          <w:lang w:eastAsia="ar-SA"/>
        </w:rPr>
        <w:t>art</w:t>
      </w:r>
      <w:r w:rsidR="00F274C5" w:rsidRPr="002878FA">
        <w:rPr>
          <w:rFonts w:ascii="Arial" w:eastAsia="Times New Roman" w:cs="Arial"/>
          <w:color w:val="auto"/>
          <w:sz w:val="18"/>
          <w:szCs w:val="18"/>
          <w:lang w:eastAsia="ar-SA"/>
        </w:rPr>
        <w:t xml:space="preserve">ículo 174.b) del TRLCSP incluye la posibilidad de utilizar el procedimiento </w:t>
      </w:r>
      <w:r w:rsidRPr="002878FA">
        <w:rPr>
          <w:rFonts w:ascii="Arial" w:eastAsia="Times New Roman" w:cs="Arial"/>
          <w:color w:val="auto"/>
          <w:sz w:val="18"/>
          <w:szCs w:val="18"/>
          <w:lang w:eastAsia="ar-SA"/>
        </w:rPr>
        <w:t xml:space="preserve">negociado </w:t>
      </w:r>
      <w:r w:rsidR="00F274C5" w:rsidRPr="002878FA">
        <w:rPr>
          <w:rFonts w:ascii="Arial" w:eastAsia="Times New Roman" w:cs="Arial"/>
          <w:color w:val="auto"/>
          <w:sz w:val="18"/>
          <w:szCs w:val="18"/>
          <w:lang w:eastAsia="ar-SA"/>
        </w:rPr>
        <w:t xml:space="preserve">en los contratos </w:t>
      </w:r>
      <w:r w:rsidR="002878FA" w:rsidRPr="002878FA">
        <w:rPr>
          <w:rFonts w:ascii="Arial" w:eastAsia="Times New Roman" w:cs="Arial"/>
          <w:color w:val="auto"/>
          <w:sz w:val="18"/>
          <w:szCs w:val="18"/>
          <w:lang w:eastAsia="ar-SA"/>
        </w:rPr>
        <w:t xml:space="preserve">de servicios </w:t>
      </w:r>
      <w:r w:rsidR="00F274C5" w:rsidRPr="002878FA">
        <w:rPr>
          <w:rFonts w:ascii="Arial" w:eastAsia="Times New Roman" w:cs="Arial"/>
          <w:color w:val="auto"/>
          <w:sz w:val="18"/>
          <w:szCs w:val="18"/>
          <w:lang w:eastAsia="ar-SA"/>
        </w:rPr>
        <w:t xml:space="preserve">complementarios. </w:t>
      </w:r>
      <w:r w:rsidR="002878FA" w:rsidRPr="002878FA">
        <w:rPr>
          <w:rFonts w:ascii="Arial" w:eastAsia="Times New Roman" w:cs="Arial"/>
          <w:color w:val="auto"/>
          <w:sz w:val="18"/>
          <w:szCs w:val="18"/>
          <w:lang w:eastAsia="ar-SA"/>
        </w:rPr>
        <w:t>Sin embargo, la LCSP actualmente vigente, tal y como indica en su Exposición de Motivos «suprime la posibilidad del uso del procedimiento negociado con y sin publicidad por razón de la cuantía y se suprime la aplicación de este procedimiento respecto a las obras y servicios complementarios».</w:t>
      </w:r>
    </w:p>
    <w:p w:rsidR="007A5D71" w:rsidRPr="007C422D" w:rsidRDefault="007A5D71" w:rsidP="00FC204B">
      <w:pPr>
        <w:pStyle w:val="Default"/>
        <w:ind w:right="-143"/>
        <w:jc w:val="both"/>
        <w:rPr>
          <w:rFonts w:ascii="Arial" w:eastAsia="Times New Roman" w:cs="Arial"/>
          <w:color w:val="auto"/>
          <w:sz w:val="18"/>
          <w:szCs w:val="18"/>
          <w:lang w:eastAsia="ar-SA"/>
        </w:rPr>
      </w:pPr>
    </w:p>
  </w:footnote>
  <w:footnote w:id="4">
    <w:p w:rsidR="006534C8" w:rsidRDefault="006534C8" w:rsidP="00FC204B">
      <w:pPr>
        <w:pStyle w:val="Textonotapie"/>
        <w:ind w:right="-143"/>
        <w:jc w:val="both"/>
        <w:rPr>
          <w:rFonts w:ascii="Arial" w:hAnsi="Arial" w:cs="Arial"/>
          <w:sz w:val="18"/>
          <w:szCs w:val="18"/>
        </w:rPr>
      </w:pPr>
      <w:r>
        <w:rPr>
          <w:rStyle w:val="Refdenotaalpie"/>
        </w:rPr>
        <w:footnoteRef/>
      </w:r>
      <w:r>
        <w:t xml:space="preserve"> </w:t>
      </w:r>
      <w:r w:rsidRPr="00CA6774">
        <w:rPr>
          <w:rFonts w:ascii="Arial" w:hAnsi="Arial" w:cs="Arial"/>
          <w:sz w:val="18"/>
          <w:szCs w:val="18"/>
        </w:rPr>
        <w:t>Como señala Santiago González-Varas Ibáñez (</w:t>
      </w:r>
      <w:hyperlink r:id="rId1" w:history="1">
        <w:r w:rsidRPr="009360AC">
          <w:rPr>
            <w:rStyle w:val="Hipervnculo"/>
            <w:rFonts w:ascii="Arial" w:hAnsi="Arial" w:cs="Arial"/>
            <w:color w:val="auto"/>
            <w:sz w:val="18"/>
            <w:szCs w:val="18"/>
            <w:u w:val="none"/>
          </w:rPr>
          <w:t>https://www.administracionpublica.com/ampliacion-del-plazo-de-ejecucion-de-los-contratos</w:t>
        </w:r>
      </w:hyperlink>
      <w:r w:rsidRPr="00CA6774">
        <w:rPr>
          <w:rFonts w:ascii="Arial" w:hAnsi="Arial" w:cs="Arial"/>
          <w:sz w:val="18"/>
          <w:szCs w:val="18"/>
        </w:rPr>
        <w:t>), hay que distinguir entre la prórroga de los contratos y la ampliación de su plazo de ejecución: «Con anterioridad a esta LCSP 2017, se venía hablando de “</w:t>
      </w:r>
      <w:r w:rsidRPr="00CA6774">
        <w:rPr>
          <w:rStyle w:val="nfasis"/>
          <w:rFonts w:ascii="Arial" w:hAnsi="Arial" w:cs="Arial"/>
          <w:sz w:val="18"/>
          <w:szCs w:val="18"/>
        </w:rPr>
        <w:t>prórroga</w:t>
      </w:r>
      <w:r w:rsidRPr="00CA6774">
        <w:rPr>
          <w:rFonts w:ascii="Arial" w:hAnsi="Arial" w:cs="Arial"/>
          <w:sz w:val="18"/>
          <w:szCs w:val="18"/>
        </w:rPr>
        <w:t>” al contratista en el marco de la ejecución de los contratos. Ahora se habla de ampliación del plazo de ejecución de los contratos, seguramente para distinguir el supuesto de aquel otro caso relativo a la “</w:t>
      </w:r>
      <w:r w:rsidRPr="00CA6774">
        <w:rPr>
          <w:rStyle w:val="nfasis"/>
          <w:rFonts w:ascii="Arial" w:hAnsi="Arial" w:cs="Arial"/>
          <w:sz w:val="18"/>
          <w:szCs w:val="18"/>
        </w:rPr>
        <w:t>prórroga</w:t>
      </w:r>
      <w:r w:rsidRPr="00CA6774">
        <w:rPr>
          <w:rFonts w:ascii="Arial" w:hAnsi="Arial" w:cs="Arial"/>
          <w:sz w:val="18"/>
          <w:szCs w:val="18"/>
        </w:rPr>
        <w:t xml:space="preserve">” que se regula en el marco de la </w:t>
      </w:r>
      <w:r w:rsidRPr="00CA6774">
        <w:rPr>
          <w:rStyle w:val="Textoennegrita"/>
          <w:rFonts w:ascii="Arial" w:hAnsi="Arial" w:cs="Arial"/>
          <w:sz w:val="18"/>
          <w:szCs w:val="18"/>
        </w:rPr>
        <w:t>duración de los contratos</w:t>
      </w:r>
      <w:r w:rsidRPr="00CA6774">
        <w:rPr>
          <w:rFonts w:ascii="Arial" w:hAnsi="Arial" w:cs="Arial"/>
          <w:sz w:val="18"/>
          <w:szCs w:val="18"/>
        </w:rPr>
        <w:t xml:space="preserve"> en el artículo 29 de la LCSP 2017</w:t>
      </w:r>
      <w:r>
        <w:rPr>
          <w:rFonts w:ascii="Arial" w:hAnsi="Arial" w:cs="Arial"/>
          <w:sz w:val="18"/>
          <w:szCs w:val="18"/>
        </w:rPr>
        <w:t>.</w:t>
      </w:r>
    </w:p>
    <w:p w:rsidR="006534C8" w:rsidRDefault="006534C8" w:rsidP="00FC204B">
      <w:pPr>
        <w:pStyle w:val="Textonotapie"/>
        <w:ind w:right="-143"/>
        <w:jc w:val="both"/>
        <w:rPr>
          <w:rFonts w:ascii="Arial" w:hAnsi="Arial" w:cs="Arial"/>
          <w:sz w:val="18"/>
          <w:szCs w:val="18"/>
        </w:rPr>
      </w:pPr>
    </w:p>
    <w:p w:rsidR="006534C8" w:rsidRDefault="006534C8" w:rsidP="00FC204B">
      <w:pPr>
        <w:pStyle w:val="Textonotapie"/>
        <w:ind w:right="-143"/>
        <w:jc w:val="both"/>
      </w:pPr>
      <w:r w:rsidRPr="002325A0">
        <w:rPr>
          <w:rStyle w:val="Hipervnculo"/>
          <w:rFonts w:ascii="Arial" w:hAnsi="Arial"/>
          <w:color w:val="auto"/>
          <w:sz w:val="18"/>
          <w:szCs w:val="18"/>
          <w:u w:val="none"/>
        </w:rPr>
        <w:t>Las condiciones para la operatividad de esta prórroga reglada se concretan en el artículo 100 del</w:t>
      </w:r>
      <w:r w:rsidRPr="002325A0">
        <w:rPr>
          <w:rStyle w:val="Hipervnculo"/>
          <w:rFonts w:ascii="Arial" w:hAnsi="Arial"/>
          <w:b/>
          <w:bCs/>
          <w:color w:val="auto"/>
          <w:sz w:val="18"/>
          <w:szCs w:val="18"/>
          <w:u w:val="none"/>
        </w:rPr>
        <w:t xml:space="preserve"> Real Decreto 1098/2001, de 12 de octubre</w:t>
      </w:r>
      <w:r w:rsidRPr="002325A0">
        <w:rPr>
          <w:rStyle w:val="Hipervnculo"/>
          <w:rFonts w:ascii="Arial" w:hAnsi="Arial"/>
          <w:color w:val="auto"/>
          <w:sz w:val="18"/>
          <w:szCs w:val="18"/>
          <w:u w:val="none"/>
        </w:rPr>
        <w:t>, por el que se aprueba el Reglamento General de la Ley de Contratos de las Administraciones Públicas</w:t>
      </w:r>
      <w:r w:rsidRPr="002325A0">
        <w:rPr>
          <w:rStyle w:val="Hipervnculo"/>
          <w:color w:val="auto"/>
          <w:u w:val="none"/>
        </w:rPr>
        <w:t>».</w:t>
      </w:r>
    </w:p>
  </w:footnote>
  <w:footnote w:id="5">
    <w:p w:rsidR="00D6657E" w:rsidRPr="008E7866" w:rsidRDefault="00D6657E" w:rsidP="00FC204B">
      <w:pPr>
        <w:pStyle w:val="Textonotapie"/>
        <w:ind w:right="-143"/>
        <w:jc w:val="both"/>
        <w:rPr>
          <w:rStyle w:val="Refdenotaalpie"/>
          <w:rFonts w:ascii="Arial" w:hAnsi="Arial" w:cs="Arial"/>
          <w:sz w:val="18"/>
          <w:szCs w:val="18"/>
          <w:vertAlign w:val="baseline"/>
        </w:rPr>
      </w:pPr>
      <w:r>
        <w:rPr>
          <w:rStyle w:val="Refdenotaalpie"/>
        </w:rPr>
        <w:footnoteRef/>
      </w:r>
      <w:r>
        <w:t xml:space="preserve"> </w:t>
      </w:r>
      <w:r w:rsidRPr="008E7866">
        <w:rPr>
          <w:rFonts w:ascii="Arial" w:hAnsi="Arial" w:cs="Arial"/>
          <w:sz w:val="18"/>
          <w:szCs w:val="18"/>
        </w:rPr>
        <w:t>«</w:t>
      </w:r>
      <w:r w:rsidRPr="008E7866">
        <w:rPr>
          <w:rStyle w:val="Refdenotaalpie"/>
          <w:rFonts w:ascii="Arial" w:hAnsi="Arial" w:cs="Arial"/>
          <w:sz w:val="18"/>
          <w:szCs w:val="18"/>
          <w:vertAlign w:val="baseline"/>
        </w:rPr>
        <w:t xml:space="preserve">Artículo 220. </w:t>
      </w:r>
      <w:r w:rsidRPr="008E7866">
        <w:rPr>
          <w:rStyle w:val="Refdenotaalpie"/>
          <w:rFonts w:ascii="Arial" w:hAnsi="Arial" w:cs="Arial"/>
          <w:i/>
          <w:sz w:val="18"/>
          <w:szCs w:val="18"/>
          <w:vertAlign w:val="baseline"/>
        </w:rPr>
        <w:t>Suspensión de los contratos</w:t>
      </w:r>
      <w:r w:rsidRPr="008E7866">
        <w:rPr>
          <w:rStyle w:val="Refdenotaalpie"/>
          <w:rFonts w:ascii="Arial" w:hAnsi="Arial" w:cs="Arial"/>
          <w:sz w:val="18"/>
          <w:szCs w:val="18"/>
          <w:vertAlign w:val="baseline"/>
        </w:rPr>
        <w:t>.</w:t>
      </w:r>
    </w:p>
    <w:p w:rsidR="00D6657E" w:rsidRPr="008E7866" w:rsidRDefault="00D6657E" w:rsidP="00FC204B">
      <w:pPr>
        <w:pStyle w:val="Textonotapie"/>
        <w:ind w:right="-143"/>
        <w:jc w:val="both"/>
        <w:rPr>
          <w:rStyle w:val="Refdenotaalpie"/>
          <w:rFonts w:ascii="Arial" w:hAnsi="Arial" w:cs="Arial"/>
          <w:sz w:val="18"/>
          <w:szCs w:val="18"/>
          <w:vertAlign w:val="baseline"/>
        </w:rPr>
      </w:pPr>
    </w:p>
    <w:p w:rsidR="00D6657E" w:rsidRPr="008E7866" w:rsidRDefault="00D6657E" w:rsidP="00FC204B">
      <w:pPr>
        <w:pStyle w:val="Textonotapie"/>
        <w:ind w:right="-143"/>
        <w:jc w:val="both"/>
        <w:rPr>
          <w:rFonts w:ascii="Arial" w:hAnsi="Arial" w:cs="Arial"/>
          <w:sz w:val="18"/>
          <w:szCs w:val="18"/>
        </w:rPr>
      </w:pPr>
      <w:r w:rsidRPr="008E7866">
        <w:rPr>
          <w:rStyle w:val="Refdenotaalpie"/>
          <w:rFonts w:ascii="Arial" w:hAnsi="Arial" w:cs="Arial"/>
          <w:sz w:val="18"/>
          <w:szCs w:val="18"/>
          <w:vertAlign w:val="baseline"/>
        </w:rPr>
        <w:t>1. Si la Administración acordase la suspensión del contrato o aquélla tuviere lugar por la aplicación de lo dispuesto en el artículo 216</w:t>
      </w:r>
      <w:r>
        <w:rPr>
          <w:rFonts w:ascii="Arial" w:hAnsi="Arial" w:cs="Arial"/>
          <w:sz w:val="18"/>
          <w:szCs w:val="18"/>
        </w:rPr>
        <w:t xml:space="preserve"> [demora en el pago]</w:t>
      </w:r>
      <w:r w:rsidRPr="008E7866">
        <w:rPr>
          <w:rStyle w:val="Refdenotaalpie"/>
          <w:rFonts w:ascii="Arial" w:hAnsi="Arial" w:cs="Arial"/>
          <w:sz w:val="18"/>
          <w:szCs w:val="18"/>
          <w:vertAlign w:val="baseline"/>
        </w:rPr>
        <w:t>, se levantará un acta en la que se consignarán las circunstancias que la han motivado y la situación de hecho en la ejecución de aquél.</w:t>
      </w:r>
    </w:p>
    <w:p w:rsidR="00D6657E" w:rsidRPr="008E7866" w:rsidRDefault="00D6657E" w:rsidP="00FC204B">
      <w:pPr>
        <w:pStyle w:val="Textonotapie"/>
        <w:ind w:right="-143"/>
        <w:jc w:val="both"/>
        <w:rPr>
          <w:rStyle w:val="Refdenotaalpie"/>
          <w:rFonts w:ascii="Arial" w:hAnsi="Arial" w:cs="Arial"/>
          <w:sz w:val="18"/>
          <w:szCs w:val="18"/>
          <w:vertAlign w:val="baseline"/>
        </w:rPr>
      </w:pPr>
    </w:p>
    <w:p w:rsidR="00D6657E" w:rsidRPr="008E7866" w:rsidRDefault="00D6657E" w:rsidP="00FC204B">
      <w:pPr>
        <w:pStyle w:val="Textonotapie"/>
        <w:ind w:right="-143"/>
        <w:jc w:val="both"/>
        <w:rPr>
          <w:rStyle w:val="Refdenotaalpie"/>
          <w:rFonts w:ascii="Arial" w:hAnsi="Arial" w:cs="Arial"/>
          <w:sz w:val="18"/>
          <w:szCs w:val="18"/>
          <w:vertAlign w:val="baseline"/>
        </w:rPr>
      </w:pPr>
      <w:r w:rsidRPr="008E7866">
        <w:rPr>
          <w:rStyle w:val="Refdenotaalpie"/>
          <w:rFonts w:ascii="Arial" w:hAnsi="Arial" w:cs="Arial"/>
          <w:sz w:val="18"/>
          <w:szCs w:val="18"/>
          <w:vertAlign w:val="baseline"/>
        </w:rPr>
        <w:t>2. Acordada la suspensión, la Administración abonará al contratista los daños y perjuicios efectivamente sufridos por éste</w:t>
      </w:r>
      <w:r w:rsidRPr="008E7866">
        <w:rPr>
          <w:rFonts w:ascii="Arial" w:hAnsi="Arial" w:cs="Arial"/>
          <w:sz w:val="18"/>
          <w:szCs w:val="18"/>
        </w:rPr>
        <w:t>»</w:t>
      </w:r>
      <w:r w:rsidRPr="008E7866">
        <w:rPr>
          <w:rStyle w:val="Refdenotaalpie"/>
          <w:rFonts w:ascii="Arial" w:hAnsi="Arial" w:cs="Arial"/>
          <w:sz w:val="18"/>
          <w:szCs w:val="18"/>
          <w:vertAlign w:val="baseline"/>
        </w:rPr>
        <w:t>.</w:t>
      </w:r>
    </w:p>
    <w:p w:rsidR="00D6657E" w:rsidRDefault="00D6657E" w:rsidP="00FC204B">
      <w:pPr>
        <w:pStyle w:val="Textonotapie"/>
        <w:ind w:right="-143"/>
      </w:pPr>
    </w:p>
  </w:footnote>
  <w:footnote w:id="6">
    <w:p w:rsidR="005D6A35" w:rsidRPr="00B63D40" w:rsidRDefault="005D6A35" w:rsidP="00FC204B">
      <w:pPr>
        <w:pStyle w:val="Textonotapie"/>
        <w:ind w:right="-143"/>
        <w:jc w:val="both"/>
        <w:rPr>
          <w:rFonts w:ascii="Arial" w:hAnsi="Arial" w:cs="Arial"/>
          <w:sz w:val="18"/>
          <w:szCs w:val="18"/>
        </w:rPr>
      </w:pPr>
      <w:r w:rsidRPr="00B13A9B">
        <w:rPr>
          <w:rStyle w:val="Refdenotaalpie"/>
          <w:rFonts w:ascii="Arial" w:hAnsi="Arial" w:cs="Arial"/>
          <w:sz w:val="18"/>
          <w:szCs w:val="18"/>
        </w:rPr>
        <w:footnoteRef/>
      </w:r>
      <w:r w:rsidRPr="00B13A9B">
        <w:rPr>
          <w:rFonts w:ascii="Arial" w:hAnsi="Arial" w:cs="Arial"/>
          <w:sz w:val="18"/>
          <w:szCs w:val="18"/>
        </w:rPr>
        <w:t xml:space="preserve"> </w:t>
      </w:r>
      <w:r w:rsidR="00B63D40" w:rsidRPr="00B13A9B">
        <w:rPr>
          <w:rFonts w:ascii="Arial" w:hAnsi="Arial" w:cs="Arial"/>
          <w:sz w:val="18"/>
          <w:szCs w:val="18"/>
        </w:rPr>
        <w:t xml:space="preserve">No es inhabitual </w:t>
      </w:r>
      <w:r w:rsidRPr="00B13A9B">
        <w:rPr>
          <w:rFonts w:ascii="Arial" w:hAnsi="Arial" w:cs="Arial"/>
          <w:sz w:val="18"/>
          <w:szCs w:val="18"/>
        </w:rPr>
        <w:t>que</w:t>
      </w:r>
      <w:r w:rsidR="00B63D40" w:rsidRPr="00B13A9B">
        <w:rPr>
          <w:rFonts w:ascii="Arial" w:hAnsi="Arial" w:cs="Arial"/>
          <w:sz w:val="18"/>
          <w:szCs w:val="18"/>
        </w:rPr>
        <w:t>,</w:t>
      </w:r>
      <w:r w:rsidRPr="00B13A9B">
        <w:rPr>
          <w:rFonts w:ascii="Arial" w:hAnsi="Arial" w:cs="Arial"/>
          <w:sz w:val="18"/>
          <w:szCs w:val="18"/>
        </w:rPr>
        <w:t xml:space="preserve"> a pesar de la suspensión total o parcial de la ejecución del contrato de obras, el contrato de servicios mantenga su objeto y vigencia. </w:t>
      </w:r>
      <w:r w:rsidR="00B63D40" w:rsidRPr="00B13A9B">
        <w:rPr>
          <w:rFonts w:ascii="Arial" w:hAnsi="Arial" w:cs="Arial"/>
          <w:sz w:val="18"/>
          <w:szCs w:val="18"/>
        </w:rPr>
        <w:t>Sirva c</w:t>
      </w:r>
      <w:r w:rsidRPr="00B13A9B">
        <w:rPr>
          <w:rFonts w:ascii="Arial" w:hAnsi="Arial" w:cs="Arial"/>
          <w:sz w:val="18"/>
          <w:szCs w:val="18"/>
        </w:rPr>
        <w:t xml:space="preserve">omo ejemplo la vigilancia de una obra cuya suspensión </w:t>
      </w:r>
      <w:r w:rsidR="00B63D40" w:rsidRPr="00B13A9B">
        <w:rPr>
          <w:rFonts w:ascii="Arial" w:hAnsi="Arial" w:cs="Arial"/>
          <w:sz w:val="18"/>
          <w:szCs w:val="18"/>
        </w:rPr>
        <w:t xml:space="preserve">total o parcial </w:t>
      </w:r>
      <w:r w:rsidRPr="00B13A9B">
        <w:rPr>
          <w:rFonts w:ascii="Arial" w:hAnsi="Arial" w:cs="Arial"/>
          <w:sz w:val="18"/>
          <w:szCs w:val="18"/>
        </w:rPr>
        <w:t>se decreta</w:t>
      </w:r>
      <w:r w:rsidR="00F94D8F" w:rsidRPr="00B13A9B">
        <w:rPr>
          <w:rFonts w:ascii="Arial" w:hAnsi="Arial" w:cs="Arial"/>
          <w:sz w:val="18"/>
          <w:szCs w:val="18"/>
        </w:rPr>
        <w:t xml:space="preserve">. El contrato de vigilancia no solo </w:t>
      </w:r>
      <w:r w:rsidR="00B63D40" w:rsidRPr="00B13A9B">
        <w:rPr>
          <w:rFonts w:ascii="Arial" w:hAnsi="Arial" w:cs="Arial"/>
          <w:sz w:val="18"/>
          <w:szCs w:val="18"/>
        </w:rPr>
        <w:t>no pierde su objeto sino que, muy al contrario, puede mantenerlo con más fundamento. En estos supuestos la vigencia dependerá de la redacción de las cláusulas de los pliegos reguladores del contrato de servicios y de la normativa legal correspondiente.</w:t>
      </w:r>
    </w:p>
    <w:p w:rsidR="005D6A35" w:rsidRDefault="005D6A35" w:rsidP="00FC204B">
      <w:pPr>
        <w:pStyle w:val="Textonotapie"/>
        <w:ind w:right="-143"/>
      </w:pPr>
    </w:p>
  </w:footnote>
  <w:footnote w:id="7">
    <w:p w:rsidR="00D16F5F" w:rsidRPr="006F0111" w:rsidRDefault="00686879" w:rsidP="00FC204B">
      <w:pPr>
        <w:pStyle w:val="Textonotapie"/>
        <w:ind w:right="-143"/>
        <w:jc w:val="both"/>
        <w:rPr>
          <w:rStyle w:val="Refdenotaalpie"/>
          <w:rFonts w:ascii="Arial" w:hAnsi="Arial"/>
          <w:sz w:val="18"/>
          <w:szCs w:val="18"/>
          <w:vertAlign w:val="baseline"/>
        </w:rPr>
      </w:pPr>
      <w:r>
        <w:rPr>
          <w:rStyle w:val="Refdenotaalpie"/>
        </w:rPr>
        <w:footnoteRef/>
      </w:r>
      <w:r>
        <w:t xml:space="preserve"> </w:t>
      </w:r>
      <w:r w:rsidRPr="006F0111">
        <w:rPr>
          <w:rStyle w:val="Refdenotaalpie"/>
          <w:rFonts w:ascii="Arial" w:hAnsi="Arial" w:cs="Arial"/>
          <w:sz w:val="18"/>
          <w:szCs w:val="18"/>
          <w:vertAlign w:val="baseline"/>
        </w:rPr>
        <w:t xml:space="preserve">La preeminencia de esta causa de resolución de los contratos accesorios queda de manifiesto en el </w:t>
      </w:r>
      <w:r w:rsidR="00D16F5F" w:rsidRPr="006F0111">
        <w:rPr>
          <w:rStyle w:val="Refdenotaalpie"/>
          <w:rFonts w:ascii="Arial" w:hAnsi="Arial" w:cs="Arial"/>
          <w:sz w:val="18"/>
          <w:szCs w:val="18"/>
          <w:vertAlign w:val="baseline"/>
        </w:rPr>
        <w:t>Dictamen 1200/2015, de 10 de diciembre, del Consejo de Estado, que dice: «</w:t>
      </w:r>
      <w:r w:rsidR="00D16F5F" w:rsidRPr="006F0111">
        <w:rPr>
          <w:rStyle w:val="Refdenotaalpie"/>
          <w:rFonts w:ascii="Arial" w:hAnsi="Arial"/>
          <w:sz w:val="18"/>
          <w:szCs w:val="18"/>
          <w:vertAlign w:val="baseline"/>
        </w:rPr>
        <w:t>En el caso sometido a consulta del Consejo de Estado, el objeto del contrato estaba compuesto por dos prestaciones. La primera era el proyecto de obras y sus documentos anejos. Fue entregado en su momento y ha sido pagado íntegramente. La segunda se centraba en la dirección facultativa de la obra que por su propia lógica solo puede desempeñarse mient</w:t>
      </w:r>
      <w:r w:rsidR="00105743">
        <w:rPr>
          <w:rStyle w:val="Refdenotaalpie"/>
          <w:rFonts w:ascii="Arial" w:hAnsi="Arial"/>
          <w:sz w:val="18"/>
          <w:szCs w:val="18"/>
          <w:vertAlign w:val="baseline"/>
        </w:rPr>
        <w:t>r</w:t>
      </w:r>
      <w:r w:rsidR="00D16F5F" w:rsidRPr="006F0111">
        <w:rPr>
          <w:rStyle w:val="Refdenotaalpie"/>
          <w:rFonts w:ascii="Arial" w:hAnsi="Arial"/>
          <w:sz w:val="18"/>
          <w:szCs w:val="18"/>
          <w:vertAlign w:val="baseline"/>
        </w:rPr>
        <w:t>as la obra esté abierta y en curso. El contrato de obras fue resuelto por acuerdo del Ayuntamiento-Pleno del 18 de marzo de 2014, de modo que en aplicación de la</w:t>
      </w:r>
      <w:r w:rsidR="006F0111">
        <w:rPr>
          <w:rFonts w:ascii="Arial" w:hAnsi="Arial"/>
          <w:sz w:val="18"/>
          <w:szCs w:val="18"/>
        </w:rPr>
        <w:t xml:space="preserve"> </w:t>
      </w:r>
      <w:r w:rsidR="00D16F5F" w:rsidRPr="006F0111">
        <w:rPr>
          <w:rStyle w:val="Refdenotaalpie"/>
          <w:rFonts w:ascii="Arial" w:hAnsi="Arial"/>
          <w:sz w:val="18"/>
          <w:szCs w:val="18"/>
          <w:vertAlign w:val="baseline"/>
        </w:rPr>
        <w:t>doctrina del Consejo de Estado citada ha de concluirse que el contrato de servicios incurre en causa de resolución desde que queda resuelto el contrato de obras, al que sirve y del que es accesorio.</w:t>
      </w:r>
    </w:p>
    <w:p w:rsidR="00D16F5F" w:rsidRPr="006F0111" w:rsidRDefault="00D16F5F" w:rsidP="00FC204B">
      <w:pPr>
        <w:pStyle w:val="Textonotapie"/>
        <w:ind w:right="-143"/>
        <w:jc w:val="both"/>
        <w:rPr>
          <w:rStyle w:val="Refdenotaalpie"/>
          <w:rFonts w:ascii="Arial" w:hAnsi="Arial"/>
          <w:sz w:val="18"/>
          <w:szCs w:val="18"/>
          <w:vertAlign w:val="baseline"/>
        </w:rPr>
      </w:pPr>
    </w:p>
    <w:p w:rsidR="00D16F5F" w:rsidRPr="006F0111" w:rsidRDefault="00D16F5F" w:rsidP="00FC204B">
      <w:pPr>
        <w:pStyle w:val="Textonotapie"/>
        <w:ind w:right="-143"/>
        <w:jc w:val="both"/>
        <w:rPr>
          <w:rStyle w:val="Refdenotaalpie"/>
          <w:rFonts w:ascii="Arial" w:hAnsi="Arial"/>
          <w:sz w:val="18"/>
          <w:szCs w:val="18"/>
          <w:vertAlign w:val="baseline"/>
        </w:rPr>
      </w:pPr>
      <w:r w:rsidRPr="006F0111">
        <w:rPr>
          <w:rStyle w:val="Refdenotaalpie"/>
          <w:rFonts w:ascii="Arial" w:hAnsi="Arial"/>
          <w:sz w:val="18"/>
          <w:szCs w:val="18"/>
          <w:vertAlign w:val="baseline"/>
        </w:rPr>
        <w:t>Se plantea la propuesta de resolución, por otra parte, si procede valorar como causa de resolución el desistimiento unilateral de la Administración. En principio, esta causa podría argumentarse con cierto fundamento: el presupuesto del nuevo proyecto y las obras necesarias (421.060,53 euros) exceden con mucho de las disponibilidades presupuestarias (que se limitan a 225.028,32 euros) de modo que ya no existe un interés público en la ejecución de la obra, al menos en las exactas condiciones en que fue concebida.</w:t>
      </w:r>
    </w:p>
    <w:p w:rsidR="00D16F5F" w:rsidRPr="006F0111" w:rsidRDefault="00D16F5F" w:rsidP="00FC204B">
      <w:pPr>
        <w:pStyle w:val="Textonotapie"/>
        <w:ind w:right="-143"/>
        <w:jc w:val="both"/>
        <w:rPr>
          <w:rStyle w:val="Refdenotaalpie"/>
          <w:rFonts w:ascii="Arial" w:hAnsi="Arial"/>
          <w:sz w:val="18"/>
          <w:szCs w:val="18"/>
          <w:vertAlign w:val="baseline"/>
        </w:rPr>
      </w:pPr>
    </w:p>
    <w:p w:rsidR="00686879" w:rsidRDefault="00D16F5F" w:rsidP="00FC204B">
      <w:pPr>
        <w:pStyle w:val="Textonotapie"/>
        <w:ind w:right="-143"/>
        <w:jc w:val="both"/>
        <w:rPr>
          <w:rFonts w:ascii="Arial" w:hAnsi="Arial"/>
          <w:sz w:val="18"/>
          <w:szCs w:val="18"/>
        </w:rPr>
      </w:pPr>
      <w:r w:rsidRPr="006F0111">
        <w:rPr>
          <w:rStyle w:val="Refdenotaalpie"/>
          <w:rFonts w:ascii="Arial" w:hAnsi="Arial"/>
          <w:sz w:val="18"/>
          <w:szCs w:val="18"/>
          <w:vertAlign w:val="baseline"/>
        </w:rPr>
        <w:t>Sin embargo, es también doctrina del Consejo de Estado que la causa de resolución ya analizada es lógicamente preferente sobre cualquier otra que pudiera concurrir. Así se expresa en el dictamen número 651/2007, de 30 de mayo: "Por haber concurrido esta causa de resolución, que prevalece, además sobre las restantes, dado el tenor de la ley, además de por la propia lógica de la asistencia técnica en relación con el contrato principal, la voluntad de la Administración de resolver el contrato una vez resuelto el principal debe prevalecer sobre la más genérica del desistimiento unilateral de la Administración del apartado "b" del artículo 214, incluso aunque haya habido prórrogas -correctamente o no acordadas- del contrato accesorio, posteriores a la resolución del contrato principal"</w:t>
      </w:r>
      <w:r w:rsidRPr="006F0111">
        <w:rPr>
          <w:rStyle w:val="Refdenotaalpie"/>
          <w:rFonts w:ascii="Arial" w:hAnsi="Arial" w:cs="Arial"/>
          <w:sz w:val="18"/>
          <w:szCs w:val="18"/>
          <w:vertAlign w:val="baseline"/>
        </w:rPr>
        <w:t>»</w:t>
      </w:r>
      <w:r w:rsidRPr="006F0111">
        <w:rPr>
          <w:rStyle w:val="Refdenotaalpie"/>
          <w:rFonts w:ascii="Arial" w:hAnsi="Arial"/>
          <w:sz w:val="18"/>
          <w:szCs w:val="18"/>
          <w:vertAlign w:val="baseline"/>
        </w:rPr>
        <w:t>.</w:t>
      </w:r>
    </w:p>
    <w:p w:rsidR="006F0111" w:rsidRPr="006F0111" w:rsidRDefault="006F0111" w:rsidP="00FC204B">
      <w:pPr>
        <w:pStyle w:val="Textonotapie"/>
        <w:ind w:right="-143"/>
        <w:jc w:val="both"/>
        <w:rPr>
          <w:rStyle w:val="Refdenotaalpie"/>
          <w:rFonts w:ascii="Arial" w:hAnsi="Arial" w:cs="Arial"/>
          <w:sz w:val="18"/>
          <w:szCs w:val="18"/>
          <w:vertAlign w:val="baseline"/>
        </w:rPr>
      </w:pPr>
    </w:p>
  </w:footnote>
  <w:footnote w:id="8">
    <w:p w:rsidR="00AD483E" w:rsidRDefault="00AD483E" w:rsidP="00FC204B">
      <w:pPr>
        <w:pStyle w:val="Textonotapie"/>
        <w:ind w:right="-143"/>
        <w:jc w:val="both"/>
        <w:rPr>
          <w:rFonts w:ascii="Arial" w:hAnsi="Arial" w:cs="Arial"/>
          <w:color w:val="000000"/>
          <w:sz w:val="18"/>
          <w:szCs w:val="18"/>
        </w:rPr>
      </w:pPr>
      <w:r w:rsidRPr="009B5557">
        <w:rPr>
          <w:rStyle w:val="Refdenotaalpie"/>
          <w:rFonts w:ascii="Arial" w:hAnsi="Arial" w:cs="Arial"/>
          <w:sz w:val="18"/>
          <w:szCs w:val="18"/>
        </w:rPr>
        <w:footnoteRef/>
      </w:r>
      <w:r w:rsidRPr="006F0111">
        <w:rPr>
          <w:rStyle w:val="Refdenotaalpie"/>
          <w:vertAlign w:val="baseline"/>
        </w:rPr>
        <w:t xml:space="preserve"> </w:t>
      </w:r>
      <w:r w:rsidRPr="006F0111">
        <w:rPr>
          <w:rStyle w:val="Refdenotaalpie"/>
          <w:rFonts w:ascii="Arial" w:hAnsi="Arial"/>
          <w:sz w:val="18"/>
          <w:szCs w:val="18"/>
          <w:vertAlign w:val="baseline"/>
        </w:rPr>
        <w:t xml:space="preserve">Como ejemplo de este </w:t>
      </w:r>
      <w:r w:rsidRPr="006F0111">
        <w:rPr>
          <w:rStyle w:val="Refdenotaalpie"/>
          <w:rFonts w:ascii="Arial" w:hAnsi="Arial" w:cs="Arial"/>
          <w:sz w:val="18"/>
          <w:szCs w:val="18"/>
          <w:vertAlign w:val="baseline"/>
        </w:rPr>
        <w:t>supuesto puede mencionarse del Dictamen 420/2015 (Sección 2ª)</w:t>
      </w:r>
      <w:r w:rsidR="00D43149" w:rsidRPr="006F0111">
        <w:rPr>
          <w:rStyle w:val="Refdenotaalpie"/>
          <w:rFonts w:ascii="Arial" w:hAnsi="Arial" w:cs="Arial"/>
          <w:sz w:val="18"/>
          <w:szCs w:val="18"/>
          <w:vertAlign w:val="baseline"/>
        </w:rPr>
        <w:t>, de 19 de noviembre,</w:t>
      </w:r>
      <w:r w:rsidRPr="006F0111">
        <w:rPr>
          <w:rStyle w:val="Refdenotaalpie"/>
          <w:rFonts w:ascii="Arial" w:hAnsi="Arial" w:cs="Arial"/>
          <w:sz w:val="18"/>
          <w:szCs w:val="18"/>
          <w:vertAlign w:val="baseline"/>
        </w:rPr>
        <w:t xml:space="preserve"> </w:t>
      </w:r>
      <w:r w:rsidR="00D43149" w:rsidRPr="006F0111">
        <w:rPr>
          <w:rStyle w:val="Refdenotaalpie"/>
          <w:rFonts w:ascii="Arial" w:hAnsi="Arial" w:cs="Arial"/>
          <w:sz w:val="18"/>
          <w:szCs w:val="18"/>
          <w:vertAlign w:val="baseline"/>
        </w:rPr>
        <w:t>del Consejo Consultivo de Canarias, respecto de un expediente de resolución de un contrato de servicio para dirección facultativa y coordinación de seguridad</w:t>
      </w:r>
      <w:r w:rsidR="00D43149" w:rsidRPr="006F0111">
        <w:rPr>
          <w:rFonts w:ascii="Arial" w:hAnsi="Arial" w:cs="Arial"/>
          <w:sz w:val="18"/>
          <w:szCs w:val="18"/>
        </w:rPr>
        <w:t xml:space="preserve"> y salud de las obras de un centro polivalente. Señala el </w:t>
      </w:r>
      <w:r w:rsidR="00F258EF" w:rsidRPr="006F0111">
        <w:rPr>
          <w:rFonts w:ascii="Arial" w:hAnsi="Arial" w:cs="Arial"/>
          <w:sz w:val="18"/>
          <w:szCs w:val="18"/>
        </w:rPr>
        <w:t>Dictamen</w:t>
      </w:r>
      <w:r w:rsidR="00D43149" w:rsidRPr="006F0111">
        <w:rPr>
          <w:rFonts w:ascii="Arial" w:hAnsi="Arial" w:cs="Arial"/>
          <w:sz w:val="18"/>
          <w:szCs w:val="18"/>
        </w:rPr>
        <w:t xml:space="preserve">: </w:t>
      </w:r>
      <w:r w:rsidR="00F258EF" w:rsidRPr="006F0111">
        <w:rPr>
          <w:rFonts w:ascii="Arial" w:hAnsi="Arial" w:cs="Arial"/>
          <w:color w:val="000000"/>
          <w:sz w:val="18"/>
          <w:szCs w:val="18"/>
        </w:rPr>
        <w:t>«</w:t>
      </w:r>
      <w:r w:rsidRPr="006F0111">
        <w:rPr>
          <w:rFonts w:ascii="Arial" w:hAnsi="Arial" w:cs="Arial"/>
          <w:color w:val="000000"/>
          <w:sz w:val="18"/>
          <w:szCs w:val="18"/>
        </w:rPr>
        <w:t>En este sentido, debe estimarse la alegación</w:t>
      </w:r>
      <w:r w:rsidRPr="00F258EF">
        <w:rPr>
          <w:rFonts w:ascii="Arial" w:hAnsi="Arial" w:cs="Arial"/>
          <w:color w:val="000000"/>
          <w:sz w:val="18"/>
          <w:szCs w:val="18"/>
        </w:rPr>
        <w:t xml:space="preserve"> hecha por la contratista en cuanto reclama como autónomo y no como parte del contrato de servicios el abono de las modificaciones del proyecto que le fueron encargadas tras la resolución del contrato de obras, lo que no podría entenderse sino para una nueva licitación y fuera ya del ámbito del objeto de su contrato de servicios, y es que, además de afirmarse por el contratista que el 15 de enero de 2015 se le encargó un modificado del proyecto para la nueva licitación, consta en el expediente que mediante la Providencia del Consejero Delegado de Hacienda, Promoción Económica e innovación, de 14 de octubre de 2014, se insta a los responsables del contrato para que requirieran a la Dirección facultativa para que a la mayor brevedad posible presentara un reformado del citado proyecto en los términos fijados en la propuesta técnica inicial y, al mismo tiempo, se inicie el procedimiento de resolución del contrato de obra y el propio contrato complementario, produciéndose posteriormente la remisión del proyecto y los informes emitidos por E.B.V. que constan en el expediente. </w:t>
      </w:r>
    </w:p>
    <w:p w:rsidR="00881369" w:rsidRPr="00F258EF" w:rsidRDefault="00881369" w:rsidP="00FC204B">
      <w:pPr>
        <w:pStyle w:val="Textonotapie"/>
        <w:ind w:right="-143"/>
        <w:jc w:val="both"/>
        <w:rPr>
          <w:rFonts w:ascii="Arial" w:hAnsi="Arial" w:cs="Arial"/>
          <w:color w:val="000000"/>
          <w:sz w:val="18"/>
          <w:szCs w:val="18"/>
        </w:rPr>
      </w:pPr>
    </w:p>
    <w:p w:rsidR="00F258EF" w:rsidRPr="00F258EF" w:rsidRDefault="00AD483E" w:rsidP="00FC204B">
      <w:pPr>
        <w:pStyle w:val="Prrafodelista"/>
        <w:spacing w:after="0" w:line="240" w:lineRule="auto"/>
        <w:ind w:left="0" w:right="-143"/>
        <w:jc w:val="both"/>
        <w:rPr>
          <w:rFonts w:eastAsiaTheme="minorHAnsi" w:cs="Arial"/>
          <w:color w:val="000000"/>
          <w:sz w:val="18"/>
          <w:szCs w:val="18"/>
        </w:rPr>
      </w:pPr>
      <w:r w:rsidRPr="00F258EF">
        <w:rPr>
          <w:rFonts w:eastAsiaTheme="minorHAnsi" w:cs="Arial"/>
          <w:color w:val="000000"/>
          <w:sz w:val="18"/>
          <w:szCs w:val="18"/>
        </w:rPr>
        <w:t>Por tanto, el trabajo solicitado y realizado una vez acordado el inicio del procedimiento de resolución del contrato de obras debe abonarse al contratista de forma autónoma</w:t>
      </w:r>
      <w:r w:rsidR="00F258EF" w:rsidRPr="00F258EF">
        <w:rPr>
          <w:rFonts w:eastAsiaTheme="minorHAnsi" w:cs="Arial"/>
          <w:color w:val="000000"/>
          <w:sz w:val="18"/>
          <w:szCs w:val="18"/>
        </w:rPr>
        <w:t>»</w:t>
      </w:r>
      <w:r w:rsidR="00F258EF">
        <w:rPr>
          <w:rFonts w:eastAsiaTheme="minorHAnsi" w:cs="Arial"/>
          <w:color w:val="000000"/>
          <w:sz w:val="18"/>
          <w:szCs w:val="18"/>
        </w:rPr>
        <w:t>.</w:t>
      </w:r>
      <w:r w:rsidR="00F258EF" w:rsidRPr="00F258EF">
        <w:rPr>
          <w:rFonts w:eastAsiaTheme="minorHAnsi" w:cs="Arial"/>
          <w:color w:val="000000"/>
          <w:sz w:val="18"/>
          <w:szCs w:val="18"/>
        </w:rPr>
        <w:t xml:space="preserve"> </w:t>
      </w:r>
    </w:p>
    <w:p w:rsidR="00AD483E" w:rsidRPr="00F258EF" w:rsidRDefault="00AD483E" w:rsidP="00FC204B">
      <w:pPr>
        <w:pStyle w:val="Default"/>
        <w:ind w:right="-143"/>
        <w:jc w:val="both"/>
        <w:rPr>
          <w:rFonts w:ascii="Arial" w:eastAsiaTheme="minorHAnsi" w:cs="Arial"/>
          <w:sz w:val="18"/>
          <w:szCs w:val="18"/>
          <w:lang w:eastAsia="en-US"/>
        </w:rPr>
      </w:pPr>
    </w:p>
  </w:footnote>
  <w:footnote w:id="9">
    <w:p w:rsidR="00A25A20" w:rsidRDefault="00A25A20" w:rsidP="00FC204B">
      <w:pPr>
        <w:pStyle w:val="Default"/>
        <w:ind w:right="-143"/>
        <w:jc w:val="both"/>
        <w:rPr>
          <w:rFonts w:ascii="Arial" w:eastAsia="Times New Roman"/>
          <w:color w:val="auto"/>
          <w:sz w:val="18"/>
          <w:szCs w:val="18"/>
          <w:lang w:eastAsia="ar-SA"/>
        </w:rPr>
      </w:pPr>
      <w:r w:rsidRPr="00A25A20">
        <w:rPr>
          <w:rStyle w:val="Refdenotaalpie"/>
          <w:rFonts w:ascii="Arial" w:eastAsia="Times New Roman" w:cs="Times New Roman"/>
          <w:color w:val="auto"/>
          <w:sz w:val="18"/>
          <w:szCs w:val="18"/>
          <w:lang w:eastAsia="ar-SA"/>
        </w:rPr>
        <w:footnoteRef/>
      </w:r>
      <w:r w:rsidRPr="00A25A20">
        <w:rPr>
          <w:rStyle w:val="Refdenotaalpie"/>
          <w:rFonts w:ascii="Arial" w:eastAsia="Times New Roman" w:cs="Times New Roman"/>
          <w:color w:val="auto"/>
          <w:sz w:val="18"/>
          <w:szCs w:val="18"/>
          <w:lang w:eastAsia="ar-SA"/>
        </w:rPr>
        <w:t xml:space="preserve"> </w:t>
      </w:r>
      <w:r w:rsidRPr="00A25A20">
        <w:rPr>
          <w:rStyle w:val="Refdenotaalpie"/>
          <w:rFonts w:ascii="Arial" w:eastAsia="Times New Roman" w:cs="Times New Roman"/>
          <w:color w:val="auto"/>
          <w:sz w:val="18"/>
          <w:szCs w:val="18"/>
          <w:vertAlign w:val="baseline"/>
          <w:lang w:eastAsia="ar-SA"/>
        </w:rPr>
        <w:t xml:space="preserve">Según la Memoria del año 2017 del Consejo de Estado citada en la </w:t>
      </w:r>
      <w:r>
        <w:rPr>
          <w:rFonts w:ascii="Arial" w:eastAsia="Times New Roman" w:cs="Times New Roman"/>
          <w:color w:val="auto"/>
          <w:sz w:val="18"/>
          <w:szCs w:val="18"/>
          <w:lang w:eastAsia="ar-SA"/>
        </w:rPr>
        <w:t>“</w:t>
      </w:r>
      <w:r w:rsidRPr="00A25A20">
        <w:rPr>
          <w:rStyle w:val="Refdenotaalpie"/>
          <w:rFonts w:ascii="Arial" w:eastAsia="Times New Roman" w:cs="Times New Roman"/>
          <w:color w:val="auto"/>
          <w:sz w:val="18"/>
          <w:szCs w:val="18"/>
          <w:vertAlign w:val="baseline"/>
          <w:lang w:eastAsia="ar-SA"/>
        </w:rPr>
        <w:t>Referencia 1</w:t>
      </w:r>
      <w:r>
        <w:rPr>
          <w:rFonts w:ascii="Arial" w:eastAsia="Times New Roman" w:cs="Times New Roman"/>
          <w:color w:val="auto"/>
          <w:sz w:val="18"/>
          <w:szCs w:val="18"/>
          <w:lang w:eastAsia="ar-SA"/>
        </w:rPr>
        <w:t>”</w:t>
      </w:r>
      <w:r w:rsidRPr="00A25A20">
        <w:rPr>
          <w:rStyle w:val="Refdenotaalpie"/>
          <w:rFonts w:ascii="Arial" w:eastAsia="Times New Roman" w:cs="Times New Roman"/>
          <w:color w:val="auto"/>
          <w:sz w:val="18"/>
          <w:szCs w:val="18"/>
          <w:vertAlign w:val="baseline"/>
          <w:lang w:eastAsia="ar-SA"/>
        </w:rPr>
        <w:t xml:space="preserve"> de este Informe: «</w:t>
      </w:r>
      <w:r w:rsidRPr="00A25A20">
        <w:rPr>
          <w:rStyle w:val="Refdenotaalpie"/>
          <w:rFonts w:ascii="Arial" w:eastAsia="Times New Roman"/>
          <w:color w:val="auto"/>
          <w:sz w:val="18"/>
          <w:szCs w:val="18"/>
          <w:vertAlign w:val="baseline"/>
          <w:lang w:eastAsia="ar-SA"/>
        </w:rPr>
        <w:t xml:space="preserve">La expresión legal “en todo caso” es tajante. Impone a la Administración la obligación de resolver el contrato accesorio cuando se extingue el principal. Su cumplimiento no es dispensable para la Administración. La voluntad opositora del contratista a la resolución no obsta su procedencia. </w:t>
      </w:r>
    </w:p>
    <w:p w:rsidR="00A25A20" w:rsidRPr="00A25A20" w:rsidRDefault="00A25A20" w:rsidP="00FC204B">
      <w:pPr>
        <w:pStyle w:val="Default"/>
        <w:ind w:right="-143"/>
        <w:jc w:val="both"/>
        <w:rPr>
          <w:rStyle w:val="Refdenotaalpie"/>
          <w:rFonts w:ascii="Arial" w:eastAsia="Times New Roman"/>
          <w:color w:val="auto"/>
          <w:sz w:val="18"/>
          <w:szCs w:val="18"/>
          <w:vertAlign w:val="baseline"/>
          <w:lang w:eastAsia="ar-SA"/>
        </w:rPr>
      </w:pPr>
    </w:p>
    <w:p w:rsidR="00A25A20" w:rsidRPr="00A25A20" w:rsidRDefault="00A25A20" w:rsidP="00FC204B">
      <w:pPr>
        <w:pStyle w:val="Textonotapie"/>
        <w:ind w:right="-143"/>
        <w:jc w:val="both"/>
        <w:rPr>
          <w:rStyle w:val="Refdenotaalpie"/>
          <w:rFonts w:ascii="Arial" w:hAnsi="Arial"/>
          <w:sz w:val="18"/>
          <w:szCs w:val="18"/>
          <w:vertAlign w:val="baseline"/>
        </w:rPr>
      </w:pPr>
      <w:r w:rsidRPr="00A25A20">
        <w:rPr>
          <w:rStyle w:val="Refdenotaalpie"/>
          <w:rFonts w:ascii="Arial" w:hAnsi="Arial"/>
          <w:sz w:val="18"/>
          <w:szCs w:val="18"/>
          <w:vertAlign w:val="baseline"/>
        </w:rPr>
        <w:t>La rotunda previsión legal está justificada por la accesoriedad del objeto del contrato complementario. Carece de sentido continuar en el tiempo la prestación cuando desaparece su razó</w:t>
      </w:r>
      <w:r>
        <w:rPr>
          <w:rStyle w:val="Refdenotaalpie"/>
          <w:rFonts w:ascii="Arial" w:hAnsi="Arial"/>
          <w:sz w:val="18"/>
          <w:szCs w:val="18"/>
          <w:vertAlign w:val="baseline"/>
        </w:rPr>
        <w:t>n de ser, el contrato principal</w:t>
      </w:r>
      <w:r w:rsidRPr="00A25A20">
        <w:rPr>
          <w:rStyle w:val="Refdenotaalpie"/>
          <w:rFonts w:ascii="Arial" w:hAnsi="Arial"/>
          <w:sz w:val="18"/>
          <w:szCs w:val="18"/>
          <w:vertAlign w:val="baseline"/>
        </w:rPr>
        <w:t>»</w:t>
      </w:r>
      <w:r>
        <w:rPr>
          <w:rStyle w:val="Refdenotaalpie"/>
          <w:rFonts w:ascii="Arial" w:hAnsi="Arial"/>
          <w:sz w:val="18"/>
          <w:szCs w:val="18"/>
          <w:vertAlign w:val="baseline"/>
        </w:rPr>
        <w:t>.</w:t>
      </w:r>
    </w:p>
  </w:footnote>
  <w:footnote w:id="10">
    <w:p w:rsidR="00192C03" w:rsidRPr="00BA386B" w:rsidRDefault="00192C03" w:rsidP="00FC204B">
      <w:pPr>
        <w:pStyle w:val="13TFundamento"/>
        <w:spacing w:before="120" w:after="120"/>
        <w:ind w:right="-143"/>
        <w:contextualSpacing/>
        <w:jc w:val="both"/>
        <w:rPr>
          <w:rFonts w:ascii="Arial" w:hAnsi="Arial" w:cs="Arial"/>
          <w:sz w:val="18"/>
          <w:szCs w:val="18"/>
        </w:rPr>
      </w:pPr>
      <w:r w:rsidRPr="00BA386B">
        <w:rPr>
          <w:rFonts w:ascii="Arial" w:hAnsi="Arial" w:cs="Arial"/>
          <w:sz w:val="18"/>
          <w:szCs w:val="18"/>
          <w:vertAlign w:val="superscript"/>
        </w:rPr>
        <w:footnoteRef/>
      </w:r>
      <w:r w:rsidRPr="00BA386B">
        <w:rPr>
          <w:rFonts w:ascii="Arial" w:hAnsi="Arial" w:cs="Arial"/>
          <w:sz w:val="18"/>
          <w:szCs w:val="18"/>
          <w:vertAlign w:val="superscript"/>
        </w:rPr>
        <w:t xml:space="preserve"> </w:t>
      </w:r>
      <w:r w:rsidRPr="00BA386B">
        <w:rPr>
          <w:rFonts w:ascii="Arial" w:hAnsi="Arial" w:cs="Arial"/>
          <w:sz w:val="18"/>
          <w:szCs w:val="18"/>
        </w:rPr>
        <w:t>Artículo 239. Efectos de la resolución.</w:t>
      </w:r>
    </w:p>
    <w:p w:rsidR="00192C03" w:rsidRPr="00192C03" w:rsidRDefault="00192C03" w:rsidP="00FC204B">
      <w:pPr>
        <w:pStyle w:val="13TFundamento"/>
        <w:spacing w:before="120" w:after="120"/>
        <w:ind w:right="-143"/>
        <w:contextualSpacing/>
        <w:jc w:val="both"/>
        <w:rPr>
          <w:rFonts w:ascii="Arial" w:hAnsi="Arial" w:cs="Arial"/>
          <w:sz w:val="18"/>
          <w:szCs w:val="18"/>
        </w:rPr>
      </w:pPr>
    </w:p>
    <w:p w:rsidR="00192C03" w:rsidRPr="00BA386B" w:rsidRDefault="00BA386B" w:rsidP="00FC204B">
      <w:pPr>
        <w:pStyle w:val="13TFundamento"/>
        <w:spacing w:before="120" w:after="120"/>
        <w:ind w:right="-143"/>
        <w:contextualSpacing/>
        <w:jc w:val="both"/>
        <w:rPr>
          <w:rFonts w:ascii="Arial" w:hAnsi="Arial" w:cs="Arial"/>
          <w:sz w:val="18"/>
          <w:szCs w:val="18"/>
        </w:rPr>
      </w:pPr>
      <w:r>
        <w:rPr>
          <w:rFonts w:ascii="Calibri" w:hAnsi="Calibri" w:cs="Calibri"/>
          <w:sz w:val="18"/>
          <w:szCs w:val="18"/>
        </w:rPr>
        <w:t>«</w:t>
      </w:r>
      <w:r w:rsidR="00192C03" w:rsidRPr="00BA386B">
        <w:rPr>
          <w:rFonts w:ascii="Arial" w:hAnsi="Arial" w:cs="Arial"/>
          <w:sz w:val="18"/>
          <w:szCs w:val="18"/>
        </w:rPr>
        <w:t>5. Cuando las obras hayan de ser continuadas por otro empresario o por la propia Administración, con carácter de urgencia, por motivos de seguridad o para evitar la ruina de lo construido, el órgano de contratación, una vez que haya notificado al contratista la liquidación de las ejecutadas, podrá acordar su continuación, sin perjuicio de que el contratista pueda impugnar la valoración efectuada ante el propio órgano. El órgano de contratación resolverá lo que proceda en el plazo de quince días</w:t>
      </w:r>
      <w:r>
        <w:rPr>
          <w:rFonts w:ascii="Calibri" w:hAnsi="Calibri" w:cs="Calibri"/>
          <w:sz w:val="18"/>
          <w:szCs w:val="18"/>
        </w:rPr>
        <w:t>»</w:t>
      </w:r>
      <w:r w:rsidR="00192C03" w:rsidRPr="00BA386B">
        <w:rPr>
          <w:rFonts w:ascii="Arial" w:hAnsi="Arial" w:cs="Arial"/>
          <w:sz w:val="18"/>
          <w:szCs w:val="18"/>
        </w:rPr>
        <w:t>.</w:t>
      </w:r>
    </w:p>
  </w:footnote>
  <w:footnote w:id="11">
    <w:p w:rsidR="00E97D27" w:rsidRPr="00B13A9B" w:rsidRDefault="00E97D27" w:rsidP="00FC204B">
      <w:pPr>
        <w:pStyle w:val="Textonotapie"/>
        <w:ind w:right="-143"/>
        <w:rPr>
          <w:rFonts w:ascii="Arial" w:hAnsi="Arial" w:cs="Arial"/>
          <w:sz w:val="18"/>
          <w:szCs w:val="18"/>
        </w:rPr>
      </w:pPr>
      <w:r w:rsidRPr="00B13A9B">
        <w:rPr>
          <w:rStyle w:val="Refdenotaalpie"/>
          <w:rFonts w:ascii="Arial" w:hAnsi="Arial" w:cs="Arial"/>
          <w:sz w:val="18"/>
          <w:szCs w:val="18"/>
        </w:rPr>
        <w:footnoteRef/>
      </w:r>
      <w:hyperlink r:id="rId2" w:history="1">
        <w:r w:rsidRPr="00B13A9B">
          <w:rPr>
            <w:rStyle w:val="Hipervnculo"/>
            <w:rFonts w:ascii="Arial" w:hAnsi="Arial" w:cs="Arial"/>
            <w:color w:val="auto"/>
            <w:sz w:val="18"/>
            <w:szCs w:val="18"/>
          </w:rPr>
          <w:t>http://www.madrid.org/cs/Satellite?cid=1354385753025&amp;language=es&amp;pagename=PortalContratacion%2FPage%2FPCON_listado</w:t>
        </w:r>
      </w:hyperlink>
    </w:p>
    <w:p w:rsidR="00E97D27" w:rsidRPr="00B13A9B" w:rsidRDefault="00E97D27" w:rsidP="00FC204B">
      <w:pPr>
        <w:pStyle w:val="Textonotapie"/>
        <w:ind w:right="-143"/>
      </w:pPr>
    </w:p>
  </w:footnote>
  <w:footnote w:id="12">
    <w:p w:rsidR="00B80A55" w:rsidRPr="00B13A9B" w:rsidRDefault="009841F6" w:rsidP="00FC204B">
      <w:pPr>
        <w:pStyle w:val="Textonotapie"/>
        <w:ind w:right="-143"/>
        <w:jc w:val="both"/>
        <w:rPr>
          <w:rFonts w:ascii="Arial" w:hAnsi="Arial" w:cs="Arial"/>
          <w:sz w:val="18"/>
          <w:szCs w:val="18"/>
        </w:rPr>
      </w:pPr>
      <w:r w:rsidRPr="00B13A9B">
        <w:rPr>
          <w:rStyle w:val="Refdenotaalpie"/>
          <w:rFonts w:ascii="Arial" w:hAnsi="Arial" w:cs="Arial"/>
          <w:sz w:val="18"/>
          <w:szCs w:val="18"/>
        </w:rPr>
        <w:footnoteRef/>
      </w:r>
      <w:r w:rsidRPr="00B13A9B">
        <w:rPr>
          <w:rFonts w:ascii="Arial" w:hAnsi="Arial" w:cs="Arial"/>
          <w:sz w:val="18"/>
          <w:szCs w:val="18"/>
        </w:rPr>
        <w:t xml:space="preserve"> </w:t>
      </w:r>
      <w:r w:rsidR="00AB07D4" w:rsidRPr="00B13A9B">
        <w:rPr>
          <w:rFonts w:ascii="Arial" w:hAnsi="Arial" w:cs="Arial"/>
          <w:sz w:val="18"/>
          <w:szCs w:val="18"/>
        </w:rPr>
        <w:t>Como límite para ambos supuestos, tramitación administrativa y contable, podemos mencionar los artículos 39 y 40 de la nueva LCSP, que incluyen como causa de nulidad «los contratos celebrados con carencia o insuficiencia de crédito» y como causa de anulabilidad «el incumplimiento de las circunstancias y requisitos exigidos para la modificación de los contratos en los artículos 204 y 205»</w:t>
      </w:r>
      <w:r w:rsidR="00B80A55" w:rsidRPr="00B13A9B">
        <w:rPr>
          <w:rFonts w:ascii="Arial" w:hAnsi="Arial" w:cs="Arial"/>
          <w:sz w:val="18"/>
          <w:szCs w:val="18"/>
        </w:rPr>
        <w:t xml:space="preserve"> y los artículos 38 y 43 del mismo texto legal sobre las causas de invalidez de derecho civil.</w:t>
      </w:r>
    </w:p>
    <w:p w:rsidR="00B80A55" w:rsidRPr="00B13A9B" w:rsidRDefault="00B80A55" w:rsidP="00FC204B">
      <w:pPr>
        <w:pStyle w:val="Textonotapie"/>
        <w:ind w:right="-143"/>
        <w:jc w:val="both"/>
        <w:rPr>
          <w:rFonts w:ascii="Arial" w:hAnsi="Arial" w:cs="Arial"/>
          <w:sz w:val="18"/>
          <w:szCs w:val="18"/>
        </w:rPr>
      </w:pPr>
    </w:p>
    <w:p w:rsidR="009841F6" w:rsidRPr="00AB07D4" w:rsidRDefault="00B80A55" w:rsidP="00FC204B">
      <w:pPr>
        <w:pStyle w:val="Textonotapie"/>
        <w:ind w:right="-143"/>
        <w:jc w:val="both"/>
        <w:rPr>
          <w:rFonts w:ascii="Arial" w:hAnsi="Arial" w:cs="Arial"/>
          <w:sz w:val="18"/>
          <w:szCs w:val="18"/>
        </w:rPr>
      </w:pPr>
      <w:r w:rsidRPr="00B13A9B">
        <w:rPr>
          <w:rFonts w:ascii="Arial" w:hAnsi="Arial" w:cs="Arial"/>
          <w:sz w:val="18"/>
          <w:szCs w:val="18"/>
        </w:rPr>
        <w:t>En el mismo sentido, los artículos 32 (nulidad), 33 (anulabilidad) y 36 (invalidez de derecho civil) del TRLCSP.</w:t>
      </w:r>
      <w:r>
        <w:rPr>
          <w:rFonts w:ascii="Arial" w:hAnsi="Arial" w:cs="Arial"/>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912" w:rsidRDefault="00692912" w:rsidP="00A8485C">
    <w:pPr>
      <w:pStyle w:val="Encabezado"/>
      <w:ind w:left="-56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646A3"/>
    <w:multiLevelType w:val="hybridMultilevel"/>
    <w:tmpl w:val="DF5088B4"/>
    <w:lvl w:ilvl="0" w:tplc="040A0017">
      <w:start w:val="1"/>
      <w:numFmt w:val="low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 w15:restartNumberingAfterBreak="0">
    <w:nsid w:val="02C33378"/>
    <w:multiLevelType w:val="hybridMultilevel"/>
    <w:tmpl w:val="E13EAD84"/>
    <w:lvl w:ilvl="0" w:tplc="2C8079D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3B19F7"/>
    <w:multiLevelType w:val="hybridMultilevel"/>
    <w:tmpl w:val="668688B2"/>
    <w:lvl w:ilvl="0" w:tplc="07360C18">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AAC0D9B"/>
    <w:multiLevelType w:val="hybridMultilevel"/>
    <w:tmpl w:val="855C8F52"/>
    <w:lvl w:ilvl="0" w:tplc="CE7E69D4">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0CC33E0C"/>
    <w:multiLevelType w:val="hybridMultilevel"/>
    <w:tmpl w:val="374CC87C"/>
    <w:lvl w:ilvl="0" w:tplc="C05E4B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745BF1"/>
    <w:multiLevelType w:val="hybridMultilevel"/>
    <w:tmpl w:val="2DA6B598"/>
    <w:lvl w:ilvl="0" w:tplc="3D9CF53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3B36F7D"/>
    <w:multiLevelType w:val="hybridMultilevel"/>
    <w:tmpl w:val="DF207824"/>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51D1E15"/>
    <w:multiLevelType w:val="hybridMultilevel"/>
    <w:tmpl w:val="FF0653E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B6F3475"/>
    <w:multiLevelType w:val="hybridMultilevel"/>
    <w:tmpl w:val="80908946"/>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D3A01EC"/>
    <w:multiLevelType w:val="hybridMultilevel"/>
    <w:tmpl w:val="707A8B2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B9A6446"/>
    <w:multiLevelType w:val="hybridMultilevel"/>
    <w:tmpl w:val="F4062D3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59F4BE9"/>
    <w:multiLevelType w:val="hybridMultilevel"/>
    <w:tmpl w:val="F4D8AA9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3999523B"/>
    <w:multiLevelType w:val="hybridMultilevel"/>
    <w:tmpl w:val="6EC84FA8"/>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15:restartNumberingAfterBreak="0">
    <w:nsid w:val="490C0465"/>
    <w:multiLevelType w:val="hybridMultilevel"/>
    <w:tmpl w:val="BB8A0CA4"/>
    <w:lvl w:ilvl="0" w:tplc="44668DEC">
      <w:start w:val="1"/>
      <w:numFmt w:val="lowerLetter"/>
      <w:lvlText w:val="%1)"/>
      <w:lvlJc w:val="right"/>
      <w:pPr>
        <w:ind w:left="720" w:hanging="360"/>
      </w:pPr>
      <w:rPr>
        <w:rFonts w:ascii="Arial" w:eastAsia="Arial" w:hAnsi="Arial" w:cs="Arial"/>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95F1181"/>
    <w:multiLevelType w:val="hybridMultilevel"/>
    <w:tmpl w:val="FD94C762"/>
    <w:lvl w:ilvl="0" w:tplc="0C0A0019">
      <w:start w:val="1"/>
      <w:numFmt w:val="low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B635FB0"/>
    <w:multiLevelType w:val="hybridMultilevel"/>
    <w:tmpl w:val="4C02599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3CB4860"/>
    <w:multiLevelType w:val="hybridMultilevel"/>
    <w:tmpl w:val="CCBAA7DE"/>
    <w:lvl w:ilvl="0" w:tplc="61C8B7C6">
      <w:start w:val="2"/>
      <w:numFmt w:val="bullet"/>
      <w:lvlText w:val="-"/>
      <w:lvlJc w:val="left"/>
      <w:pPr>
        <w:ind w:left="1080" w:hanging="360"/>
      </w:pPr>
      <w:rPr>
        <w:rFonts w:ascii="Arial" w:eastAsia="Arial"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57B63C60"/>
    <w:multiLevelType w:val="hybridMultilevel"/>
    <w:tmpl w:val="E3B6838A"/>
    <w:lvl w:ilvl="0" w:tplc="0C0A000D">
      <w:start w:val="1"/>
      <w:numFmt w:val="bullet"/>
      <w:lvlText w:val=""/>
      <w:lvlJc w:val="left"/>
      <w:pPr>
        <w:ind w:left="1490" w:hanging="360"/>
      </w:pPr>
      <w:rPr>
        <w:rFonts w:ascii="Wingdings" w:hAnsi="Wingdings" w:hint="default"/>
      </w:rPr>
    </w:lvl>
    <w:lvl w:ilvl="1" w:tplc="0C0A0003" w:tentative="1">
      <w:start w:val="1"/>
      <w:numFmt w:val="bullet"/>
      <w:lvlText w:val="o"/>
      <w:lvlJc w:val="left"/>
      <w:pPr>
        <w:ind w:left="2210" w:hanging="360"/>
      </w:pPr>
      <w:rPr>
        <w:rFonts w:ascii="Courier New" w:hAnsi="Courier New" w:cs="Courier New" w:hint="default"/>
      </w:rPr>
    </w:lvl>
    <w:lvl w:ilvl="2" w:tplc="0C0A0005" w:tentative="1">
      <w:start w:val="1"/>
      <w:numFmt w:val="bullet"/>
      <w:lvlText w:val=""/>
      <w:lvlJc w:val="left"/>
      <w:pPr>
        <w:ind w:left="2930" w:hanging="360"/>
      </w:pPr>
      <w:rPr>
        <w:rFonts w:ascii="Wingdings" w:hAnsi="Wingdings" w:hint="default"/>
      </w:rPr>
    </w:lvl>
    <w:lvl w:ilvl="3" w:tplc="0C0A0001" w:tentative="1">
      <w:start w:val="1"/>
      <w:numFmt w:val="bullet"/>
      <w:lvlText w:val=""/>
      <w:lvlJc w:val="left"/>
      <w:pPr>
        <w:ind w:left="3650" w:hanging="360"/>
      </w:pPr>
      <w:rPr>
        <w:rFonts w:ascii="Symbol" w:hAnsi="Symbol" w:hint="default"/>
      </w:rPr>
    </w:lvl>
    <w:lvl w:ilvl="4" w:tplc="0C0A0003" w:tentative="1">
      <w:start w:val="1"/>
      <w:numFmt w:val="bullet"/>
      <w:lvlText w:val="o"/>
      <w:lvlJc w:val="left"/>
      <w:pPr>
        <w:ind w:left="4370" w:hanging="360"/>
      </w:pPr>
      <w:rPr>
        <w:rFonts w:ascii="Courier New" w:hAnsi="Courier New" w:cs="Courier New" w:hint="default"/>
      </w:rPr>
    </w:lvl>
    <w:lvl w:ilvl="5" w:tplc="0C0A0005" w:tentative="1">
      <w:start w:val="1"/>
      <w:numFmt w:val="bullet"/>
      <w:lvlText w:val=""/>
      <w:lvlJc w:val="left"/>
      <w:pPr>
        <w:ind w:left="5090" w:hanging="360"/>
      </w:pPr>
      <w:rPr>
        <w:rFonts w:ascii="Wingdings" w:hAnsi="Wingdings" w:hint="default"/>
      </w:rPr>
    </w:lvl>
    <w:lvl w:ilvl="6" w:tplc="0C0A0001" w:tentative="1">
      <w:start w:val="1"/>
      <w:numFmt w:val="bullet"/>
      <w:lvlText w:val=""/>
      <w:lvlJc w:val="left"/>
      <w:pPr>
        <w:ind w:left="5810" w:hanging="360"/>
      </w:pPr>
      <w:rPr>
        <w:rFonts w:ascii="Symbol" w:hAnsi="Symbol" w:hint="default"/>
      </w:rPr>
    </w:lvl>
    <w:lvl w:ilvl="7" w:tplc="0C0A0003" w:tentative="1">
      <w:start w:val="1"/>
      <w:numFmt w:val="bullet"/>
      <w:lvlText w:val="o"/>
      <w:lvlJc w:val="left"/>
      <w:pPr>
        <w:ind w:left="6530" w:hanging="360"/>
      </w:pPr>
      <w:rPr>
        <w:rFonts w:ascii="Courier New" w:hAnsi="Courier New" w:cs="Courier New" w:hint="default"/>
      </w:rPr>
    </w:lvl>
    <w:lvl w:ilvl="8" w:tplc="0C0A0005" w:tentative="1">
      <w:start w:val="1"/>
      <w:numFmt w:val="bullet"/>
      <w:lvlText w:val=""/>
      <w:lvlJc w:val="left"/>
      <w:pPr>
        <w:ind w:left="7250" w:hanging="360"/>
      </w:pPr>
      <w:rPr>
        <w:rFonts w:ascii="Wingdings" w:hAnsi="Wingdings" w:hint="default"/>
      </w:rPr>
    </w:lvl>
  </w:abstractNum>
  <w:abstractNum w:abstractNumId="18" w15:restartNumberingAfterBreak="0">
    <w:nsid w:val="5A024905"/>
    <w:multiLevelType w:val="hybridMultilevel"/>
    <w:tmpl w:val="57D268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0126F18"/>
    <w:multiLevelType w:val="hybridMultilevel"/>
    <w:tmpl w:val="D47062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19F5372"/>
    <w:multiLevelType w:val="hybridMultilevel"/>
    <w:tmpl w:val="FEAA61B0"/>
    <w:lvl w:ilvl="0" w:tplc="D458B0FA">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1" w15:restartNumberingAfterBreak="0">
    <w:nsid w:val="63AE4CD5"/>
    <w:multiLevelType w:val="hybridMultilevel"/>
    <w:tmpl w:val="562EAF7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694F442F"/>
    <w:multiLevelType w:val="hybridMultilevel"/>
    <w:tmpl w:val="13667CDA"/>
    <w:lvl w:ilvl="0" w:tplc="0C0A001B">
      <w:start w:val="1"/>
      <w:numFmt w:val="lowerRoman"/>
      <w:lvlText w:val="%1."/>
      <w:lvlJc w:val="right"/>
      <w:pPr>
        <w:ind w:left="1800" w:hanging="360"/>
      </w:pPr>
    </w:lvl>
    <w:lvl w:ilvl="1" w:tplc="040A0019" w:tentative="1">
      <w:start w:val="1"/>
      <w:numFmt w:val="lowerLetter"/>
      <w:lvlText w:val="%2."/>
      <w:lvlJc w:val="left"/>
      <w:pPr>
        <w:ind w:left="2520" w:hanging="360"/>
      </w:pPr>
    </w:lvl>
    <w:lvl w:ilvl="2" w:tplc="040A001B" w:tentative="1">
      <w:start w:val="1"/>
      <w:numFmt w:val="lowerRoman"/>
      <w:lvlText w:val="%3."/>
      <w:lvlJc w:val="right"/>
      <w:pPr>
        <w:ind w:left="3240" w:hanging="180"/>
      </w:pPr>
    </w:lvl>
    <w:lvl w:ilvl="3" w:tplc="040A000F" w:tentative="1">
      <w:start w:val="1"/>
      <w:numFmt w:val="decimal"/>
      <w:lvlText w:val="%4."/>
      <w:lvlJc w:val="left"/>
      <w:pPr>
        <w:ind w:left="3960" w:hanging="360"/>
      </w:pPr>
    </w:lvl>
    <w:lvl w:ilvl="4" w:tplc="040A0019" w:tentative="1">
      <w:start w:val="1"/>
      <w:numFmt w:val="lowerLetter"/>
      <w:lvlText w:val="%5."/>
      <w:lvlJc w:val="left"/>
      <w:pPr>
        <w:ind w:left="4680" w:hanging="360"/>
      </w:pPr>
    </w:lvl>
    <w:lvl w:ilvl="5" w:tplc="040A001B" w:tentative="1">
      <w:start w:val="1"/>
      <w:numFmt w:val="lowerRoman"/>
      <w:lvlText w:val="%6."/>
      <w:lvlJc w:val="right"/>
      <w:pPr>
        <w:ind w:left="5400" w:hanging="180"/>
      </w:pPr>
    </w:lvl>
    <w:lvl w:ilvl="6" w:tplc="040A000F" w:tentative="1">
      <w:start w:val="1"/>
      <w:numFmt w:val="decimal"/>
      <w:lvlText w:val="%7."/>
      <w:lvlJc w:val="left"/>
      <w:pPr>
        <w:ind w:left="6120" w:hanging="360"/>
      </w:pPr>
    </w:lvl>
    <w:lvl w:ilvl="7" w:tplc="040A0019" w:tentative="1">
      <w:start w:val="1"/>
      <w:numFmt w:val="lowerLetter"/>
      <w:lvlText w:val="%8."/>
      <w:lvlJc w:val="left"/>
      <w:pPr>
        <w:ind w:left="6840" w:hanging="360"/>
      </w:pPr>
    </w:lvl>
    <w:lvl w:ilvl="8" w:tplc="040A001B" w:tentative="1">
      <w:start w:val="1"/>
      <w:numFmt w:val="lowerRoman"/>
      <w:lvlText w:val="%9."/>
      <w:lvlJc w:val="right"/>
      <w:pPr>
        <w:ind w:left="7560" w:hanging="180"/>
      </w:pPr>
    </w:lvl>
  </w:abstractNum>
  <w:abstractNum w:abstractNumId="23" w15:restartNumberingAfterBreak="0">
    <w:nsid w:val="7076278C"/>
    <w:multiLevelType w:val="hybridMultilevel"/>
    <w:tmpl w:val="51BE7AB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71132EAC"/>
    <w:multiLevelType w:val="hybridMultilevel"/>
    <w:tmpl w:val="67A8312C"/>
    <w:lvl w:ilvl="0" w:tplc="0C0A001B">
      <w:start w:val="1"/>
      <w:numFmt w:val="lowerRoman"/>
      <w:lvlText w:val="%1."/>
      <w:lvlJc w:val="righ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5" w15:restartNumberingAfterBreak="0">
    <w:nsid w:val="745B0712"/>
    <w:multiLevelType w:val="hybridMultilevel"/>
    <w:tmpl w:val="6BA619F6"/>
    <w:lvl w:ilvl="0" w:tplc="6DD8977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6" w15:restartNumberingAfterBreak="0">
    <w:nsid w:val="77F71501"/>
    <w:multiLevelType w:val="hybridMultilevel"/>
    <w:tmpl w:val="08923A88"/>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7" w15:restartNumberingAfterBreak="0">
    <w:nsid w:val="7A88197D"/>
    <w:multiLevelType w:val="hybridMultilevel"/>
    <w:tmpl w:val="BBBA515A"/>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7BD144FE"/>
    <w:multiLevelType w:val="hybridMultilevel"/>
    <w:tmpl w:val="0278F0E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BD26D41"/>
    <w:multiLevelType w:val="hybridMultilevel"/>
    <w:tmpl w:val="6A20AA4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7EF83681"/>
    <w:multiLevelType w:val="multilevel"/>
    <w:tmpl w:val="5B3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9"/>
  </w:num>
  <w:num w:numId="4">
    <w:abstractNumId w:val="8"/>
  </w:num>
  <w:num w:numId="5">
    <w:abstractNumId w:val="23"/>
  </w:num>
  <w:num w:numId="6">
    <w:abstractNumId w:val="3"/>
  </w:num>
  <w:num w:numId="7">
    <w:abstractNumId w:val="22"/>
  </w:num>
  <w:num w:numId="8">
    <w:abstractNumId w:val="13"/>
  </w:num>
  <w:num w:numId="9">
    <w:abstractNumId w:val="24"/>
  </w:num>
  <w:num w:numId="10">
    <w:abstractNumId w:val="2"/>
  </w:num>
  <w:num w:numId="11">
    <w:abstractNumId w:val="20"/>
  </w:num>
  <w:num w:numId="12">
    <w:abstractNumId w:val="14"/>
  </w:num>
  <w:num w:numId="13">
    <w:abstractNumId w:val="27"/>
  </w:num>
  <w:num w:numId="14">
    <w:abstractNumId w:val="29"/>
  </w:num>
  <w:num w:numId="15">
    <w:abstractNumId w:val="11"/>
  </w:num>
  <w:num w:numId="16">
    <w:abstractNumId w:val="6"/>
  </w:num>
  <w:num w:numId="17">
    <w:abstractNumId w:val="30"/>
  </w:num>
  <w:num w:numId="18">
    <w:abstractNumId w:val="19"/>
  </w:num>
  <w:num w:numId="19">
    <w:abstractNumId w:val="16"/>
  </w:num>
  <w:num w:numId="20">
    <w:abstractNumId w:val="15"/>
  </w:num>
  <w:num w:numId="21">
    <w:abstractNumId w:val="28"/>
  </w:num>
  <w:num w:numId="22">
    <w:abstractNumId w:val="18"/>
  </w:num>
  <w:num w:numId="23">
    <w:abstractNumId w:val="4"/>
  </w:num>
  <w:num w:numId="24">
    <w:abstractNumId w:val="17"/>
  </w:num>
  <w:num w:numId="25">
    <w:abstractNumId w:val="26"/>
  </w:num>
  <w:num w:numId="26">
    <w:abstractNumId w:val="12"/>
  </w:num>
  <w:num w:numId="27">
    <w:abstractNumId w:val="25"/>
  </w:num>
  <w:num w:numId="28">
    <w:abstractNumId w:val="21"/>
  </w:num>
  <w:num w:numId="29">
    <w:abstractNumId w:val="7"/>
  </w:num>
  <w:num w:numId="30">
    <w:abstractNumId w:val="1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85C"/>
    <w:rsid w:val="00000F29"/>
    <w:rsid w:val="00006185"/>
    <w:rsid w:val="00006A94"/>
    <w:rsid w:val="000159D9"/>
    <w:rsid w:val="00015EC9"/>
    <w:rsid w:val="000251B8"/>
    <w:rsid w:val="0002520F"/>
    <w:rsid w:val="0002608C"/>
    <w:rsid w:val="00032D96"/>
    <w:rsid w:val="00032EB6"/>
    <w:rsid w:val="00051B23"/>
    <w:rsid w:val="00051B51"/>
    <w:rsid w:val="00061A36"/>
    <w:rsid w:val="00067D73"/>
    <w:rsid w:val="0007120D"/>
    <w:rsid w:val="00071555"/>
    <w:rsid w:val="0007465C"/>
    <w:rsid w:val="0008002D"/>
    <w:rsid w:val="00081899"/>
    <w:rsid w:val="00084FBB"/>
    <w:rsid w:val="000870E7"/>
    <w:rsid w:val="00087E1C"/>
    <w:rsid w:val="000942EF"/>
    <w:rsid w:val="00096216"/>
    <w:rsid w:val="00096743"/>
    <w:rsid w:val="00097CAD"/>
    <w:rsid w:val="000A7DDC"/>
    <w:rsid w:val="000C3493"/>
    <w:rsid w:val="000C4374"/>
    <w:rsid w:val="000C4EDA"/>
    <w:rsid w:val="000C5245"/>
    <w:rsid w:val="000C5EF8"/>
    <w:rsid w:val="000C65FA"/>
    <w:rsid w:val="000E1CA5"/>
    <w:rsid w:val="000F0041"/>
    <w:rsid w:val="000F2EF2"/>
    <w:rsid w:val="000F3830"/>
    <w:rsid w:val="000F4470"/>
    <w:rsid w:val="000F5A30"/>
    <w:rsid w:val="000F6346"/>
    <w:rsid w:val="000F770C"/>
    <w:rsid w:val="00101BA3"/>
    <w:rsid w:val="00103282"/>
    <w:rsid w:val="00105625"/>
    <w:rsid w:val="00105743"/>
    <w:rsid w:val="00106DAF"/>
    <w:rsid w:val="0011236B"/>
    <w:rsid w:val="00121C1B"/>
    <w:rsid w:val="00125CA4"/>
    <w:rsid w:val="001263B6"/>
    <w:rsid w:val="00126D16"/>
    <w:rsid w:val="00126FBC"/>
    <w:rsid w:val="00127CBC"/>
    <w:rsid w:val="00130E1D"/>
    <w:rsid w:val="00133E5A"/>
    <w:rsid w:val="00134EEC"/>
    <w:rsid w:val="00140E0A"/>
    <w:rsid w:val="00144758"/>
    <w:rsid w:val="00146BB8"/>
    <w:rsid w:val="00151A2B"/>
    <w:rsid w:val="0015689C"/>
    <w:rsid w:val="00160CEC"/>
    <w:rsid w:val="001659C6"/>
    <w:rsid w:val="00166335"/>
    <w:rsid w:val="00174D46"/>
    <w:rsid w:val="0017741A"/>
    <w:rsid w:val="00183263"/>
    <w:rsid w:val="00184737"/>
    <w:rsid w:val="0018520A"/>
    <w:rsid w:val="00186CEF"/>
    <w:rsid w:val="001919B7"/>
    <w:rsid w:val="00192C03"/>
    <w:rsid w:val="001946DB"/>
    <w:rsid w:val="001A3C19"/>
    <w:rsid w:val="001A709A"/>
    <w:rsid w:val="001B159C"/>
    <w:rsid w:val="001B4E16"/>
    <w:rsid w:val="001B699E"/>
    <w:rsid w:val="001C4B0C"/>
    <w:rsid w:val="001C7C9C"/>
    <w:rsid w:val="001D6820"/>
    <w:rsid w:val="001D6E9F"/>
    <w:rsid w:val="001E14D2"/>
    <w:rsid w:val="001E29C5"/>
    <w:rsid w:val="001E3215"/>
    <w:rsid w:val="001E36A0"/>
    <w:rsid w:val="001E4B97"/>
    <w:rsid w:val="001E4F15"/>
    <w:rsid w:val="001F3112"/>
    <w:rsid w:val="001F65B8"/>
    <w:rsid w:val="00204B33"/>
    <w:rsid w:val="00213582"/>
    <w:rsid w:val="00221239"/>
    <w:rsid w:val="0022127A"/>
    <w:rsid w:val="0022154C"/>
    <w:rsid w:val="002257D2"/>
    <w:rsid w:val="002325A0"/>
    <w:rsid w:val="002437D6"/>
    <w:rsid w:val="0024398E"/>
    <w:rsid w:val="00250AE9"/>
    <w:rsid w:val="00254853"/>
    <w:rsid w:val="00255B71"/>
    <w:rsid w:val="00261AB3"/>
    <w:rsid w:val="00271C63"/>
    <w:rsid w:val="00280AB6"/>
    <w:rsid w:val="00285222"/>
    <w:rsid w:val="00285295"/>
    <w:rsid w:val="002866E4"/>
    <w:rsid w:val="002878FA"/>
    <w:rsid w:val="00290EA3"/>
    <w:rsid w:val="00292DBD"/>
    <w:rsid w:val="00293D0C"/>
    <w:rsid w:val="00296496"/>
    <w:rsid w:val="00296BD3"/>
    <w:rsid w:val="00297C22"/>
    <w:rsid w:val="002A6682"/>
    <w:rsid w:val="002B5B19"/>
    <w:rsid w:val="002C4A7C"/>
    <w:rsid w:val="002C4CDB"/>
    <w:rsid w:val="002C55A0"/>
    <w:rsid w:val="002C56AC"/>
    <w:rsid w:val="002C6B25"/>
    <w:rsid w:val="002D5078"/>
    <w:rsid w:val="002D59C6"/>
    <w:rsid w:val="002D7959"/>
    <w:rsid w:val="002E253C"/>
    <w:rsid w:val="002E399A"/>
    <w:rsid w:val="002E4D77"/>
    <w:rsid w:val="002E53F2"/>
    <w:rsid w:val="002F03A7"/>
    <w:rsid w:val="00304CCC"/>
    <w:rsid w:val="003055F7"/>
    <w:rsid w:val="0030628A"/>
    <w:rsid w:val="003072D7"/>
    <w:rsid w:val="00311468"/>
    <w:rsid w:val="00313D29"/>
    <w:rsid w:val="003220F3"/>
    <w:rsid w:val="00330888"/>
    <w:rsid w:val="0033225F"/>
    <w:rsid w:val="0033472B"/>
    <w:rsid w:val="00336EA2"/>
    <w:rsid w:val="003377A8"/>
    <w:rsid w:val="003471CC"/>
    <w:rsid w:val="00350464"/>
    <w:rsid w:val="00360EF1"/>
    <w:rsid w:val="00363D55"/>
    <w:rsid w:val="00364B36"/>
    <w:rsid w:val="00364FC5"/>
    <w:rsid w:val="00365A75"/>
    <w:rsid w:val="00371A62"/>
    <w:rsid w:val="003736D7"/>
    <w:rsid w:val="00373B1C"/>
    <w:rsid w:val="00381F6E"/>
    <w:rsid w:val="00382FB8"/>
    <w:rsid w:val="00383000"/>
    <w:rsid w:val="0038682F"/>
    <w:rsid w:val="00386BA1"/>
    <w:rsid w:val="00386D94"/>
    <w:rsid w:val="003956E0"/>
    <w:rsid w:val="003A52BB"/>
    <w:rsid w:val="003A6348"/>
    <w:rsid w:val="003B191B"/>
    <w:rsid w:val="003B5CF0"/>
    <w:rsid w:val="003B69A3"/>
    <w:rsid w:val="003B7B87"/>
    <w:rsid w:val="003C1D5E"/>
    <w:rsid w:val="003D48D0"/>
    <w:rsid w:val="003E0D0B"/>
    <w:rsid w:val="003E302D"/>
    <w:rsid w:val="003E477D"/>
    <w:rsid w:val="003F6DDC"/>
    <w:rsid w:val="00400414"/>
    <w:rsid w:val="00402E02"/>
    <w:rsid w:val="00407AC2"/>
    <w:rsid w:val="004149AD"/>
    <w:rsid w:val="00417FC3"/>
    <w:rsid w:val="00420F01"/>
    <w:rsid w:val="00422898"/>
    <w:rsid w:val="00427FBA"/>
    <w:rsid w:val="00430FB5"/>
    <w:rsid w:val="0043170C"/>
    <w:rsid w:val="00432A79"/>
    <w:rsid w:val="00434DF6"/>
    <w:rsid w:val="004352BA"/>
    <w:rsid w:val="00436907"/>
    <w:rsid w:val="00442BA3"/>
    <w:rsid w:val="004461C2"/>
    <w:rsid w:val="00460B0B"/>
    <w:rsid w:val="004623EA"/>
    <w:rsid w:val="00467BD9"/>
    <w:rsid w:val="00483188"/>
    <w:rsid w:val="00487F79"/>
    <w:rsid w:val="004952FD"/>
    <w:rsid w:val="004953E7"/>
    <w:rsid w:val="00497AE8"/>
    <w:rsid w:val="004A09F7"/>
    <w:rsid w:val="004A1F0E"/>
    <w:rsid w:val="004A55C0"/>
    <w:rsid w:val="004B3AE7"/>
    <w:rsid w:val="004C6CB3"/>
    <w:rsid w:val="004D1FEC"/>
    <w:rsid w:val="004D3618"/>
    <w:rsid w:val="004D361B"/>
    <w:rsid w:val="004D3DC1"/>
    <w:rsid w:val="004D4109"/>
    <w:rsid w:val="004D41EF"/>
    <w:rsid w:val="004D4608"/>
    <w:rsid w:val="004D6124"/>
    <w:rsid w:val="004D7CB2"/>
    <w:rsid w:val="004D7DF2"/>
    <w:rsid w:val="004E3A0C"/>
    <w:rsid w:val="004E4EF9"/>
    <w:rsid w:val="004F3F2F"/>
    <w:rsid w:val="00501BF4"/>
    <w:rsid w:val="00506669"/>
    <w:rsid w:val="00507337"/>
    <w:rsid w:val="005103E9"/>
    <w:rsid w:val="0051055D"/>
    <w:rsid w:val="00511141"/>
    <w:rsid w:val="00515939"/>
    <w:rsid w:val="00516F66"/>
    <w:rsid w:val="00521D4F"/>
    <w:rsid w:val="00521E53"/>
    <w:rsid w:val="00535BCD"/>
    <w:rsid w:val="005439AD"/>
    <w:rsid w:val="00543C14"/>
    <w:rsid w:val="005449FB"/>
    <w:rsid w:val="0054504F"/>
    <w:rsid w:val="0054683F"/>
    <w:rsid w:val="00551194"/>
    <w:rsid w:val="0055131C"/>
    <w:rsid w:val="00551FE0"/>
    <w:rsid w:val="005557D2"/>
    <w:rsid w:val="00560850"/>
    <w:rsid w:val="005612B9"/>
    <w:rsid w:val="005729D5"/>
    <w:rsid w:val="00573BF5"/>
    <w:rsid w:val="00574CA7"/>
    <w:rsid w:val="0058688B"/>
    <w:rsid w:val="005877D3"/>
    <w:rsid w:val="0059013B"/>
    <w:rsid w:val="00590E1C"/>
    <w:rsid w:val="005A028B"/>
    <w:rsid w:val="005A4A24"/>
    <w:rsid w:val="005A6931"/>
    <w:rsid w:val="005B1A6C"/>
    <w:rsid w:val="005B5245"/>
    <w:rsid w:val="005C2B58"/>
    <w:rsid w:val="005C2B70"/>
    <w:rsid w:val="005C6074"/>
    <w:rsid w:val="005D3411"/>
    <w:rsid w:val="005D6792"/>
    <w:rsid w:val="005D6A35"/>
    <w:rsid w:val="005D6F3E"/>
    <w:rsid w:val="005E022E"/>
    <w:rsid w:val="005E4422"/>
    <w:rsid w:val="005F605C"/>
    <w:rsid w:val="006019B5"/>
    <w:rsid w:val="00607FF0"/>
    <w:rsid w:val="00614CFC"/>
    <w:rsid w:val="006161CA"/>
    <w:rsid w:val="00617CE0"/>
    <w:rsid w:val="00623899"/>
    <w:rsid w:val="006364A5"/>
    <w:rsid w:val="00637B98"/>
    <w:rsid w:val="00641751"/>
    <w:rsid w:val="006446C7"/>
    <w:rsid w:val="00645794"/>
    <w:rsid w:val="00647210"/>
    <w:rsid w:val="006526BB"/>
    <w:rsid w:val="006534C8"/>
    <w:rsid w:val="006549C0"/>
    <w:rsid w:val="00656A1C"/>
    <w:rsid w:val="006705F8"/>
    <w:rsid w:val="00670638"/>
    <w:rsid w:val="00671ED1"/>
    <w:rsid w:val="006753D8"/>
    <w:rsid w:val="00676602"/>
    <w:rsid w:val="00676E9F"/>
    <w:rsid w:val="006779AA"/>
    <w:rsid w:val="0068052A"/>
    <w:rsid w:val="00686879"/>
    <w:rsid w:val="0068763B"/>
    <w:rsid w:val="006915A4"/>
    <w:rsid w:val="00692912"/>
    <w:rsid w:val="00693987"/>
    <w:rsid w:val="006963B3"/>
    <w:rsid w:val="006A1C1E"/>
    <w:rsid w:val="006A29BD"/>
    <w:rsid w:val="006A35F9"/>
    <w:rsid w:val="006A4A6A"/>
    <w:rsid w:val="006A5E58"/>
    <w:rsid w:val="006C0610"/>
    <w:rsid w:val="006C6BD7"/>
    <w:rsid w:val="006C773B"/>
    <w:rsid w:val="006D3EC6"/>
    <w:rsid w:val="006D40C1"/>
    <w:rsid w:val="006E08C7"/>
    <w:rsid w:val="006F0111"/>
    <w:rsid w:val="006F57FB"/>
    <w:rsid w:val="006F5A93"/>
    <w:rsid w:val="006F5EE7"/>
    <w:rsid w:val="006F7C96"/>
    <w:rsid w:val="007058CF"/>
    <w:rsid w:val="0070762D"/>
    <w:rsid w:val="00710AE5"/>
    <w:rsid w:val="007132FB"/>
    <w:rsid w:val="0071401A"/>
    <w:rsid w:val="00720C01"/>
    <w:rsid w:val="00723F0F"/>
    <w:rsid w:val="00725668"/>
    <w:rsid w:val="00732754"/>
    <w:rsid w:val="00732B49"/>
    <w:rsid w:val="007335AD"/>
    <w:rsid w:val="0073631E"/>
    <w:rsid w:val="0074186C"/>
    <w:rsid w:val="007442F5"/>
    <w:rsid w:val="00746038"/>
    <w:rsid w:val="00750FB8"/>
    <w:rsid w:val="00751636"/>
    <w:rsid w:val="007558B6"/>
    <w:rsid w:val="00761D2B"/>
    <w:rsid w:val="007627FD"/>
    <w:rsid w:val="00765E1D"/>
    <w:rsid w:val="007663F4"/>
    <w:rsid w:val="00767E99"/>
    <w:rsid w:val="0077056D"/>
    <w:rsid w:val="00773B69"/>
    <w:rsid w:val="00775163"/>
    <w:rsid w:val="007763AD"/>
    <w:rsid w:val="00780866"/>
    <w:rsid w:val="007808EB"/>
    <w:rsid w:val="007828F8"/>
    <w:rsid w:val="00785DD2"/>
    <w:rsid w:val="0078665E"/>
    <w:rsid w:val="00792AAC"/>
    <w:rsid w:val="00793ED5"/>
    <w:rsid w:val="007A1823"/>
    <w:rsid w:val="007A5D71"/>
    <w:rsid w:val="007B5918"/>
    <w:rsid w:val="007C303D"/>
    <w:rsid w:val="007C3D77"/>
    <w:rsid w:val="007C3DA1"/>
    <w:rsid w:val="007C422D"/>
    <w:rsid w:val="007C7ADA"/>
    <w:rsid w:val="007D2395"/>
    <w:rsid w:val="007D457F"/>
    <w:rsid w:val="007E0C69"/>
    <w:rsid w:val="007E15F4"/>
    <w:rsid w:val="007F3811"/>
    <w:rsid w:val="008040BB"/>
    <w:rsid w:val="00810BA9"/>
    <w:rsid w:val="00811D49"/>
    <w:rsid w:val="0081287D"/>
    <w:rsid w:val="00813408"/>
    <w:rsid w:val="00813428"/>
    <w:rsid w:val="008135F2"/>
    <w:rsid w:val="00813CA4"/>
    <w:rsid w:val="00816119"/>
    <w:rsid w:val="00823D12"/>
    <w:rsid w:val="0082614B"/>
    <w:rsid w:val="00830A95"/>
    <w:rsid w:val="00835888"/>
    <w:rsid w:val="00837EFA"/>
    <w:rsid w:val="00842C02"/>
    <w:rsid w:val="00844EA5"/>
    <w:rsid w:val="008510C9"/>
    <w:rsid w:val="008654B4"/>
    <w:rsid w:val="0086699F"/>
    <w:rsid w:val="0087353A"/>
    <w:rsid w:val="00873FB5"/>
    <w:rsid w:val="00881369"/>
    <w:rsid w:val="0088243F"/>
    <w:rsid w:val="00882F2E"/>
    <w:rsid w:val="00886D72"/>
    <w:rsid w:val="00893181"/>
    <w:rsid w:val="008D6168"/>
    <w:rsid w:val="008D7FFA"/>
    <w:rsid w:val="008E41A2"/>
    <w:rsid w:val="008E4D2D"/>
    <w:rsid w:val="008E7866"/>
    <w:rsid w:val="00905AAB"/>
    <w:rsid w:val="00907136"/>
    <w:rsid w:val="009122A0"/>
    <w:rsid w:val="00912953"/>
    <w:rsid w:val="009213E3"/>
    <w:rsid w:val="00932815"/>
    <w:rsid w:val="00934472"/>
    <w:rsid w:val="00934DB3"/>
    <w:rsid w:val="009360AC"/>
    <w:rsid w:val="009375EC"/>
    <w:rsid w:val="00941F6D"/>
    <w:rsid w:val="00945BA6"/>
    <w:rsid w:val="009479DB"/>
    <w:rsid w:val="009505FD"/>
    <w:rsid w:val="00963A49"/>
    <w:rsid w:val="009701A1"/>
    <w:rsid w:val="00970BF1"/>
    <w:rsid w:val="00975232"/>
    <w:rsid w:val="00980E5E"/>
    <w:rsid w:val="00982ABC"/>
    <w:rsid w:val="00983731"/>
    <w:rsid w:val="009841F6"/>
    <w:rsid w:val="00984395"/>
    <w:rsid w:val="0098459A"/>
    <w:rsid w:val="00984B96"/>
    <w:rsid w:val="009932B0"/>
    <w:rsid w:val="009A043B"/>
    <w:rsid w:val="009A046E"/>
    <w:rsid w:val="009A0641"/>
    <w:rsid w:val="009A1851"/>
    <w:rsid w:val="009A35C2"/>
    <w:rsid w:val="009A7DD8"/>
    <w:rsid w:val="009B00C9"/>
    <w:rsid w:val="009B205D"/>
    <w:rsid w:val="009B5473"/>
    <w:rsid w:val="009B5557"/>
    <w:rsid w:val="009C1B63"/>
    <w:rsid w:val="009C36A3"/>
    <w:rsid w:val="009C6E7C"/>
    <w:rsid w:val="009C7F85"/>
    <w:rsid w:val="009E5327"/>
    <w:rsid w:val="009E57A2"/>
    <w:rsid w:val="009F3658"/>
    <w:rsid w:val="009F3A7A"/>
    <w:rsid w:val="00A05D71"/>
    <w:rsid w:val="00A06029"/>
    <w:rsid w:val="00A107B9"/>
    <w:rsid w:val="00A11ECA"/>
    <w:rsid w:val="00A1241A"/>
    <w:rsid w:val="00A124A5"/>
    <w:rsid w:val="00A1448F"/>
    <w:rsid w:val="00A154C7"/>
    <w:rsid w:val="00A2264C"/>
    <w:rsid w:val="00A25A20"/>
    <w:rsid w:val="00A34348"/>
    <w:rsid w:val="00A34C4B"/>
    <w:rsid w:val="00A42285"/>
    <w:rsid w:val="00A42307"/>
    <w:rsid w:val="00A4795D"/>
    <w:rsid w:val="00A52CEC"/>
    <w:rsid w:val="00A54BAE"/>
    <w:rsid w:val="00A565BE"/>
    <w:rsid w:val="00A56F9B"/>
    <w:rsid w:val="00A6029D"/>
    <w:rsid w:val="00A6243A"/>
    <w:rsid w:val="00A75834"/>
    <w:rsid w:val="00A75BAC"/>
    <w:rsid w:val="00A8011D"/>
    <w:rsid w:val="00A825B8"/>
    <w:rsid w:val="00A8485C"/>
    <w:rsid w:val="00A86CA0"/>
    <w:rsid w:val="00A97B23"/>
    <w:rsid w:val="00AA0C3E"/>
    <w:rsid w:val="00AA31A8"/>
    <w:rsid w:val="00AB07D4"/>
    <w:rsid w:val="00AB20CE"/>
    <w:rsid w:val="00AB355D"/>
    <w:rsid w:val="00AB44DD"/>
    <w:rsid w:val="00AB4A57"/>
    <w:rsid w:val="00AC072C"/>
    <w:rsid w:val="00AC28ED"/>
    <w:rsid w:val="00AC36B3"/>
    <w:rsid w:val="00AC752E"/>
    <w:rsid w:val="00AD209E"/>
    <w:rsid w:val="00AD483E"/>
    <w:rsid w:val="00AD7FB2"/>
    <w:rsid w:val="00AE29DE"/>
    <w:rsid w:val="00AE5B04"/>
    <w:rsid w:val="00AE64A4"/>
    <w:rsid w:val="00AE6D25"/>
    <w:rsid w:val="00AF0E7A"/>
    <w:rsid w:val="00AF2827"/>
    <w:rsid w:val="00AF32C8"/>
    <w:rsid w:val="00AF3499"/>
    <w:rsid w:val="00AF52E6"/>
    <w:rsid w:val="00AF710F"/>
    <w:rsid w:val="00B004F8"/>
    <w:rsid w:val="00B018B1"/>
    <w:rsid w:val="00B03843"/>
    <w:rsid w:val="00B11E0B"/>
    <w:rsid w:val="00B13A9B"/>
    <w:rsid w:val="00B1411D"/>
    <w:rsid w:val="00B1726B"/>
    <w:rsid w:val="00B210B6"/>
    <w:rsid w:val="00B219CA"/>
    <w:rsid w:val="00B22087"/>
    <w:rsid w:val="00B22918"/>
    <w:rsid w:val="00B2308C"/>
    <w:rsid w:val="00B243F0"/>
    <w:rsid w:val="00B255A1"/>
    <w:rsid w:val="00B258A0"/>
    <w:rsid w:val="00B32DBB"/>
    <w:rsid w:val="00B34139"/>
    <w:rsid w:val="00B3492C"/>
    <w:rsid w:val="00B43246"/>
    <w:rsid w:val="00B44567"/>
    <w:rsid w:val="00B4578E"/>
    <w:rsid w:val="00B61831"/>
    <w:rsid w:val="00B61856"/>
    <w:rsid w:val="00B6203D"/>
    <w:rsid w:val="00B63D40"/>
    <w:rsid w:val="00B76E70"/>
    <w:rsid w:val="00B77D4C"/>
    <w:rsid w:val="00B80A55"/>
    <w:rsid w:val="00B82BB2"/>
    <w:rsid w:val="00B84822"/>
    <w:rsid w:val="00B90B16"/>
    <w:rsid w:val="00B92EF3"/>
    <w:rsid w:val="00B9349E"/>
    <w:rsid w:val="00B947D0"/>
    <w:rsid w:val="00BA2FE2"/>
    <w:rsid w:val="00BA386B"/>
    <w:rsid w:val="00BA4C1D"/>
    <w:rsid w:val="00BA520D"/>
    <w:rsid w:val="00BA674C"/>
    <w:rsid w:val="00BB17C3"/>
    <w:rsid w:val="00BB3B05"/>
    <w:rsid w:val="00BC04A4"/>
    <w:rsid w:val="00BC138A"/>
    <w:rsid w:val="00BC53CB"/>
    <w:rsid w:val="00BD018B"/>
    <w:rsid w:val="00BD3322"/>
    <w:rsid w:val="00BD3D0C"/>
    <w:rsid w:val="00BD4E58"/>
    <w:rsid w:val="00BD54C5"/>
    <w:rsid w:val="00BD6D50"/>
    <w:rsid w:val="00BE00F5"/>
    <w:rsid w:val="00BE0A6E"/>
    <w:rsid w:val="00BE4130"/>
    <w:rsid w:val="00BE785F"/>
    <w:rsid w:val="00BF1B30"/>
    <w:rsid w:val="00BF5831"/>
    <w:rsid w:val="00C01186"/>
    <w:rsid w:val="00C103BF"/>
    <w:rsid w:val="00C12A9C"/>
    <w:rsid w:val="00C14E16"/>
    <w:rsid w:val="00C2024F"/>
    <w:rsid w:val="00C20E61"/>
    <w:rsid w:val="00C21A7C"/>
    <w:rsid w:val="00C21CB4"/>
    <w:rsid w:val="00C2378F"/>
    <w:rsid w:val="00C24566"/>
    <w:rsid w:val="00C30DCF"/>
    <w:rsid w:val="00C43163"/>
    <w:rsid w:val="00C52366"/>
    <w:rsid w:val="00C52B17"/>
    <w:rsid w:val="00C55197"/>
    <w:rsid w:val="00C562D8"/>
    <w:rsid w:val="00C6122A"/>
    <w:rsid w:val="00C6348D"/>
    <w:rsid w:val="00C654FB"/>
    <w:rsid w:val="00C77518"/>
    <w:rsid w:val="00C83470"/>
    <w:rsid w:val="00C94249"/>
    <w:rsid w:val="00C96CEB"/>
    <w:rsid w:val="00CA5D2F"/>
    <w:rsid w:val="00CA6774"/>
    <w:rsid w:val="00CB11A2"/>
    <w:rsid w:val="00CB44E8"/>
    <w:rsid w:val="00CC6AD2"/>
    <w:rsid w:val="00CD1D83"/>
    <w:rsid w:val="00CD362D"/>
    <w:rsid w:val="00CD3892"/>
    <w:rsid w:val="00CD7749"/>
    <w:rsid w:val="00D00208"/>
    <w:rsid w:val="00D007EA"/>
    <w:rsid w:val="00D06C76"/>
    <w:rsid w:val="00D114BF"/>
    <w:rsid w:val="00D11DB5"/>
    <w:rsid w:val="00D13452"/>
    <w:rsid w:val="00D14A3B"/>
    <w:rsid w:val="00D15114"/>
    <w:rsid w:val="00D16F5F"/>
    <w:rsid w:val="00D17D6F"/>
    <w:rsid w:val="00D17FF6"/>
    <w:rsid w:val="00D23D6F"/>
    <w:rsid w:val="00D26AA3"/>
    <w:rsid w:val="00D3096E"/>
    <w:rsid w:val="00D404A4"/>
    <w:rsid w:val="00D43149"/>
    <w:rsid w:val="00D43B06"/>
    <w:rsid w:val="00D43FCE"/>
    <w:rsid w:val="00D6467E"/>
    <w:rsid w:val="00D6657E"/>
    <w:rsid w:val="00D7136B"/>
    <w:rsid w:val="00D825B5"/>
    <w:rsid w:val="00D91BCD"/>
    <w:rsid w:val="00D9224F"/>
    <w:rsid w:val="00DA06BD"/>
    <w:rsid w:val="00DA75FD"/>
    <w:rsid w:val="00DB33E1"/>
    <w:rsid w:val="00DD5657"/>
    <w:rsid w:val="00DD6AA1"/>
    <w:rsid w:val="00DE3930"/>
    <w:rsid w:val="00DE657A"/>
    <w:rsid w:val="00DF7BD7"/>
    <w:rsid w:val="00E059B3"/>
    <w:rsid w:val="00E07E64"/>
    <w:rsid w:val="00E10D00"/>
    <w:rsid w:val="00E11250"/>
    <w:rsid w:val="00E1337F"/>
    <w:rsid w:val="00E140EF"/>
    <w:rsid w:val="00E20895"/>
    <w:rsid w:val="00E21F51"/>
    <w:rsid w:val="00E30074"/>
    <w:rsid w:val="00E32E22"/>
    <w:rsid w:val="00E361CF"/>
    <w:rsid w:val="00E41B43"/>
    <w:rsid w:val="00E46C87"/>
    <w:rsid w:val="00E475FD"/>
    <w:rsid w:val="00E5025F"/>
    <w:rsid w:val="00E50F17"/>
    <w:rsid w:val="00E536FF"/>
    <w:rsid w:val="00E55687"/>
    <w:rsid w:val="00E56CFC"/>
    <w:rsid w:val="00E711D1"/>
    <w:rsid w:val="00E7467F"/>
    <w:rsid w:val="00E87A42"/>
    <w:rsid w:val="00E9099A"/>
    <w:rsid w:val="00E97647"/>
    <w:rsid w:val="00E97D27"/>
    <w:rsid w:val="00EA0F14"/>
    <w:rsid w:val="00EA163B"/>
    <w:rsid w:val="00EA1F71"/>
    <w:rsid w:val="00EB2E32"/>
    <w:rsid w:val="00EC1A1A"/>
    <w:rsid w:val="00ED0E3C"/>
    <w:rsid w:val="00ED1E65"/>
    <w:rsid w:val="00ED2D8F"/>
    <w:rsid w:val="00ED3EAB"/>
    <w:rsid w:val="00ED7A45"/>
    <w:rsid w:val="00EE2DB5"/>
    <w:rsid w:val="00EE4E13"/>
    <w:rsid w:val="00EE587E"/>
    <w:rsid w:val="00EF7EFD"/>
    <w:rsid w:val="00F056CC"/>
    <w:rsid w:val="00F10998"/>
    <w:rsid w:val="00F10FD1"/>
    <w:rsid w:val="00F20D06"/>
    <w:rsid w:val="00F21E10"/>
    <w:rsid w:val="00F22159"/>
    <w:rsid w:val="00F24475"/>
    <w:rsid w:val="00F258EF"/>
    <w:rsid w:val="00F274C5"/>
    <w:rsid w:val="00F31A43"/>
    <w:rsid w:val="00F31CC0"/>
    <w:rsid w:val="00F32A87"/>
    <w:rsid w:val="00F37B1D"/>
    <w:rsid w:val="00F431FB"/>
    <w:rsid w:val="00F44624"/>
    <w:rsid w:val="00F446A7"/>
    <w:rsid w:val="00F446D0"/>
    <w:rsid w:val="00F51855"/>
    <w:rsid w:val="00F52703"/>
    <w:rsid w:val="00F52EAE"/>
    <w:rsid w:val="00F545D9"/>
    <w:rsid w:val="00F61523"/>
    <w:rsid w:val="00F62F92"/>
    <w:rsid w:val="00F65FD7"/>
    <w:rsid w:val="00F6651E"/>
    <w:rsid w:val="00F672AC"/>
    <w:rsid w:val="00F75FE5"/>
    <w:rsid w:val="00F86E75"/>
    <w:rsid w:val="00F90A37"/>
    <w:rsid w:val="00F94C91"/>
    <w:rsid w:val="00F94D8F"/>
    <w:rsid w:val="00F97436"/>
    <w:rsid w:val="00FA141D"/>
    <w:rsid w:val="00FA27DE"/>
    <w:rsid w:val="00FB031E"/>
    <w:rsid w:val="00FB3902"/>
    <w:rsid w:val="00FB6E23"/>
    <w:rsid w:val="00FC1F7A"/>
    <w:rsid w:val="00FC204B"/>
    <w:rsid w:val="00FC29C7"/>
    <w:rsid w:val="00FC3810"/>
    <w:rsid w:val="00FC77CC"/>
    <w:rsid w:val="00FD1EBA"/>
    <w:rsid w:val="00FE040B"/>
    <w:rsid w:val="00FE2292"/>
    <w:rsid w:val="00FE6D83"/>
    <w:rsid w:val="00FF4A53"/>
    <w:rsid w:val="00FF6BC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5AA7CE5-0348-496F-8AE4-A9DB4809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85C"/>
    <w:rPr>
      <w:rFonts w:ascii="Arial" w:eastAsia="Arial" w:hAnsi="Arial" w:cs="Times New Roman"/>
      <w:lang w:val="es-ES"/>
    </w:rPr>
  </w:style>
  <w:style w:type="paragraph" w:styleId="Ttulo3">
    <w:name w:val="heading 3"/>
    <w:basedOn w:val="Normal"/>
    <w:link w:val="Ttulo3Car"/>
    <w:uiPriority w:val="9"/>
    <w:qFormat/>
    <w:rsid w:val="00573BF5"/>
    <w:pPr>
      <w:spacing w:before="100" w:beforeAutospacing="1" w:after="100" w:afterAutospacing="1" w:line="240" w:lineRule="auto"/>
      <w:outlineLvl w:val="2"/>
    </w:pPr>
    <w:rPr>
      <w:rFonts w:ascii="Times New Roman" w:eastAsia="Times New Roman" w:hAnsi="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A8485C"/>
    <w:pPr>
      <w:suppressAutoHyphens/>
      <w:spacing w:after="0" w:line="240" w:lineRule="auto"/>
    </w:pPr>
    <w:rPr>
      <w:rFonts w:ascii="Times New Roman" w:eastAsia="Times New Roman" w:hAnsi="Times New Roman"/>
      <w:sz w:val="20"/>
      <w:szCs w:val="20"/>
      <w:lang w:eastAsia="ar-SA"/>
    </w:rPr>
  </w:style>
  <w:style w:type="character" w:customStyle="1" w:styleId="TextonotapieCar">
    <w:name w:val="Texto nota pie Car"/>
    <w:basedOn w:val="Fuentedeprrafopredeter"/>
    <w:link w:val="Textonotapie"/>
    <w:rsid w:val="00A8485C"/>
    <w:rPr>
      <w:rFonts w:ascii="Times New Roman" w:eastAsia="Times New Roman" w:hAnsi="Times New Roman" w:cs="Times New Roman"/>
      <w:sz w:val="20"/>
      <w:szCs w:val="20"/>
      <w:lang w:eastAsia="ar-SA"/>
    </w:rPr>
  </w:style>
  <w:style w:type="paragraph" w:customStyle="1" w:styleId="Default">
    <w:name w:val="Default"/>
    <w:rsid w:val="00A8485C"/>
    <w:pPr>
      <w:autoSpaceDE w:val="0"/>
      <w:autoSpaceDN w:val="0"/>
      <w:adjustRightInd w:val="0"/>
      <w:spacing w:after="0" w:line="240" w:lineRule="auto"/>
    </w:pPr>
    <w:rPr>
      <w:rFonts w:ascii="Arial Unicode MS" w:eastAsia="Arial Unicode MS" w:hAnsi="Arial" w:cs="Arial Unicode MS"/>
      <w:color w:val="000000"/>
      <w:sz w:val="24"/>
      <w:szCs w:val="24"/>
      <w:lang w:val="es-ES" w:eastAsia="es-ES"/>
    </w:rPr>
  </w:style>
  <w:style w:type="paragraph" w:customStyle="1" w:styleId="CM3">
    <w:name w:val="CM3"/>
    <w:basedOn w:val="Normal"/>
    <w:next w:val="Normal"/>
    <w:uiPriority w:val="99"/>
    <w:rsid w:val="00A8485C"/>
    <w:pPr>
      <w:autoSpaceDE w:val="0"/>
      <w:autoSpaceDN w:val="0"/>
      <w:adjustRightInd w:val="0"/>
      <w:spacing w:after="0" w:line="240" w:lineRule="auto"/>
    </w:pPr>
    <w:rPr>
      <w:rFonts w:ascii="Garamond" w:eastAsia="Calibri" w:hAnsi="Garamond"/>
      <w:sz w:val="24"/>
      <w:szCs w:val="24"/>
    </w:rPr>
  </w:style>
  <w:style w:type="character" w:styleId="Refdenotaalpie">
    <w:name w:val="footnote reference"/>
    <w:uiPriority w:val="99"/>
    <w:unhideWhenUsed/>
    <w:rsid w:val="00A8485C"/>
    <w:rPr>
      <w:vertAlign w:val="superscript"/>
    </w:rPr>
  </w:style>
  <w:style w:type="paragraph" w:styleId="Encabezado">
    <w:name w:val="header"/>
    <w:basedOn w:val="Normal"/>
    <w:link w:val="EncabezadoCar"/>
    <w:uiPriority w:val="99"/>
    <w:unhideWhenUsed/>
    <w:rsid w:val="00A848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485C"/>
    <w:rPr>
      <w:rFonts w:ascii="Arial" w:eastAsia="Arial" w:hAnsi="Arial" w:cs="Times New Roman"/>
      <w:lang w:val="es-ES"/>
    </w:rPr>
  </w:style>
  <w:style w:type="paragraph" w:styleId="Piedepgina">
    <w:name w:val="footer"/>
    <w:basedOn w:val="Normal"/>
    <w:link w:val="PiedepginaCar"/>
    <w:uiPriority w:val="99"/>
    <w:unhideWhenUsed/>
    <w:rsid w:val="00A848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485C"/>
    <w:rPr>
      <w:rFonts w:ascii="Arial" w:eastAsia="Arial" w:hAnsi="Arial" w:cs="Times New Roman"/>
      <w:lang w:val="es-ES"/>
    </w:rPr>
  </w:style>
  <w:style w:type="paragraph" w:styleId="NormalWeb">
    <w:name w:val="Normal (Web)"/>
    <w:basedOn w:val="Normal"/>
    <w:uiPriority w:val="99"/>
    <w:semiHidden/>
    <w:unhideWhenUsed/>
    <w:rsid w:val="00A8485C"/>
    <w:pPr>
      <w:spacing w:before="100" w:beforeAutospacing="1" w:after="100" w:afterAutospacing="1" w:line="240" w:lineRule="auto"/>
    </w:pPr>
    <w:rPr>
      <w:rFonts w:ascii="Times New Roman" w:eastAsiaTheme="minorEastAsia" w:hAnsi="Times New Roman"/>
      <w:sz w:val="24"/>
      <w:szCs w:val="24"/>
      <w:lang w:eastAsia="es-ES"/>
    </w:rPr>
  </w:style>
  <w:style w:type="paragraph" w:styleId="Prrafodelista">
    <w:name w:val="List Paragraph"/>
    <w:basedOn w:val="Normal"/>
    <w:uiPriority w:val="34"/>
    <w:qFormat/>
    <w:rsid w:val="00BB17C3"/>
    <w:pPr>
      <w:ind w:left="720"/>
      <w:contextualSpacing/>
    </w:pPr>
  </w:style>
  <w:style w:type="table" w:styleId="Tablaconcuadrcula">
    <w:name w:val="Table Grid"/>
    <w:basedOn w:val="Tablanormal"/>
    <w:uiPriority w:val="59"/>
    <w:rsid w:val="00F20D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1">
    <w:name w:val="CM1"/>
    <w:basedOn w:val="Default"/>
    <w:next w:val="Default"/>
    <w:uiPriority w:val="99"/>
    <w:rsid w:val="00C52366"/>
    <w:rPr>
      <w:rFonts w:ascii="EUAlbertina" w:eastAsiaTheme="minorHAnsi" w:hAnsi="EUAlbertina" w:cstheme="minorBidi"/>
      <w:color w:val="auto"/>
      <w:lang w:val="es-ES_tradnl" w:eastAsia="en-US"/>
    </w:rPr>
  </w:style>
  <w:style w:type="paragraph" w:customStyle="1" w:styleId="CM4">
    <w:name w:val="CM4"/>
    <w:basedOn w:val="Default"/>
    <w:next w:val="Default"/>
    <w:uiPriority w:val="99"/>
    <w:rsid w:val="00C52366"/>
    <w:rPr>
      <w:rFonts w:ascii="EUAlbertina" w:eastAsiaTheme="minorHAnsi" w:hAnsi="EUAlbertina" w:cstheme="minorBidi"/>
      <w:color w:val="auto"/>
      <w:lang w:val="es-ES_tradnl" w:eastAsia="en-US"/>
    </w:rPr>
  </w:style>
  <w:style w:type="character" w:styleId="Hipervnculo">
    <w:name w:val="Hyperlink"/>
    <w:basedOn w:val="Fuentedeprrafopredeter"/>
    <w:uiPriority w:val="99"/>
    <w:unhideWhenUsed/>
    <w:rsid w:val="005877D3"/>
    <w:rPr>
      <w:color w:val="0000FF" w:themeColor="hyperlink"/>
      <w:u w:val="single"/>
    </w:rPr>
  </w:style>
  <w:style w:type="paragraph" w:customStyle="1" w:styleId="CM8">
    <w:name w:val="CM8"/>
    <w:basedOn w:val="Default"/>
    <w:next w:val="Default"/>
    <w:uiPriority w:val="99"/>
    <w:rsid w:val="00C77518"/>
    <w:rPr>
      <w:rFonts w:ascii="Arial" w:eastAsiaTheme="minorHAnsi" w:cs="Arial"/>
      <w:color w:val="auto"/>
      <w:lang w:val="es-ES_tradnl" w:eastAsia="en-US"/>
    </w:rPr>
  </w:style>
  <w:style w:type="paragraph" w:customStyle="1" w:styleId="c05titre2">
    <w:name w:val="c05titre2"/>
    <w:basedOn w:val="Normal"/>
    <w:rsid w:val="00614CFC"/>
    <w:pPr>
      <w:spacing w:before="100" w:beforeAutospacing="1" w:after="100" w:afterAutospacing="1" w:line="240" w:lineRule="auto"/>
    </w:pPr>
    <w:rPr>
      <w:rFonts w:ascii="Times New Roman" w:eastAsia="Times New Roman" w:hAnsi="Times New Roman"/>
      <w:sz w:val="24"/>
      <w:szCs w:val="24"/>
      <w:lang w:val="es-ES_tradnl" w:eastAsia="es-ES_tradnl"/>
    </w:rPr>
  </w:style>
  <w:style w:type="paragraph" w:customStyle="1" w:styleId="c06titre3">
    <w:name w:val="c06titre3"/>
    <w:basedOn w:val="Normal"/>
    <w:rsid w:val="00614CFC"/>
    <w:pPr>
      <w:spacing w:before="100" w:beforeAutospacing="1" w:after="100" w:afterAutospacing="1" w:line="240" w:lineRule="auto"/>
    </w:pPr>
    <w:rPr>
      <w:rFonts w:ascii="Times New Roman" w:eastAsia="Times New Roman" w:hAnsi="Times New Roman"/>
      <w:sz w:val="24"/>
      <w:szCs w:val="24"/>
      <w:lang w:val="es-ES_tradnl" w:eastAsia="es-ES_tradnl"/>
    </w:rPr>
  </w:style>
  <w:style w:type="paragraph" w:customStyle="1" w:styleId="c01pointnumerotealtn">
    <w:name w:val="c01pointnumerotealtn"/>
    <w:basedOn w:val="Normal"/>
    <w:rsid w:val="00614CFC"/>
    <w:pPr>
      <w:spacing w:before="100" w:beforeAutospacing="1" w:after="100" w:afterAutospacing="1" w:line="240" w:lineRule="auto"/>
    </w:pPr>
    <w:rPr>
      <w:rFonts w:ascii="Times New Roman" w:eastAsia="Times New Roman" w:hAnsi="Times New Roman"/>
      <w:sz w:val="24"/>
      <w:szCs w:val="24"/>
      <w:lang w:val="es-ES_tradnl" w:eastAsia="es-ES_tradnl"/>
    </w:rPr>
  </w:style>
  <w:style w:type="character" w:customStyle="1" w:styleId="apple-converted-space">
    <w:name w:val="apple-converted-space"/>
    <w:basedOn w:val="Fuentedeprrafopredeter"/>
    <w:rsid w:val="00BE00F5"/>
  </w:style>
  <w:style w:type="character" w:customStyle="1" w:styleId="Ttulo3Car">
    <w:name w:val="Título 3 Car"/>
    <w:basedOn w:val="Fuentedeprrafopredeter"/>
    <w:link w:val="Ttulo3"/>
    <w:uiPriority w:val="9"/>
    <w:rsid w:val="00573BF5"/>
    <w:rPr>
      <w:rFonts w:ascii="Times New Roman" w:eastAsia="Times New Roman" w:hAnsi="Times New Roman" w:cs="Times New Roman"/>
      <w:b/>
      <w:bCs/>
      <w:sz w:val="27"/>
      <w:szCs w:val="27"/>
      <w:lang w:val="es-ES" w:eastAsia="es-ES"/>
    </w:rPr>
  </w:style>
  <w:style w:type="paragraph" w:styleId="Textodeglobo">
    <w:name w:val="Balloon Text"/>
    <w:basedOn w:val="Normal"/>
    <w:link w:val="TextodegloboCar"/>
    <w:uiPriority w:val="99"/>
    <w:semiHidden/>
    <w:unhideWhenUsed/>
    <w:rsid w:val="004D1F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1FEC"/>
    <w:rPr>
      <w:rFonts w:ascii="Segoe UI" w:eastAsia="Arial" w:hAnsi="Segoe UI" w:cs="Segoe UI"/>
      <w:sz w:val="18"/>
      <w:szCs w:val="18"/>
      <w:lang w:val="es-ES"/>
    </w:rPr>
  </w:style>
  <w:style w:type="paragraph" w:customStyle="1" w:styleId="articulo">
    <w:name w:val="articulo"/>
    <w:basedOn w:val="Normal"/>
    <w:rsid w:val="00D15114"/>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parrafo">
    <w:name w:val="parrafo"/>
    <w:basedOn w:val="Normal"/>
    <w:rsid w:val="00D15114"/>
    <w:pPr>
      <w:spacing w:before="100" w:beforeAutospacing="1" w:after="100" w:afterAutospacing="1" w:line="240" w:lineRule="auto"/>
    </w:pPr>
    <w:rPr>
      <w:rFonts w:ascii="Times New Roman" w:eastAsia="Times New Roman" w:hAnsi="Times New Roman"/>
      <w:sz w:val="24"/>
      <w:szCs w:val="24"/>
      <w:lang w:eastAsia="es-ES"/>
    </w:rPr>
  </w:style>
  <w:style w:type="paragraph" w:styleId="Textoindependiente">
    <w:name w:val="Body Text"/>
    <w:basedOn w:val="Normal"/>
    <w:link w:val="TextoindependienteCar"/>
    <w:uiPriority w:val="99"/>
    <w:semiHidden/>
    <w:unhideWhenUsed/>
    <w:rsid w:val="00B43246"/>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B43246"/>
    <w:rPr>
      <w:rFonts w:ascii="Times New Roman" w:eastAsia="Times New Roman" w:hAnsi="Times New Roman" w:cs="Times New Roman"/>
      <w:sz w:val="24"/>
      <w:szCs w:val="24"/>
      <w:lang w:val="es-ES" w:eastAsia="es-ES"/>
    </w:rPr>
  </w:style>
  <w:style w:type="paragraph" w:customStyle="1" w:styleId="13TFundamento">
    <w:name w:val="13TFundamento"/>
    <w:basedOn w:val="Default"/>
    <w:next w:val="Default"/>
    <w:uiPriority w:val="99"/>
    <w:rsid w:val="00AD483E"/>
    <w:rPr>
      <w:rFonts w:ascii="Trebuchet MS" w:eastAsiaTheme="minorHAnsi" w:hAnsi="Trebuchet MS" w:cstheme="minorBidi"/>
      <w:color w:val="auto"/>
      <w:lang w:eastAsia="en-US"/>
    </w:rPr>
  </w:style>
  <w:style w:type="character" w:styleId="Textoennegrita">
    <w:name w:val="Strong"/>
    <w:basedOn w:val="Fuentedeprrafopredeter"/>
    <w:uiPriority w:val="22"/>
    <w:qFormat/>
    <w:rsid w:val="00CA6774"/>
    <w:rPr>
      <w:b/>
      <w:bCs/>
    </w:rPr>
  </w:style>
  <w:style w:type="character" w:styleId="nfasis">
    <w:name w:val="Emphasis"/>
    <w:basedOn w:val="Fuentedeprrafopredeter"/>
    <w:uiPriority w:val="20"/>
    <w:qFormat/>
    <w:rsid w:val="00CA6774"/>
    <w:rPr>
      <w:i/>
      <w:iCs/>
    </w:rPr>
  </w:style>
  <w:style w:type="character" w:styleId="Hipervnculovisitado">
    <w:name w:val="FollowedHyperlink"/>
    <w:basedOn w:val="Fuentedeprrafopredeter"/>
    <w:uiPriority w:val="99"/>
    <w:semiHidden/>
    <w:unhideWhenUsed/>
    <w:rsid w:val="00E97D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32493">
      <w:bodyDiv w:val="1"/>
      <w:marLeft w:val="0"/>
      <w:marRight w:val="0"/>
      <w:marTop w:val="0"/>
      <w:marBottom w:val="0"/>
      <w:divBdr>
        <w:top w:val="none" w:sz="0" w:space="0" w:color="auto"/>
        <w:left w:val="none" w:sz="0" w:space="0" w:color="auto"/>
        <w:bottom w:val="none" w:sz="0" w:space="0" w:color="auto"/>
        <w:right w:val="none" w:sz="0" w:space="0" w:color="auto"/>
      </w:divBdr>
    </w:div>
    <w:div w:id="385221973">
      <w:bodyDiv w:val="1"/>
      <w:marLeft w:val="0"/>
      <w:marRight w:val="0"/>
      <w:marTop w:val="0"/>
      <w:marBottom w:val="0"/>
      <w:divBdr>
        <w:top w:val="none" w:sz="0" w:space="0" w:color="auto"/>
        <w:left w:val="none" w:sz="0" w:space="0" w:color="auto"/>
        <w:bottom w:val="none" w:sz="0" w:space="0" w:color="auto"/>
        <w:right w:val="none" w:sz="0" w:space="0" w:color="auto"/>
      </w:divBdr>
    </w:div>
    <w:div w:id="690566994">
      <w:bodyDiv w:val="1"/>
      <w:marLeft w:val="0"/>
      <w:marRight w:val="0"/>
      <w:marTop w:val="0"/>
      <w:marBottom w:val="0"/>
      <w:divBdr>
        <w:top w:val="none" w:sz="0" w:space="0" w:color="auto"/>
        <w:left w:val="none" w:sz="0" w:space="0" w:color="auto"/>
        <w:bottom w:val="none" w:sz="0" w:space="0" w:color="auto"/>
        <w:right w:val="none" w:sz="0" w:space="0" w:color="auto"/>
      </w:divBdr>
    </w:div>
    <w:div w:id="978613731">
      <w:bodyDiv w:val="1"/>
      <w:marLeft w:val="0"/>
      <w:marRight w:val="0"/>
      <w:marTop w:val="0"/>
      <w:marBottom w:val="0"/>
      <w:divBdr>
        <w:top w:val="none" w:sz="0" w:space="0" w:color="auto"/>
        <w:left w:val="none" w:sz="0" w:space="0" w:color="auto"/>
        <w:bottom w:val="none" w:sz="0" w:space="0" w:color="auto"/>
        <w:right w:val="none" w:sz="0" w:space="0" w:color="auto"/>
      </w:divBdr>
    </w:div>
    <w:div w:id="1141191749">
      <w:bodyDiv w:val="1"/>
      <w:marLeft w:val="0"/>
      <w:marRight w:val="0"/>
      <w:marTop w:val="0"/>
      <w:marBottom w:val="0"/>
      <w:divBdr>
        <w:top w:val="none" w:sz="0" w:space="0" w:color="auto"/>
        <w:left w:val="none" w:sz="0" w:space="0" w:color="auto"/>
        <w:bottom w:val="none" w:sz="0" w:space="0" w:color="auto"/>
        <w:right w:val="none" w:sz="0" w:space="0" w:color="auto"/>
      </w:divBdr>
    </w:div>
    <w:div w:id="1226604138">
      <w:bodyDiv w:val="1"/>
      <w:marLeft w:val="0"/>
      <w:marRight w:val="0"/>
      <w:marTop w:val="0"/>
      <w:marBottom w:val="0"/>
      <w:divBdr>
        <w:top w:val="none" w:sz="0" w:space="0" w:color="auto"/>
        <w:left w:val="none" w:sz="0" w:space="0" w:color="auto"/>
        <w:bottom w:val="none" w:sz="0" w:space="0" w:color="auto"/>
        <w:right w:val="none" w:sz="0" w:space="0" w:color="auto"/>
      </w:divBdr>
    </w:div>
    <w:div w:id="1378746792">
      <w:bodyDiv w:val="1"/>
      <w:marLeft w:val="0"/>
      <w:marRight w:val="0"/>
      <w:marTop w:val="0"/>
      <w:marBottom w:val="0"/>
      <w:divBdr>
        <w:top w:val="none" w:sz="0" w:space="0" w:color="auto"/>
        <w:left w:val="none" w:sz="0" w:space="0" w:color="auto"/>
        <w:bottom w:val="none" w:sz="0" w:space="0" w:color="auto"/>
        <w:right w:val="none" w:sz="0" w:space="0" w:color="auto"/>
      </w:divBdr>
    </w:div>
    <w:div w:id="1460342401">
      <w:bodyDiv w:val="1"/>
      <w:marLeft w:val="0"/>
      <w:marRight w:val="0"/>
      <w:marTop w:val="0"/>
      <w:marBottom w:val="0"/>
      <w:divBdr>
        <w:top w:val="none" w:sz="0" w:space="0" w:color="auto"/>
        <w:left w:val="none" w:sz="0" w:space="0" w:color="auto"/>
        <w:bottom w:val="none" w:sz="0" w:space="0" w:color="auto"/>
        <w:right w:val="none" w:sz="0" w:space="0" w:color="auto"/>
      </w:divBdr>
    </w:div>
    <w:div w:id="1527864088">
      <w:bodyDiv w:val="1"/>
      <w:marLeft w:val="0"/>
      <w:marRight w:val="0"/>
      <w:marTop w:val="0"/>
      <w:marBottom w:val="0"/>
      <w:divBdr>
        <w:top w:val="none" w:sz="0" w:space="0" w:color="auto"/>
        <w:left w:val="none" w:sz="0" w:space="0" w:color="auto"/>
        <w:bottom w:val="none" w:sz="0" w:space="0" w:color="auto"/>
        <w:right w:val="none" w:sz="0" w:space="0" w:color="auto"/>
      </w:divBdr>
    </w:div>
    <w:div w:id="1553273638">
      <w:bodyDiv w:val="1"/>
      <w:marLeft w:val="0"/>
      <w:marRight w:val="0"/>
      <w:marTop w:val="0"/>
      <w:marBottom w:val="0"/>
      <w:divBdr>
        <w:top w:val="none" w:sz="0" w:space="0" w:color="auto"/>
        <w:left w:val="none" w:sz="0" w:space="0" w:color="auto"/>
        <w:bottom w:val="none" w:sz="0" w:space="0" w:color="auto"/>
        <w:right w:val="none" w:sz="0" w:space="0" w:color="auto"/>
      </w:divBdr>
    </w:div>
    <w:div w:id="1806503405">
      <w:bodyDiv w:val="1"/>
      <w:marLeft w:val="0"/>
      <w:marRight w:val="0"/>
      <w:marTop w:val="0"/>
      <w:marBottom w:val="0"/>
      <w:divBdr>
        <w:top w:val="none" w:sz="0" w:space="0" w:color="auto"/>
        <w:left w:val="none" w:sz="0" w:space="0" w:color="auto"/>
        <w:bottom w:val="none" w:sz="0" w:space="0" w:color="auto"/>
        <w:right w:val="none" w:sz="0" w:space="0" w:color="auto"/>
      </w:divBdr>
    </w:div>
    <w:div w:id="205161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2" Type="http://schemas.openxmlformats.org/officeDocument/2006/relationships/hyperlink" Target="http://www.madrid.org/cs/Satellite?cid=1354385753025&amp;language=es&amp;pagename=PortalContratacion%2FPage%2FPCON_listado" TargetMode="External"/><Relationship Id="rId1" Type="http://schemas.openxmlformats.org/officeDocument/2006/relationships/hyperlink" Target="https://www.administracionpublica.com/ampliacion-del-plazo-de-ejecucion-de-los-contrat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178c3ba936f5a3731d0c7552b429e59e">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ef3433bd5fe215166419c4d2135a1676"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F25362-73E9-4C77-8B56-587710B64C16}">
  <ds:schemaRefs>
    <ds:schemaRef ds:uri="http://schemas.openxmlformats.org/officeDocument/2006/bibliography"/>
  </ds:schemaRefs>
</ds:datastoreItem>
</file>

<file path=customXml/itemProps2.xml><?xml version="1.0" encoding="utf-8"?>
<ds:datastoreItem xmlns:ds="http://schemas.openxmlformats.org/officeDocument/2006/customXml" ds:itemID="{0BCA14FC-3E6A-451A-BF90-125BB8DBD597}"/>
</file>

<file path=customXml/itemProps3.xml><?xml version="1.0" encoding="utf-8"?>
<ds:datastoreItem xmlns:ds="http://schemas.openxmlformats.org/officeDocument/2006/customXml" ds:itemID="{82C7B4EE-D5A9-412A-A545-E4C2F8FEBA2D}"/>
</file>

<file path=customXml/itemProps4.xml><?xml version="1.0" encoding="utf-8"?>
<ds:datastoreItem xmlns:ds="http://schemas.openxmlformats.org/officeDocument/2006/customXml" ds:itemID="{4983E8E8-571D-4480-8C43-0AEDBF7A00B3}"/>
</file>

<file path=docProps/app.xml><?xml version="1.0" encoding="utf-8"?>
<Properties xmlns="http://schemas.openxmlformats.org/officeDocument/2006/extended-properties" xmlns:vt="http://schemas.openxmlformats.org/officeDocument/2006/docPropsVTypes">
  <Template>Normal.dotm</Template>
  <TotalTime>20</TotalTime>
  <Pages>10</Pages>
  <Words>3918</Words>
  <Characters>21553</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25421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PACA</dc:creator>
  <cp:keywords/>
  <dc:description/>
  <cp:lastModifiedBy>GARCIA MARTIN, REYES</cp:lastModifiedBy>
  <cp:revision>5</cp:revision>
  <cp:lastPrinted>2019-10-15T07:53:00Z</cp:lastPrinted>
  <dcterms:created xsi:type="dcterms:W3CDTF">2020-01-16T08:54:00Z</dcterms:created>
  <dcterms:modified xsi:type="dcterms:W3CDTF">2020-01-16T09:25:00Z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