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EB1" w:rsidRDefault="00851EB1" w:rsidP="00851EB1">
      <w:pPr>
        <w:pStyle w:val="Cuerpodeltexto40"/>
        <w:shd w:val="clear" w:color="auto" w:fill="auto"/>
        <w:spacing w:before="0" w:after="0" w:line="240" w:lineRule="auto"/>
        <w:rPr>
          <w:rStyle w:val="Cuerpodeltexto4SinnegritaSincursiva"/>
          <w:rFonts w:ascii="Arial" w:hAnsi="Arial" w:cs="Arial"/>
        </w:rPr>
      </w:pPr>
      <w:r w:rsidRPr="00851EB1">
        <w:rPr>
          <w:rFonts w:ascii="Arial" w:hAnsi="Arial" w:cs="Arial"/>
          <w:i w:val="0"/>
        </w:rPr>
        <w:t>RESOLUCIÓN DE 9 DE MARZO DE 2016, DE LA INTERVENCIÓN GENERAL DE LA COMUNIDAD DE MADRID, POR LA QUE SE DICTAN INSTRUCCIONES PARA EL EJERCICIO DEL CONTROL FINANCIERO PERMANENTE EN LOS CENTROS ADSCRITOS AL SERVICIO MADRILEÑO DE SALUD.</w:t>
      </w:r>
      <w:r w:rsidRPr="00851EB1">
        <w:rPr>
          <w:rStyle w:val="Cuerpodeltexto4SinnegritaSincursiva"/>
          <w:rFonts w:ascii="Arial" w:hAnsi="Arial" w:cs="Arial"/>
        </w:rPr>
        <w:t xml:space="preserve"> </w:t>
      </w:r>
    </w:p>
    <w:p w:rsidR="00851EB1" w:rsidRDefault="00851EB1" w:rsidP="00851EB1">
      <w:pPr>
        <w:pStyle w:val="Cuerpodeltexto40"/>
        <w:shd w:val="clear" w:color="auto" w:fill="auto"/>
        <w:spacing w:before="0" w:after="0" w:line="240" w:lineRule="auto"/>
        <w:rPr>
          <w:rStyle w:val="Cuerpodeltexto4SinnegritaSincursiva"/>
          <w:rFonts w:ascii="Arial" w:hAnsi="Arial" w:cs="Arial"/>
        </w:rPr>
      </w:pPr>
    </w:p>
    <w:p w:rsidR="00851EB1" w:rsidRDefault="00851EB1" w:rsidP="00851EB1">
      <w:pPr>
        <w:pStyle w:val="NormalWeb"/>
        <w:spacing w:before="0" w:beforeAutospacing="0" w:after="0" w:afterAutospacing="0"/>
        <w:rPr>
          <w:rFonts w:ascii="Arial" w:hAnsi="Arial" w:cs="Arial"/>
          <w:sz w:val="22"/>
          <w:szCs w:val="22"/>
        </w:rPr>
      </w:pPr>
      <w:r>
        <w:rPr>
          <w:rFonts w:ascii="Arial" w:hAnsi="Arial" w:cs="Arial"/>
          <w:b/>
          <w:bCs/>
          <w:sz w:val="22"/>
          <w:szCs w:val="22"/>
        </w:rPr>
        <w:t>Modalidad de informe: Resolución.</w:t>
      </w:r>
    </w:p>
    <w:p w:rsidR="00851EB1" w:rsidRDefault="00851EB1" w:rsidP="00851EB1">
      <w:pPr>
        <w:pStyle w:val="NormalWeb"/>
        <w:spacing w:before="0" w:beforeAutospacing="0" w:after="0" w:afterAutospacing="0"/>
        <w:rPr>
          <w:rFonts w:ascii="Arial" w:hAnsi="Arial" w:cs="Arial"/>
          <w:sz w:val="22"/>
          <w:szCs w:val="22"/>
        </w:rPr>
      </w:pPr>
      <w:r>
        <w:rPr>
          <w:rFonts w:ascii="Arial" w:hAnsi="Arial" w:cs="Arial"/>
          <w:b/>
          <w:bCs/>
          <w:sz w:val="22"/>
          <w:szCs w:val="22"/>
        </w:rPr>
        <w:t>Área temática: Función interventora.</w:t>
      </w:r>
    </w:p>
    <w:p w:rsidR="00851EB1" w:rsidRDefault="00851EB1" w:rsidP="00851EB1">
      <w:pPr>
        <w:pStyle w:val="NormalWeb"/>
        <w:spacing w:before="0" w:beforeAutospacing="0" w:after="0" w:afterAutospacing="0"/>
        <w:rPr>
          <w:rFonts w:ascii="Arial" w:hAnsi="Arial" w:cs="Arial"/>
          <w:sz w:val="22"/>
          <w:szCs w:val="22"/>
        </w:rPr>
      </w:pPr>
      <w:r>
        <w:rPr>
          <w:rFonts w:ascii="Arial" w:hAnsi="Arial" w:cs="Arial"/>
          <w:b/>
          <w:bCs/>
          <w:sz w:val="22"/>
          <w:szCs w:val="22"/>
        </w:rPr>
        <w:t>Informe vigente.</w:t>
      </w:r>
    </w:p>
    <w:p w:rsidR="00851EB1" w:rsidRPr="00851EB1" w:rsidRDefault="00851EB1" w:rsidP="00851EB1">
      <w:pPr>
        <w:pStyle w:val="Cuerpodeltexto40"/>
        <w:shd w:val="clear" w:color="auto" w:fill="auto"/>
        <w:spacing w:before="0" w:after="0" w:line="240" w:lineRule="auto"/>
        <w:rPr>
          <w:rStyle w:val="Cuerpodeltexto4SinnegritaSincursiva"/>
          <w:rFonts w:ascii="Arial" w:hAnsi="Arial" w:cs="Arial"/>
        </w:rPr>
      </w:pPr>
    </w:p>
    <w:p w:rsidR="00851EB1" w:rsidRPr="00851EB1" w:rsidRDefault="00851EB1" w:rsidP="00851EB1">
      <w:pPr>
        <w:pStyle w:val="Cuerpodeltexto40"/>
        <w:shd w:val="clear" w:color="auto" w:fill="auto"/>
        <w:spacing w:before="0" w:after="0" w:line="240" w:lineRule="auto"/>
        <w:rPr>
          <w:rFonts w:ascii="Arial" w:eastAsia="Courier New" w:hAnsi="Arial" w:cs="Arial"/>
          <w:b w:val="0"/>
          <w:bCs w:val="0"/>
          <w:i w:val="0"/>
          <w:iCs w:val="0"/>
          <w:color w:val="000000"/>
          <w:lang w:eastAsia="es-ES" w:bidi="es-ES"/>
        </w:rPr>
      </w:pPr>
    </w:p>
    <w:p w:rsidR="00851EB1" w:rsidRPr="00851EB1" w:rsidRDefault="00851EB1" w:rsidP="00851EB1">
      <w:pPr>
        <w:jc w:val="both"/>
        <w:rPr>
          <w:rFonts w:ascii="Arial" w:hAnsi="Arial" w:cs="Arial"/>
          <w:sz w:val="22"/>
          <w:szCs w:val="22"/>
        </w:rPr>
      </w:pPr>
      <w:r w:rsidRPr="00851EB1">
        <w:rPr>
          <w:rFonts w:ascii="Arial" w:hAnsi="Arial" w:cs="Arial"/>
          <w:sz w:val="22"/>
          <w:szCs w:val="22"/>
        </w:rPr>
        <w:t>La Ley 9/1990, de 8 de noviembre. Reguladora de la Hacienda de la Comunidad de Madrid (en adelante, Ley 9/1990), y el Decreto 45/1997, de 20 de marzo, por el que se desarrolla el Régimen de Control Interno y Contable, ejercido por la Intervención General de la Comunidad de Madrid (en adelante, Decreto 45/1997), establecen y regulan el control financiero en el sector público y atribuyen a la Intervención General de la Comunidad de Madrid (IGCM) la competencia para su ejercicio y para dictar las instrucciones pertinentes a tal fin.</w:t>
      </w:r>
    </w:p>
    <w:p w:rsidR="00851EB1" w:rsidRPr="00851EB1" w:rsidRDefault="00851EB1" w:rsidP="00851EB1">
      <w:pPr>
        <w:jc w:val="both"/>
        <w:rPr>
          <w:rFonts w:ascii="Arial" w:hAnsi="Arial" w:cs="Arial"/>
          <w:sz w:val="22"/>
          <w:szCs w:val="22"/>
        </w:rPr>
      </w:pPr>
    </w:p>
    <w:p w:rsidR="00851EB1" w:rsidRPr="00851EB1" w:rsidRDefault="00851EB1" w:rsidP="00851EB1">
      <w:pPr>
        <w:jc w:val="both"/>
        <w:rPr>
          <w:rFonts w:ascii="Arial" w:hAnsi="Arial" w:cs="Arial"/>
          <w:sz w:val="22"/>
          <w:szCs w:val="22"/>
        </w:rPr>
      </w:pPr>
      <w:r w:rsidRPr="00851EB1">
        <w:rPr>
          <w:rFonts w:ascii="Arial" w:hAnsi="Arial" w:cs="Arial"/>
          <w:sz w:val="22"/>
          <w:szCs w:val="22"/>
        </w:rPr>
        <w:t>La Circular 2/1997, de 27 de junio, de la Intervención General de la Comunidad de Madrid, regula la aplicación del control financiero en sus diferentes formas de ejercicio y, en concreto, su disposición decimoctava se refiere de forma específica a la modalidad de control financiero permanente en determinados organismos, entre los que se encuentran los entes públicos a los que se refiere el artículo 6 de la Ley 9/1990.</w:t>
      </w:r>
    </w:p>
    <w:p w:rsidR="00851EB1" w:rsidRPr="00851EB1" w:rsidRDefault="00851EB1" w:rsidP="00851EB1">
      <w:pPr>
        <w:jc w:val="both"/>
        <w:rPr>
          <w:rFonts w:ascii="Arial" w:hAnsi="Arial" w:cs="Arial"/>
          <w:sz w:val="22"/>
          <w:szCs w:val="22"/>
        </w:rPr>
      </w:pPr>
    </w:p>
    <w:p w:rsidR="00851EB1" w:rsidRPr="00851EB1" w:rsidRDefault="00851EB1" w:rsidP="00851EB1">
      <w:pPr>
        <w:jc w:val="both"/>
        <w:rPr>
          <w:rFonts w:ascii="Arial" w:hAnsi="Arial" w:cs="Arial"/>
          <w:sz w:val="22"/>
          <w:szCs w:val="22"/>
        </w:rPr>
      </w:pPr>
      <w:r w:rsidRPr="00851EB1">
        <w:rPr>
          <w:rFonts w:ascii="Arial" w:hAnsi="Arial" w:cs="Arial"/>
          <w:sz w:val="22"/>
          <w:szCs w:val="22"/>
        </w:rPr>
        <w:t>Ley 12/2001, de 21 de diciembre, de Ordenación Sanitaria de la Comunidad de Madrid, creó como Entes de Derecho Público el Servicio Madrileño de Salud y el Instituto Madrileño de la Salud, remitiendo a una posterior regulación reglamentaria su régimen jurídico y de funcionamiento y estableciendo su disposición final cuarta una habilitación expresa al Consejo de Gobierno para que, mediante Decreto, procediera a reestructurar, modificar y suprimir los Entes Públicos creados en esta Ley, dando cuenta a la Asamblea.</w:t>
      </w:r>
    </w:p>
    <w:p w:rsidR="00851EB1" w:rsidRPr="00851EB1" w:rsidRDefault="00851EB1" w:rsidP="00851EB1">
      <w:pPr>
        <w:jc w:val="both"/>
        <w:rPr>
          <w:rFonts w:ascii="Arial" w:hAnsi="Arial" w:cs="Arial"/>
          <w:sz w:val="22"/>
          <w:szCs w:val="22"/>
        </w:rPr>
      </w:pPr>
    </w:p>
    <w:p w:rsidR="00851EB1" w:rsidRPr="00851EB1" w:rsidRDefault="00851EB1" w:rsidP="00851EB1">
      <w:pPr>
        <w:jc w:val="both"/>
        <w:rPr>
          <w:rFonts w:ascii="Arial" w:hAnsi="Arial" w:cs="Arial"/>
          <w:sz w:val="22"/>
          <w:szCs w:val="22"/>
        </w:rPr>
      </w:pPr>
      <w:r w:rsidRPr="00851EB1">
        <w:rPr>
          <w:rFonts w:ascii="Arial" w:hAnsi="Arial" w:cs="Arial"/>
          <w:sz w:val="22"/>
          <w:szCs w:val="22"/>
        </w:rPr>
        <w:t>En virtud de esta habilitación, el Decreto 14/2005, de 27 de enero, del Consejo de Gobierno, integra el Servicio Madrileño de Salud en el Instituto Madrileño de la Salud, modifica su denominación y establece su régimen jurídico y de funcionamiento, Decreto que fue derogado por el Decreto 24/2008, de 3 de abril, por el que se establece el régimen jurídico y de funcionamiento del Servicio Madrileño de Salud (en adelante, SERMAS).</w:t>
      </w:r>
    </w:p>
    <w:p w:rsidR="00851EB1" w:rsidRPr="00851EB1" w:rsidRDefault="00851EB1" w:rsidP="00851EB1">
      <w:pPr>
        <w:jc w:val="both"/>
        <w:rPr>
          <w:rFonts w:ascii="Arial" w:hAnsi="Arial" w:cs="Arial"/>
          <w:sz w:val="22"/>
          <w:szCs w:val="22"/>
        </w:rPr>
      </w:pPr>
    </w:p>
    <w:p w:rsidR="00851EB1" w:rsidRPr="00851EB1" w:rsidRDefault="00851EB1" w:rsidP="00851EB1">
      <w:pPr>
        <w:jc w:val="both"/>
        <w:rPr>
          <w:rFonts w:ascii="Arial" w:hAnsi="Arial" w:cs="Arial"/>
          <w:sz w:val="22"/>
          <w:szCs w:val="22"/>
        </w:rPr>
      </w:pPr>
      <w:r w:rsidRPr="00851EB1">
        <w:rPr>
          <w:rFonts w:ascii="Arial" w:hAnsi="Arial" w:cs="Arial"/>
          <w:sz w:val="22"/>
          <w:szCs w:val="22"/>
        </w:rPr>
        <w:t>El SERMAS queda configurado como un Ente de Derecho Público de los previstos en el artículo 6 de la Ley 9/1990, recogiendo el artículo 9 del Decreto 24/2008 el régimen de control aplicable. De acuerdo con este artículo, el control interno de la gestión económico- financiera del ente se realizará por la Intervención General mediante:</w:t>
      </w:r>
    </w:p>
    <w:p w:rsidR="00851EB1" w:rsidRPr="00851EB1" w:rsidRDefault="00851EB1" w:rsidP="00851EB1">
      <w:pPr>
        <w:jc w:val="both"/>
        <w:rPr>
          <w:rFonts w:ascii="Arial" w:hAnsi="Arial" w:cs="Arial"/>
          <w:sz w:val="22"/>
          <w:szCs w:val="22"/>
        </w:rPr>
      </w:pPr>
    </w:p>
    <w:p w:rsidR="00851EB1" w:rsidRPr="00851EB1" w:rsidRDefault="00851EB1" w:rsidP="00851EB1">
      <w:pPr>
        <w:tabs>
          <w:tab w:val="left" w:pos="294"/>
        </w:tabs>
        <w:ind w:left="294"/>
        <w:jc w:val="both"/>
        <w:rPr>
          <w:rFonts w:ascii="Arial" w:hAnsi="Arial" w:cs="Arial"/>
          <w:sz w:val="22"/>
          <w:szCs w:val="22"/>
        </w:rPr>
      </w:pPr>
      <w:r w:rsidRPr="00851EB1">
        <w:rPr>
          <w:rFonts w:ascii="Arial" w:hAnsi="Arial" w:cs="Arial"/>
          <w:sz w:val="22"/>
          <w:szCs w:val="22"/>
        </w:rPr>
        <w:t>a) El ejercicio de la función interventora en su modalidad de fiscalización previa, limitada respecto de algunos actos, estableciéndose un control posterior mediante la fiscalización plena sobre una muestra.</w:t>
      </w:r>
    </w:p>
    <w:p w:rsidR="00851EB1" w:rsidRPr="00851EB1" w:rsidRDefault="00851EB1" w:rsidP="00851EB1">
      <w:pPr>
        <w:tabs>
          <w:tab w:val="left" w:pos="294"/>
        </w:tabs>
        <w:ind w:left="294"/>
        <w:jc w:val="both"/>
        <w:rPr>
          <w:rFonts w:ascii="Arial" w:hAnsi="Arial" w:cs="Arial"/>
          <w:sz w:val="22"/>
          <w:szCs w:val="22"/>
        </w:rPr>
      </w:pPr>
    </w:p>
    <w:p w:rsidR="00851EB1" w:rsidRPr="00851EB1" w:rsidRDefault="00851EB1" w:rsidP="00851EB1">
      <w:pPr>
        <w:tabs>
          <w:tab w:val="left" w:pos="308"/>
        </w:tabs>
        <w:ind w:left="294"/>
        <w:jc w:val="both"/>
        <w:rPr>
          <w:rFonts w:ascii="Arial" w:hAnsi="Arial" w:cs="Arial"/>
          <w:sz w:val="22"/>
          <w:szCs w:val="22"/>
        </w:rPr>
      </w:pPr>
      <w:r w:rsidRPr="00851EB1">
        <w:rPr>
          <w:rFonts w:ascii="Arial" w:hAnsi="Arial" w:cs="Arial"/>
          <w:sz w:val="22"/>
          <w:szCs w:val="22"/>
        </w:rPr>
        <w:t>b) El control interno de la gestión económica-financiera de los centros sanitarios, salvo en los supuestos en que sea aplicable la función interventora, se realizará mediante el ejercicio del control financiero de carácter permanente a que se refieren los artículos 17 y 85.1 de la Ley 9/1990 y el Decreto 45/1997.</w:t>
      </w:r>
    </w:p>
    <w:p w:rsidR="00851EB1" w:rsidRPr="00851EB1" w:rsidRDefault="00851EB1" w:rsidP="00851EB1">
      <w:pPr>
        <w:tabs>
          <w:tab w:val="left" w:pos="308"/>
        </w:tabs>
        <w:jc w:val="both"/>
        <w:rPr>
          <w:rFonts w:ascii="Arial" w:hAnsi="Arial" w:cs="Arial"/>
          <w:sz w:val="22"/>
          <w:szCs w:val="22"/>
        </w:rPr>
      </w:pPr>
    </w:p>
    <w:p w:rsidR="00851EB1" w:rsidRPr="00851EB1" w:rsidRDefault="00851EB1" w:rsidP="00851EB1">
      <w:pPr>
        <w:jc w:val="both"/>
        <w:rPr>
          <w:rFonts w:ascii="Arial" w:hAnsi="Arial" w:cs="Arial"/>
          <w:sz w:val="22"/>
          <w:szCs w:val="22"/>
        </w:rPr>
      </w:pPr>
      <w:r w:rsidRPr="00851EB1">
        <w:rPr>
          <w:rFonts w:ascii="Arial" w:hAnsi="Arial" w:cs="Arial"/>
          <w:sz w:val="22"/>
          <w:szCs w:val="22"/>
        </w:rPr>
        <w:t xml:space="preserve">De forma complementaria a esta modalidad de control, en el año 2013 se dictó el Decreto 14/2013, de 21 de febrero, del Consejo de Gobierno, por el que se dictan </w:t>
      </w:r>
      <w:r w:rsidRPr="00851EB1">
        <w:rPr>
          <w:rFonts w:ascii="Arial" w:hAnsi="Arial" w:cs="Arial"/>
          <w:sz w:val="22"/>
          <w:szCs w:val="22"/>
        </w:rPr>
        <w:lastRenderedPageBreak/>
        <w:t>normas para el ejercicio de un control financiero continuo y seguimiento del gasto sanitario en los centros adscritos al Servicio Madrileño de Salud (en adelante, Decreto 14/2013), que establece una modalidad de control complementario consistente en la realización de un control mensual de la ejecución presupuestaria y el análisis de las desviaciones que se produzcan respecto a los objetivos establecidos en algunos de dichos centros (inicialmente los de mayor volumen de gestión económica y actividad asistencial). Mediante esta modalidad de control se pretende valorar la eficiencia con la que se desarrolla la gestión y se ejecuta el proceso de gasto.</w:t>
      </w:r>
    </w:p>
    <w:p w:rsidR="00851EB1" w:rsidRPr="00851EB1" w:rsidRDefault="00851EB1" w:rsidP="00851EB1">
      <w:pPr>
        <w:jc w:val="both"/>
        <w:rPr>
          <w:rFonts w:ascii="Arial" w:hAnsi="Arial" w:cs="Arial"/>
          <w:sz w:val="22"/>
          <w:szCs w:val="22"/>
        </w:rPr>
      </w:pPr>
    </w:p>
    <w:p w:rsidR="00851EB1" w:rsidRPr="00851EB1" w:rsidRDefault="00851EB1" w:rsidP="00851EB1">
      <w:pPr>
        <w:jc w:val="both"/>
        <w:rPr>
          <w:rFonts w:ascii="Arial" w:hAnsi="Arial" w:cs="Arial"/>
          <w:sz w:val="22"/>
          <w:szCs w:val="22"/>
        </w:rPr>
      </w:pPr>
      <w:r w:rsidRPr="00851EB1">
        <w:rPr>
          <w:rFonts w:ascii="Arial" w:hAnsi="Arial" w:cs="Arial"/>
          <w:sz w:val="22"/>
          <w:szCs w:val="22"/>
        </w:rPr>
        <w:t>Esta modalidad de control continuo seguirá desarrollándose igual que ha venido haciéndose hasta ahora en los centros en los que se ha implantado y en los que pueda implantarse en el futuro, en ciclos mensuales, en los mismos términos previstos actualmente por el Decreto 14/2013 y la Orden de 2 de agosto de 2013, conjunta de la Consejería de Economía y Hacienda y de la Consejería de Sanidad, por la que se dictan instrucciones para el desarrollo y aplicación del control continuo en los centros sanitarios adscritos al Servicio Madrileño de Salud.</w:t>
      </w:r>
    </w:p>
    <w:p w:rsidR="00851EB1" w:rsidRPr="00851EB1" w:rsidRDefault="00851EB1" w:rsidP="00851EB1">
      <w:pPr>
        <w:jc w:val="both"/>
        <w:rPr>
          <w:rFonts w:ascii="Arial" w:hAnsi="Arial" w:cs="Arial"/>
          <w:sz w:val="22"/>
          <w:szCs w:val="22"/>
        </w:rPr>
      </w:pPr>
    </w:p>
    <w:p w:rsidR="00851EB1" w:rsidRPr="00851EB1" w:rsidRDefault="00851EB1" w:rsidP="00851EB1">
      <w:pPr>
        <w:jc w:val="both"/>
        <w:rPr>
          <w:rFonts w:ascii="Arial" w:hAnsi="Arial" w:cs="Arial"/>
          <w:sz w:val="22"/>
          <w:szCs w:val="22"/>
        </w:rPr>
      </w:pPr>
      <w:r w:rsidRPr="00851EB1">
        <w:rPr>
          <w:rFonts w:ascii="Arial" w:hAnsi="Arial" w:cs="Arial"/>
          <w:sz w:val="22"/>
          <w:szCs w:val="22"/>
        </w:rPr>
        <w:t>La especialidad del sujeto controlado, que integra diversos centros, servicios y establecimientos sanitarios asociados en diferentes modalidades, la existencia de diversas actuaciones de control, que deben coordinarse para evitar duplicidades y, en definitiva, para coadyuvar a la consecución de los objetivos del control financiero en su conjunto, obligan a dictar unas instrucciones específicas que regulen con detalle el ejercicio del control financiero permanente en relación a los centros sanitarios adscritos del SERMAS.</w:t>
      </w:r>
    </w:p>
    <w:p w:rsidR="00851EB1" w:rsidRPr="00851EB1" w:rsidRDefault="00851EB1" w:rsidP="00851EB1">
      <w:pPr>
        <w:jc w:val="both"/>
        <w:rPr>
          <w:rFonts w:ascii="Arial" w:hAnsi="Arial" w:cs="Arial"/>
          <w:sz w:val="22"/>
          <w:szCs w:val="22"/>
        </w:rPr>
      </w:pPr>
    </w:p>
    <w:p w:rsidR="00851EB1" w:rsidRPr="00851EB1" w:rsidRDefault="00851EB1" w:rsidP="00851EB1">
      <w:pPr>
        <w:jc w:val="both"/>
        <w:rPr>
          <w:rFonts w:ascii="Arial" w:hAnsi="Arial" w:cs="Arial"/>
          <w:sz w:val="22"/>
          <w:szCs w:val="22"/>
        </w:rPr>
      </w:pPr>
      <w:r w:rsidRPr="00851EB1">
        <w:rPr>
          <w:rFonts w:ascii="Arial" w:hAnsi="Arial" w:cs="Arial"/>
          <w:sz w:val="22"/>
          <w:szCs w:val="22"/>
        </w:rPr>
        <w:t>De acuerdo con lo dispuesto en los artículos 31.3 y 32 del Decreto 45/1997, el control financiero se realizará por la Intervención General de la Comunidad a través de sus servicios, Intervenciones Delegadas y funcionarios que designe, mediante auditorías u otras técnicas de control, de acuerdo con las normas de auditoría y las instrucciones que se dicten por este órgano directivo.</w:t>
      </w:r>
    </w:p>
    <w:p w:rsidR="00851EB1" w:rsidRPr="00851EB1" w:rsidRDefault="00851EB1" w:rsidP="00851EB1">
      <w:pPr>
        <w:jc w:val="both"/>
        <w:rPr>
          <w:rFonts w:ascii="Arial" w:hAnsi="Arial" w:cs="Arial"/>
          <w:sz w:val="22"/>
          <w:szCs w:val="22"/>
        </w:rPr>
      </w:pPr>
    </w:p>
    <w:p w:rsidR="00851EB1" w:rsidRPr="00851EB1" w:rsidRDefault="00851EB1" w:rsidP="00851EB1">
      <w:pPr>
        <w:jc w:val="both"/>
        <w:rPr>
          <w:rFonts w:ascii="Arial" w:hAnsi="Arial" w:cs="Arial"/>
          <w:sz w:val="22"/>
          <w:szCs w:val="22"/>
        </w:rPr>
      </w:pPr>
      <w:r w:rsidRPr="00851EB1">
        <w:rPr>
          <w:rFonts w:ascii="Arial" w:hAnsi="Arial" w:cs="Arial"/>
          <w:sz w:val="22"/>
          <w:szCs w:val="22"/>
        </w:rPr>
        <w:t>De acuerdo con estos antecedentes, esta Intervención General procede a dictar las siguientes instrucciones:</w:t>
      </w:r>
    </w:p>
    <w:p w:rsidR="00851EB1" w:rsidRPr="00851EB1" w:rsidRDefault="00851EB1" w:rsidP="00851EB1">
      <w:pPr>
        <w:jc w:val="both"/>
        <w:rPr>
          <w:rFonts w:ascii="Arial" w:hAnsi="Arial" w:cs="Arial"/>
          <w:sz w:val="22"/>
          <w:szCs w:val="22"/>
        </w:rPr>
      </w:pPr>
    </w:p>
    <w:p w:rsidR="00851EB1" w:rsidRPr="00851EB1" w:rsidRDefault="00851EB1" w:rsidP="00851EB1">
      <w:pPr>
        <w:pStyle w:val="Cuerpodeltexto60"/>
        <w:shd w:val="clear" w:color="auto" w:fill="auto"/>
        <w:spacing w:before="0" w:after="0" w:line="240" w:lineRule="auto"/>
        <w:rPr>
          <w:rFonts w:ascii="Arial" w:hAnsi="Arial" w:cs="Arial"/>
        </w:rPr>
      </w:pPr>
      <w:r w:rsidRPr="00851EB1">
        <w:rPr>
          <w:rStyle w:val="Cuerpodeltexto6NegritaSincursiva"/>
          <w:rFonts w:ascii="Arial" w:hAnsi="Arial" w:cs="Arial"/>
          <w:i/>
          <w:iCs/>
        </w:rPr>
        <w:t xml:space="preserve">Primera </w:t>
      </w:r>
      <w:r w:rsidRPr="00851EB1">
        <w:rPr>
          <w:rFonts w:ascii="Arial" w:hAnsi="Arial" w:cs="Arial"/>
        </w:rPr>
        <w:t>Ámbito</w:t>
      </w:r>
      <w:r w:rsidRPr="00851EB1">
        <w:rPr>
          <w:rFonts w:ascii="Arial" w:hAnsi="Arial" w:cs="Arial"/>
          <w:color w:val="000000"/>
          <w:lang w:eastAsia="es-ES" w:bidi="es-ES"/>
        </w:rPr>
        <w:t xml:space="preserve"> de aplicación</w:t>
      </w:r>
    </w:p>
    <w:p w:rsidR="00851EB1" w:rsidRPr="00851EB1" w:rsidRDefault="00851EB1" w:rsidP="00851EB1">
      <w:pPr>
        <w:pStyle w:val="Cuerpodeltexto60"/>
        <w:shd w:val="clear" w:color="auto" w:fill="auto"/>
        <w:spacing w:before="0" w:after="0" w:line="240" w:lineRule="auto"/>
        <w:rPr>
          <w:rFonts w:ascii="Arial" w:hAnsi="Arial" w:cs="Arial"/>
        </w:rPr>
      </w:pPr>
    </w:p>
    <w:p w:rsidR="00851EB1" w:rsidRPr="00851EB1" w:rsidRDefault="00851EB1" w:rsidP="00851EB1">
      <w:pPr>
        <w:jc w:val="both"/>
        <w:rPr>
          <w:rFonts w:ascii="Arial" w:hAnsi="Arial" w:cs="Arial"/>
          <w:sz w:val="22"/>
          <w:szCs w:val="22"/>
        </w:rPr>
      </w:pPr>
      <w:r w:rsidRPr="00851EB1">
        <w:rPr>
          <w:rFonts w:ascii="Arial" w:hAnsi="Arial" w:cs="Arial"/>
          <w:sz w:val="22"/>
          <w:szCs w:val="22"/>
        </w:rPr>
        <w:t>La presente Circular tiene por objeto dictar las instrucciones para la aplicación del control financiero permanente que se ejerza sobre los centros sanitarios adscritos al SERMAS, incluidos en el ámbito de aplicación del artículo 9.2.c) del Decreto 24/2008, de 3 de abril, por el que se establece el régimen jurídico y de funcionamiento del Servicio Madrileño de Salud, que no se encuentran sujetos a fiscalización previa.</w:t>
      </w:r>
    </w:p>
    <w:p w:rsidR="00851EB1" w:rsidRPr="00851EB1" w:rsidRDefault="00851EB1" w:rsidP="00851EB1">
      <w:pPr>
        <w:jc w:val="both"/>
        <w:rPr>
          <w:rFonts w:ascii="Arial" w:hAnsi="Arial" w:cs="Arial"/>
          <w:sz w:val="22"/>
          <w:szCs w:val="22"/>
        </w:rPr>
      </w:pPr>
    </w:p>
    <w:p w:rsidR="00851EB1" w:rsidRPr="00851EB1" w:rsidRDefault="00851EB1" w:rsidP="00851EB1">
      <w:pPr>
        <w:pStyle w:val="Cuerpodeltexto60"/>
        <w:shd w:val="clear" w:color="auto" w:fill="auto"/>
        <w:spacing w:before="0" w:after="0" w:line="240" w:lineRule="auto"/>
        <w:rPr>
          <w:rFonts w:ascii="Arial" w:hAnsi="Arial" w:cs="Arial"/>
        </w:rPr>
      </w:pPr>
      <w:proofErr w:type="gramStart"/>
      <w:r w:rsidRPr="00851EB1">
        <w:rPr>
          <w:rStyle w:val="Cuerpodeltexto6NegritaSincursiva"/>
          <w:rFonts w:ascii="Arial" w:hAnsi="Arial" w:cs="Arial"/>
          <w:i/>
          <w:iCs/>
        </w:rPr>
        <w:t>Segunda.-</w:t>
      </w:r>
      <w:proofErr w:type="gramEnd"/>
      <w:r w:rsidRPr="00851EB1">
        <w:rPr>
          <w:rStyle w:val="Cuerpodeltexto6NegritaSincursiva"/>
          <w:rFonts w:ascii="Arial" w:hAnsi="Arial" w:cs="Arial"/>
          <w:i/>
          <w:iCs/>
        </w:rPr>
        <w:t xml:space="preserve"> </w:t>
      </w:r>
      <w:r w:rsidRPr="00851EB1">
        <w:rPr>
          <w:rFonts w:ascii="Arial" w:hAnsi="Arial" w:cs="Arial"/>
          <w:color w:val="000000"/>
          <w:lang w:eastAsia="es-ES" w:bidi="es-ES"/>
        </w:rPr>
        <w:t>Objeto y contenido del control financiero permanente</w:t>
      </w:r>
    </w:p>
    <w:p w:rsidR="00851EB1" w:rsidRPr="00851EB1" w:rsidRDefault="00851EB1" w:rsidP="00851EB1">
      <w:pPr>
        <w:pStyle w:val="Cuerpodeltexto60"/>
        <w:shd w:val="clear" w:color="auto" w:fill="auto"/>
        <w:spacing w:before="0" w:after="0" w:line="240" w:lineRule="auto"/>
        <w:rPr>
          <w:rFonts w:ascii="Arial" w:hAnsi="Arial" w:cs="Arial"/>
        </w:rPr>
      </w:pPr>
    </w:p>
    <w:p w:rsidR="00851EB1" w:rsidRPr="00851EB1" w:rsidRDefault="00851EB1" w:rsidP="00851EB1">
      <w:pPr>
        <w:jc w:val="both"/>
        <w:rPr>
          <w:rFonts w:ascii="Arial" w:hAnsi="Arial" w:cs="Arial"/>
          <w:sz w:val="22"/>
          <w:szCs w:val="22"/>
        </w:rPr>
      </w:pPr>
      <w:r w:rsidRPr="00851EB1">
        <w:rPr>
          <w:rFonts w:ascii="Arial" w:hAnsi="Arial" w:cs="Arial"/>
          <w:sz w:val="22"/>
          <w:szCs w:val="22"/>
        </w:rPr>
        <w:t>El control financiero permanente que se ejerce sobre los centros sanitarios adscritos al SERMAS tiene por objeto comprobar durante el ejercicio en curso que su funcionamiento, en el aspecto económico-financiero, se ajusta al ordenamiento jurídico y a los principios generales de buena gestión financiera, así como formular recomendaciones en los aspectos económico, financiero, patrimonial, presupuestario, contable, organizativo y procedimental y sobre los sistemas informáticos de gestión, para corregir las actuaciones que lo requieran, a fin de promover la mejora de las técnicas y procedimientos de gestión económico-financiera con el objetivo de ejercerlo de forma inmediata y con resultados más próximos en el tiempo a la actividad controlada.</w:t>
      </w:r>
    </w:p>
    <w:p w:rsidR="00851EB1" w:rsidRPr="00851EB1" w:rsidRDefault="00851EB1" w:rsidP="00851EB1">
      <w:pPr>
        <w:jc w:val="both"/>
        <w:rPr>
          <w:rFonts w:ascii="Arial" w:hAnsi="Arial" w:cs="Arial"/>
          <w:sz w:val="22"/>
          <w:szCs w:val="22"/>
        </w:rPr>
      </w:pPr>
    </w:p>
    <w:p w:rsidR="00851EB1" w:rsidRPr="00851EB1" w:rsidRDefault="00851EB1" w:rsidP="00851EB1">
      <w:pPr>
        <w:jc w:val="both"/>
        <w:rPr>
          <w:rFonts w:ascii="Arial" w:hAnsi="Arial" w:cs="Arial"/>
          <w:sz w:val="22"/>
          <w:szCs w:val="22"/>
        </w:rPr>
      </w:pPr>
      <w:r w:rsidRPr="00851EB1">
        <w:rPr>
          <w:rFonts w:ascii="Arial" w:hAnsi="Arial" w:cs="Arial"/>
          <w:sz w:val="22"/>
          <w:szCs w:val="22"/>
        </w:rPr>
        <w:lastRenderedPageBreak/>
        <w:t xml:space="preserve">En relación con esta modalidad de control, en el correspondiente plan anual de auditorías de la IGCM se precisarán los centros, las actuaciones concretas a realizar y el alcance con el que se desarrollarán en cada caso. </w:t>
      </w:r>
    </w:p>
    <w:p w:rsidR="00851EB1" w:rsidRPr="00851EB1" w:rsidRDefault="00851EB1" w:rsidP="00851EB1">
      <w:pPr>
        <w:jc w:val="both"/>
        <w:rPr>
          <w:rStyle w:val="Cuerpodeltexto6NegritaSincursiva"/>
          <w:rFonts w:ascii="Arial" w:eastAsia="Courier New" w:hAnsi="Arial" w:cs="Arial"/>
          <w:sz w:val="22"/>
          <w:szCs w:val="22"/>
        </w:rPr>
      </w:pPr>
    </w:p>
    <w:p w:rsidR="00851EB1" w:rsidRPr="00851EB1" w:rsidRDefault="00851EB1" w:rsidP="00851EB1">
      <w:pPr>
        <w:pStyle w:val="Cuerpodeltexto60"/>
        <w:shd w:val="clear" w:color="auto" w:fill="auto"/>
        <w:spacing w:before="0" w:after="0" w:line="240" w:lineRule="auto"/>
        <w:rPr>
          <w:rFonts w:ascii="Arial" w:hAnsi="Arial" w:cs="Arial"/>
        </w:rPr>
      </w:pPr>
      <w:r w:rsidRPr="00851EB1">
        <w:rPr>
          <w:rStyle w:val="Cuerpodeltexto6NegritaSincursiva"/>
          <w:rFonts w:ascii="Arial" w:hAnsi="Arial" w:cs="Arial"/>
          <w:i/>
          <w:iCs/>
        </w:rPr>
        <w:t xml:space="preserve">Tercera </w:t>
      </w:r>
      <w:r w:rsidRPr="00851EB1">
        <w:rPr>
          <w:rFonts w:ascii="Arial" w:hAnsi="Arial" w:cs="Arial"/>
          <w:color w:val="000000"/>
          <w:lang w:eastAsia="es-ES" w:bidi="es-ES"/>
        </w:rPr>
        <w:t>Órganos competentes.</w:t>
      </w:r>
    </w:p>
    <w:p w:rsidR="00851EB1" w:rsidRPr="00851EB1" w:rsidRDefault="00851EB1" w:rsidP="00851EB1">
      <w:pPr>
        <w:pStyle w:val="Cuerpodeltexto60"/>
        <w:shd w:val="clear" w:color="auto" w:fill="auto"/>
        <w:spacing w:before="0" w:after="0" w:line="240" w:lineRule="auto"/>
        <w:rPr>
          <w:rFonts w:ascii="Arial" w:hAnsi="Arial" w:cs="Arial"/>
        </w:rPr>
      </w:pPr>
    </w:p>
    <w:p w:rsidR="00851EB1" w:rsidRPr="00851EB1" w:rsidRDefault="00851EB1" w:rsidP="00851EB1">
      <w:pPr>
        <w:tabs>
          <w:tab w:val="left" w:pos="1026"/>
        </w:tabs>
        <w:jc w:val="both"/>
        <w:rPr>
          <w:rFonts w:ascii="Arial" w:hAnsi="Arial" w:cs="Arial"/>
          <w:sz w:val="22"/>
          <w:szCs w:val="22"/>
        </w:rPr>
      </w:pPr>
      <w:r w:rsidRPr="00851EB1">
        <w:rPr>
          <w:rFonts w:ascii="Arial" w:hAnsi="Arial" w:cs="Arial"/>
          <w:sz w:val="22"/>
          <w:szCs w:val="22"/>
        </w:rPr>
        <w:t>1.- El control financiero permanente se ejercerá en la forma establecida en esta Circular por las Unidades de Control Financiero (en adelante, UCF) dependientes de la Subdirección General de Control Financiero.</w:t>
      </w:r>
    </w:p>
    <w:p w:rsidR="00851EB1" w:rsidRPr="00851EB1" w:rsidRDefault="00851EB1" w:rsidP="00851EB1">
      <w:pPr>
        <w:tabs>
          <w:tab w:val="left" w:pos="1026"/>
        </w:tabs>
        <w:ind w:left="760"/>
        <w:jc w:val="both"/>
        <w:rPr>
          <w:rFonts w:ascii="Arial" w:hAnsi="Arial" w:cs="Arial"/>
          <w:sz w:val="22"/>
          <w:szCs w:val="22"/>
        </w:rPr>
      </w:pPr>
    </w:p>
    <w:p w:rsidR="00851EB1" w:rsidRPr="00851EB1" w:rsidRDefault="00851EB1" w:rsidP="00851EB1">
      <w:pPr>
        <w:tabs>
          <w:tab w:val="left" w:pos="1026"/>
        </w:tabs>
        <w:jc w:val="both"/>
        <w:rPr>
          <w:rFonts w:ascii="Arial" w:hAnsi="Arial" w:cs="Arial"/>
          <w:sz w:val="22"/>
          <w:szCs w:val="22"/>
        </w:rPr>
      </w:pPr>
      <w:r w:rsidRPr="00851EB1">
        <w:rPr>
          <w:rFonts w:ascii="Arial" w:hAnsi="Arial" w:cs="Arial"/>
          <w:sz w:val="22"/>
          <w:szCs w:val="22"/>
        </w:rPr>
        <w:t>2.- Corresponde a la Unidad de Coordinación de Control Financiero del SERMAS la coordinación de las actuaciones de control financiero permanente que realicen las UCF.</w:t>
      </w:r>
    </w:p>
    <w:p w:rsidR="00851EB1" w:rsidRPr="00851EB1" w:rsidRDefault="00851EB1" w:rsidP="00851EB1">
      <w:pPr>
        <w:jc w:val="both"/>
        <w:rPr>
          <w:rFonts w:ascii="Arial" w:hAnsi="Arial" w:cs="Arial"/>
          <w:sz w:val="22"/>
          <w:szCs w:val="22"/>
        </w:rPr>
      </w:pPr>
      <w:r w:rsidRPr="00851EB1">
        <w:rPr>
          <w:rFonts w:ascii="Arial" w:hAnsi="Arial" w:cs="Arial"/>
          <w:sz w:val="22"/>
          <w:szCs w:val="22"/>
        </w:rPr>
        <w:t>Esta función de coordinación comprenderá las siguientes actuaciones:</w:t>
      </w:r>
    </w:p>
    <w:p w:rsidR="00851EB1" w:rsidRPr="00851EB1" w:rsidRDefault="00851EB1" w:rsidP="00851EB1">
      <w:pPr>
        <w:jc w:val="both"/>
        <w:rPr>
          <w:rFonts w:ascii="Arial" w:hAnsi="Arial" w:cs="Arial"/>
          <w:sz w:val="22"/>
          <w:szCs w:val="22"/>
        </w:rPr>
      </w:pPr>
    </w:p>
    <w:p w:rsidR="00851EB1" w:rsidRPr="00851EB1" w:rsidRDefault="00851EB1" w:rsidP="00851EB1">
      <w:pPr>
        <w:tabs>
          <w:tab w:val="left" w:pos="1090"/>
        </w:tabs>
        <w:ind w:left="760"/>
        <w:jc w:val="both"/>
        <w:rPr>
          <w:rFonts w:ascii="Arial" w:hAnsi="Arial" w:cs="Arial"/>
          <w:sz w:val="22"/>
          <w:szCs w:val="22"/>
        </w:rPr>
      </w:pPr>
      <w:r w:rsidRPr="00851EB1">
        <w:rPr>
          <w:rFonts w:ascii="Arial" w:hAnsi="Arial" w:cs="Arial"/>
          <w:sz w:val="22"/>
          <w:szCs w:val="22"/>
        </w:rPr>
        <w:t>a) Proporcionar y transmitir a los responsables de las UCF la información e instrucciones que se consideren oportunas para la realización de las actuaciones de control financiero permanente.</w:t>
      </w:r>
    </w:p>
    <w:p w:rsidR="00851EB1" w:rsidRPr="00851EB1" w:rsidRDefault="00851EB1" w:rsidP="00851EB1">
      <w:pPr>
        <w:tabs>
          <w:tab w:val="left" w:pos="1105"/>
        </w:tabs>
        <w:ind w:left="760"/>
        <w:jc w:val="both"/>
        <w:rPr>
          <w:rFonts w:ascii="Arial" w:hAnsi="Arial" w:cs="Arial"/>
          <w:sz w:val="22"/>
          <w:szCs w:val="22"/>
        </w:rPr>
      </w:pPr>
      <w:r w:rsidRPr="00851EB1">
        <w:rPr>
          <w:rFonts w:ascii="Arial" w:hAnsi="Arial" w:cs="Arial"/>
          <w:sz w:val="22"/>
          <w:szCs w:val="22"/>
        </w:rPr>
        <w:t>Coordinar y valorar, antes de su remisión a la Subdirección General de Control Financiero, las propuestas de inclusión o modificación de controles en el plan anual de auditorías que efectúen las UCF.</w:t>
      </w:r>
    </w:p>
    <w:p w:rsidR="00851EB1" w:rsidRPr="00851EB1" w:rsidRDefault="00851EB1" w:rsidP="00851EB1">
      <w:pPr>
        <w:tabs>
          <w:tab w:val="left" w:pos="1105"/>
        </w:tabs>
        <w:ind w:left="760"/>
        <w:jc w:val="both"/>
        <w:rPr>
          <w:rFonts w:ascii="Arial" w:hAnsi="Arial" w:cs="Arial"/>
          <w:sz w:val="22"/>
          <w:szCs w:val="22"/>
        </w:rPr>
      </w:pPr>
    </w:p>
    <w:p w:rsidR="00851EB1" w:rsidRPr="00851EB1" w:rsidRDefault="00851EB1" w:rsidP="00851EB1">
      <w:pPr>
        <w:tabs>
          <w:tab w:val="left" w:pos="1105"/>
        </w:tabs>
        <w:ind w:left="760"/>
        <w:jc w:val="both"/>
        <w:rPr>
          <w:rFonts w:ascii="Arial" w:hAnsi="Arial" w:cs="Arial"/>
          <w:sz w:val="22"/>
          <w:szCs w:val="22"/>
        </w:rPr>
      </w:pPr>
      <w:r w:rsidRPr="00851EB1">
        <w:rPr>
          <w:rFonts w:ascii="Arial" w:hAnsi="Arial" w:cs="Arial"/>
          <w:sz w:val="22"/>
          <w:szCs w:val="22"/>
        </w:rPr>
        <w:t>c)Proporcionar a las UCF, al menos con periodicidad anual, información agregada sobre los resultados del control financiero permanente realizado en el resto de Unidades.</w:t>
      </w:r>
    </w:p>
    <w:p w:rsidR="00851EB1" w:rsidRPr="00851EB1" w:rsidRDefault="00851EB1" w:rsidP="00851EB1">
      <w:pPr>
        <w:tabs>
          <w:tab w:val="left" w:pos="1105"/>
        </w:tabs>
        <w:ind w:left="760"/>
        <w:jc w:val="both"/>
        <w:rPr>
          <w:rFonts w:ascii="Arial" w:hAnsi="Arial" w:cs="Arial"/>
          <w:sz w:val="22"/>
          <w:szCs w:val="22"/>
        </w:rPr>
      </w:pPr>
    </w:p>
    <w:p w:rsidR="00851EB1" w:rsidRPr="00851EB1" w:rsidRDefault="00851EB1" w:rsidP="00851EB1">
      <w:pPr>
        <w:tabs>
          <w:tab w:val="left" w:pos="1026"/>
        </w:tabs>
        <w:jc w:val="both"/>
        <w:rPr>
          <w:rFonts w:ascii="Arial" w:hAnsi="Arial" w:cs="Arial"/>
          <w:sz w:val="22"/>
          <w:szCs w:val="22"/>
        </w:rPr>
      </w:pPr>
      <w:r w:rsidRPr="00851EB1">
        <w:rPr>
          <w:rFonts w:ascii="Arial" w:hAnsi="Arial" w:cs="Arial"/>
          <w:sz w:val="22"/>
          <w:szCs w:val="22"/>
        </w:rPr>
        <w:t>3.- Corresponde a la Subdirección General de Control Financiero velar por la correcta ejecución de las instrucciones contenidas en la presente circular, determinar las fechas en las que se emitirán los correspondientes informes, así como interpretar cuantas dudas surjan en su aplicación.</w:t>
      </w:r>
    </w:p>
    <w:p w:rsidR="00851EB1" w:rsidRPr="00851EB1" w:rsidRDefault="00851EB1" w:rsidP="00851EB1">
      <w:pPr>
        <w:tabs>
          <w:tab w:val="left" w:pos="1026"/>
        </w:tabs>
        <w:jc w:val="both"/>
        <w:rPr>
          <w:rFonts w:ascii="Arial" w:hAnsi="Arial" w:cs="Arial"/>
          <w:sz w:val="22"/>
          <w:szCs w:val="22"/>
        </w:rPr>
      </w:pPr>
    </w:p>
    <w:p w:rsidR="00851EB1" w:rsidRPr="00851EB1" w:rsidRDefault="00851EB1" w:rsidP="00851EB1">
      <w:pPr>
        <w:pStyle w:val="Cuerpodeltexto60"/>
        <w:shd w:val="clear" w:color="auto" w:fill="auto"/>
        <w:spacing w:before="0" w:after="0" w:line="240" w:lineRule="auto"/>
        <w:rPr>
          <w:rFonts w:ascii="Arial" w:hAnsi="Arial" w:cs="Arial"/>
        </w:rPr>
      </w:pPr>
      <w:proofErr w:type="gramStart"/>
      <w:r w:rsidRPr="00851EB1">
        <w:rPr>
          <w:rStyle w:val="Cuerpodeltexto6NegritaSincursiva"/>
          <w:rFonts w:ascii="Arial" w:hAnsi="Arial" w:cs="Arial"/>
          <w:i/>
          <w:iCs/>
        </w:rPr>
        <w:t>Cuarta .</w:t>
      </w:r>
      <w:proofErr w:type="gramEnd"/>
      <w:r w:rsidRPr="00851EB1">
        <w:rPr>
          <w:rStyle w:val="Cuerpodeltexto6NegritaSincursiva"/>
          <w:rFonts w:ascii="Arial" w:hAnsi="Arial" w:cs="Arial"/>
          <w:i/>
          <w:iCs/>
        </w:rPr>
        <w:t xml:space="preserve">- </w:t>
      </w:r>
      <w:r w:rsidRPr="00851EB1">
        <w:rPr>
          <w:rFonts w:ascii="Arial" w:hAnsi="Arial" w:cs="Arial"/>
          <w:color w:val="000000"/>
          <w:lang w:eastAsia="es-ES" w:bidi="es-ES"/>
        </w:rPr>
        <w:t>Ejecución de las actuaciones de control financiero permanente.</w:t>
      </w:r>
    </w:p>
    <w:p w:rsidR="00851EB1" w:rsidRPr="00851EB1" w:rsidRDefault="00851EB1" w:rsidP="00851EB1">
      <w:pPr>
        <w:pStyle w:val="Cuerpodeltexto60"/>
        <w:shd w:val="clear" w:color="auto" w:fill="auto"/>
        <w:spacing w:before="0" w:after="0" w:line="240" w:lineRule="auto"/>
        <w:rPr>
          <w:rFonts w:ascii="Arial" w:hAnsi="Arial" w:cs="Arial"/>
        </w:rPr>
      </w:pPr>
    </w:p>
    <w:p w:rsidR="00851EB1" w:rsidRPr="00851EB1" w:rsidRDefault="00851EB1" w:rsidP="00851EB1">
      <w:pPr>
        <w:tabs>
          <w:tab w:val="left" w:pos="1052"/>
        </w:tabs>
        <w:jc w:val="both"/>
        <w:rPr>
          <w:rFonts w:ascii="Arial" w:hAnsi="Arial" w:cs="Arial"/>
          <w:sz w:val="22"/>
          <w:szCs w:val="22"/>
        </w:rPr>
      </w:pPr>
      <w:r w:rsidRPr="00851EB1">
        <w:rPr>
          <w:rFonts w:ascii="Arial" w:hAnsi="Arial" w:cs="Arial"/>
          <w:sz w:val="22"/>
          <w:szCs w:val="22"/>
        </w:rPr>
        <w:t>1.- El plan anual de auditorías determinará las áreas que deban ser objeto de control.</w:t>
      </w:r>
    </w:p>
    <w:p w:rsidR="00851EB1" w:rsidRPr="00851EB1" w:rsidRDefault="00851EB1" w:rsidP="00851EB1">
      <w:pPr>
        <w:tabs>
          <w:tab w:val="left" w:pos="1022"/>
        </w:tabs>
        <w:jc w:val="both"/>
        <w:rPr>
          <w:rFonts w:ascii="Arial" w:hAnsi="Arial" w:cs="Arial"/>
          <w:sz w:val="22"/>
          <w:szCs w:val="22"/>
        </w:rPr>
      </w:pPr>
    </w:p>
    <w:p w:rsidR="00851EB1" w:rsidRPr="00851EB1" w:rsidRDefault="00851EB1" w:rsidP="00851EB1">
      <w:pPr>
        <w:tabs>
          <w:tab w:val="left" w:pos="1022"/>
        </w:tabs>
        <w:jc w:val="both"/>
        <w:rPr>
          <w:rFonts w:ascii="Arial" w:hAnsi="Arial" w:cs="Arial"/>
          <w:sz w:val="22"/>
          <w:szCs w:val="22"/>
        </w:rPr>
      </w:pPr>
      <w:r w:rsidRPr="00851EB1">
        <w:rPr>
          <w:rFonts w:ascii="Arial" w:hAnsi="Arial" w:cs="Arial"/>
          <w:sz w:val="22"/>
          <w:szCs w:val="22"/>
        </w:rPr>
        <w:t>2.- Los responsables de las UCF planificarán, dirigirán el desarrollo de las actuaciones de control financiero permanente que tengan asignadas, realizarán el seguimiento de su ejecución y designarán a los integrantes del equipo de control con la oportuna distribución de las tareas a realizar entre ellos en el marco del área de control que sea objeto de examen.</w:t>
      </w:r>
    </w:p>
    <w:p w:rsidR="00851EB1" w:rsidRPr="00851EB1" w:rsidRDefault="00851EB1" w:rsidP="00851EB1">
      <w:pPr>
        <w:tabs>
          <w:tab w:val="left" w:pos="1031"/>
        </w:tabs>
        <w:jc w:val="both"/>
        <w:rPr>
          <w:rFonts w:ascii="Arial" w:hAnsi="Arial" w:cs="Arial"/>
          <w:sz w:val="22"/>
          <w:szCs w:val="22"/>
        </w:rPr>
      </w:pPr>
    </w:p>
    <w:p w:rsidR="00851EB1" w:rsidRPr="00851EB1" w:rsidRDefault="00851EB1" w:rsidP="00851EB1">
      <w:pPr>
        <w:tabs>
          <w:tab w:val="left" w:pos="1031"/>
        </w:tabs>
        <w:jc w:val="both"/>
        <w:rPr>
          <w:rFonts w:ascii="Arial" w:hAnsi="Arial" w:cs="Arial"/>
          <w:sz w:val="22"/>
          <w:szCs w:val="22"/>
        </w:rPr>
      </w:pPr>
      <w:r w:rsidRPr="00851EB1">
        <w:rPr>
          <w:rFonts w:ascii="Arial" w:hAnsi="Arial" w:cs="Arial"/>
          <w:sz w:val="22"/>
          <w:szCs w:val="22"/>
        </w:rPr>
        <w:t>3.- Los trabajos de control financiero permanente se realizarán de forma ininterrumpida a lo largo del ejercicio en curso; no obstante, los responsables de las UCF comunicarán al órgano gestor el inicio de las actuaciones de control que se vayan a desarrollar.</w:t>
      </w:r>
    </w:p>
    <w:p w:rsidR="00851EB1" w:rsidRPr="00851EB1" w:rsidRDefault="00851EB1" w:rsidP="00851EB1">
      <w:pPr>
        <w:jc w:val="both"/>
        <w:rPr>
          <w:rFonts w:ascii="Arial" w:hAnsi="Arial" w:cs="Arial"/>
          <w:sz w:val="22"/>
          <w:szCs w:val="22"/>
        </w:rPr>
      </w:pPr>
    </w:p>
    <w:p w:rsidR="00851EB1" w:rsidRPr="00851EB1" w:rsidRDefault="00851EB1" w:rsidP="00851EB1">
      <w:pPr>
        <w:jc w:val="both"/>
        <w:rPr>
          <w:rFonts w:ascii="Arial" w:hAnsi="Arial" w:cs="Arial"/>
          <w:sz w:val="22"/>
          <w:szCs w:val="22"/>
        </w:rPr>
      </w:pPr>
      <w:r w:rsidRPr="00851EB1">
        <w:rPr>
          <w:rFonts w:ascii="Arial" w:hAnsi="Arial" w:cs="Arial"/>
          <w:sz w:val="22"/>
          <w:szCs w:val="22"/>
        </w:rPr>
        <w:t>Las actuaciones y el detalle de los aspectos susceptibles de ser incluidos en el alcance de la auditoría, con los criterios de agregación o desglose que se consideren más convenientes, son:</w:t>
      </w:r>
    </w:p>
    <w:p w:rsidR="00851EB1" w:rsidRPr="00851EB1" w:rsidRDefault="00851EB1" w:rsidP="00851EB1">
      <w:pPr>
        <w:tabs>
          <w:tab w:val="left" w:pos="1090"/>
        </w:tabs>
        <w:ind w:left="760"/>
        <w:jc w:val="both"/>
        <w:rPr>
          <w:rFonts w:ascii="Arial" w:hAnsi="Arial" w:cs="Arial"/>
          <w:sz w:val="22"/>
          <w:szCs w:val="22"/>
        </w:rPr>
      </w:pPr>
    </w:p>
    <w:p w:rsidR="00851EB1" w:rsidRPr="00851EB1" w:rsidRDefault="00851EB1" w:rsidP="00851EB1">
      <w:pPr>
        <w:tabs>
          <w:tab w:val="left" w:pos="1090"/>
        </w:tabs>
        <w:ind w:left="760"/>
        <w:jc w:val="both"/>
        <w:rPr>
          <w:rFonts w:ascii="Arial" w:hAnsi="Arial" w:cs="Arial"/>
          <w:sz w:val="22"/>
          <w:szCs w:val="22"/>
        </w:rPr>
      </w:pPr>
      <w:r w:rsidRPr="00851EB1">
        <w:rPr>
          <w:rFonts w:ascii="Arial" w:hAnsi="Arial" w:cs="Arial"/>
          <w:sz w:val="22"/>
          <w:szCs w:val="22"/>
        </w:rPr>
        <w:t>a) Revisión y análisis de la información financiera, considerada en su conjunto o en relación con áreas específicas.</w:t>
      </w:r>
    </w:p>
    <w:p w:rsidR="00851EB1" w:rsidRPr="00851EB1" w:rsidRDefault="00851EB1" w:rsidP="00851EB1">
      <w:pPr>
        <w:tabs>
          <w:tab w:val="left" w:pos="1090"/>
        </w:tabs>
        <w:ind w:left="760"/>
        <w:jc w:val="both"/>
        <w:rPr>
          <w:rFonts w:ascii="Arial" w:hAnsi="Arial" w:cs="Arial"/>
          <w:sz w:val="22"/>
          <w:szCs w:val="22"/>
        </w:rPr>
      </w:pPr>
    </w:p>
    <w:p w:rsidR="00851EB1" w:rsidRPr="00851EB1" w:rsidRDefault="00851EB1" w:rsidP="00851EB1">
      <w:pPr>
        <w:tabs>
          <w:tab w:val="left" w:pos="1105"/>
        </w:tabs>
        <w:ind w:left="760"/>
        <w:jc w:val="both"/>
        <w:rPr>
          <w:rFonts w:ascii="Arial" w:hAnsi="Arial" w:cs="Arial"/>
          <w:sz w:val="22"/>
          <w:szCs w:val="22"/>
        </w:rPr>
      </w:pPr>
      <w:r w:rsidRPr="00851EB1">
        <w:rPr>
          <w:rFonts w:ascii="Arial" w:hAnsi="Arial" w:cs="Arial"/>
          <w:sz w:val="22"/>
          <w:szCs w:val="22"/>
        </w:rPr>
        <w:t>b) Gestión presupuestaria (que puede ser subdividida en función de los capítulos presupuestarios en los que se posicionan las dotaciones de los centros).</w:t>
      </w:r>
    </w:p>
    <w:p w:rsidR="00851EB1" w:rsidRPr="00851EB1" w:rsidRDefault="00851EB1" w:rsidP="00851EB1">
      <w:pPr>
        <w:tabs>
          <w:tab w:val="left" w:pos="1105"/>
        </w:tabs>
        <w:ind w:left="760"/>
        <w:jc w:val="both"/>
        <w:rPr>
          <w:rFonts w:ascii="Arial" w:hAnsi="Arial" w:cs="Arial"/>
          <w:sz w:val="22"/>
          <w:szCs w:val="22"/>
        </w:rPr>
      </w:pPr>
    </w:p>
    <w:p w:rsidR="00851EB1" w:rsidRPr="00851EB1" w:rsidRDefault="00851EB1" w:rsidP="00851EB1">
      <w:pPr>
        <w:tabs>
          <w:tab w:val="left" w:pos="1105"/>
        </w:tabs>
        <w:ind w:left="760"/>
        <w:jc w:val="both"/>
        <w:rPr>
          <w:rFonts w:ascii="Arial" w:hAnsi="Arial" w:cs="Arial"/>
          <w:sz w:val="22"/>
          <w:szCs w:val="22"/>
        </w:rPr>
      </w:pPr>
      <w:r w:rsidRPr="00851EB1">
        <w:rPr>
          <w:rFonts w:ascii="Arial" w:hAnsi="Arial" w:cs="Arial"/>
          <w:sz w:val="22"/>
          <w:szCs w:val="22"/>
        </w:rPr>
        <w:t>c) Gestión de personal y análisis de los recursos humanos.</w:t>
      </w:r>
    </w:p>
    <w:p w:rsidR="00851EB1" w:rsidRPr="00851EB1" w:rsidRDefault="00851EB1" w:rsidP="00851EB1">
      <w:pPr>
        <w:tabs>
          <w:tab w:val="left" w:pos="1105"/>
        </w:tabs>
        <w:ind w:left="708"/>
        <w:jc w:val="both"/>
        <w:rPr>
          <w:rFonts w:ascii="Arial" w:hAnsi="Arial" w:cs="Arial"/>
          <w:sz w:val="22"/>
          <w:szCs w:val="22"/>
        </w:rPr>
      </w:pPr>
      <w:r w:rsidRPr="00851EB1">
        <w:rPr>
          <w:rFonts w:ascii="Arial" w:hAnsi="Arial" w:cs="Arial"/>
          <w:sz w:val="22"/>
          <w:szCs w:val="22"/>
        </w:rPr>
        <w:lastRenderedPageBreak/>
        <w:t>d) Gestión contractual para la adquisición de los bienes y servicios necesarios para su actividad.</w:t>
      </w:r>
    </w:p>
    <w:p w:rsidR="00851EB1" w:rsidRPr="00851EB1" w:rsidRDefault="00851EB1" w:rsidP="00851EB1">
      <w:pPr>
        <w:tabs>
          <w:tab w:val="left" w:pos="1105"/>
        </w:tabs>
        <w:ind w:left="708"/>
        <w:jc w:val="both"/>
        <w:rPr>
          <w:rFonts w:ascii="Arial" w:hAnsi="Arial" w:cs="Arial"/>
          <w:sz w:val="22"/>
          <w:szCs w:val="22"/>
        </w:rPr>
      </w:pPr>
    </w:p>
    <w:p w:rsidR="00851EB1" w:rsidRPr="00851EB1" w:rsidRDefault="00851EB1" w:rsidP="00851EB1">
      <w:pPr>
        <w:tabs>
          <w:tab w:val="left" w:pos="1105"/>
        </w:tabs>
        <w:ind w:left="760"/>
        <w:jc w:val="both"/>
        <w:rPr>
          <w:rFonts w:ascii="Arial" w:hAnsi="Arial" w:cs="Arial"/>
          <w:sz w:val="22"/>
          <w:szCs w:val="22"/>
        </w:rPr>
      </w:pPr>
      <w:r w:rsidRPr="00851EB1">
        <w:rPr>
          <w:rFonts w:ascii="Arial" w:hAnsi="Arial" w:cs="Arial"/>
          <w:sz w:val="22"/>
          <w:szCs w:val="22"/>
        </w:rPr>
        <w:t>e) Gestión de ingresos. Evaluación del control interno establecido.</w:t>
      </w:r>
    </w:p>
    <w:p w:rsidR="00851EB1" w:rsidRPr="00851EB1" w:rsidRDefault="00851EB1" w:rsidP="00851EB1">
      <w:pPr>
        <w:tabs>
          <w:tab w:val="left" w:pos="1105"/>
        </w:tabs>
        <w:ind w:left="760"/>
        <w:jc w:val="both"/>
        <w:rPr>
          <w:rFonts w:ascii="Arial" w:hAnsi="Arial" w:cs="Arial"/>
          <w:sz w:val="22"/>
          <w:szCs w:val="22"/>
        </w:rPr>
      </w:pPr>
    </w:p>
    <w:p w:rsidR="00851EB1" w:rsidRPr="00851EB1" w:rsidRDefault="00851EB1" w:rsidP="00851EB1">
      <w:pPr>
        <w:tabs>
          <w:tab w:val="left" w:pos="1105"/>
        </w:tabs>
        <w:ind w:left="760"/>
        <w:jc w:val="both"/>
        <w:rPr>
          <w:rFonts w:ascii="Arial" w:hAnsi="Arial" w:cs="Arial"/>
          <w:sz w:val="22"/>
          <w:szCs w:val="22"/>
        </w:rPr>
      </w:pPr>
      <w:r w:rsidRPr="00851EB1">
        <w:rPr>
          <w:rFonts w:ascii="Arial" w:hAnsi="Arial" w:cs="Arial"/>
          <w:sz w:val="22"/>
          <w:szCs w:val="22"/>
        </w:rPr>
        <w:t>f)</w:t>
      </w:r>
      <w:r w:rsidR="00E42C98">
        <w:rPr>
          <w:rFonts w:ascii="Arial" w:hAnsi="Arial" w:cs="Arial"/>
          <w:sz w:val="22"/>
          <w:szCs w:val="22"/>
        </w:rPr>
        <w:t xml:space="preserve"> </w:t>
      </w:r>
      <w:r w:rsidRPr="00851EB1">
        <w:rPr>
          <w:rFonts w:ascii="Arial" w:hAnsi="Arial" w:cs="Arial"/>
          <w:sz w:val="22"/>
          <w:szCs w:val="22"/>
        </w:rPr>
        <w:t>Vinculaciones e interrelaciones con otros centros o instituciones.</w:t>
      </w:r>
    </w:p>
    <w:p w:rsidR="00851EB1" w:rsidRPr="00851EB1" w:rsidRDefault="00851EB1" w:rsidP="00851EB1">
      <w:pPr>
        <w:tabs>
          <w:tab w:val="left" w:pos="1105"/>
        </w:tabs>
        <w:ind w:left="760"/>
        <w:jc w:val="both"/>
        <w:rPr>
          <w:rFonts w:ascii="Arial" w:hAnsi="Arial" w:cs="Arial"/>
          <w:sz w:val="22"/>
          <w:szCs w:val="22"/>
        </w:rPr>
      </w:pPr>
    </w:p>
    <w:p w:rsidR="00851EB1" w:rsidRPr="00851EB1" w:rsidRDefault="00851EB1" w:rsidP="00851EB1">
      <w:pPr>
        <w:tabs>
          <w:tab w:val="left" w:pos="1105"/>
        </w:tabs>
        <w:ind w:left="760"/>
        <w:jc w:val="both"/>
        <w:rPr>
          <w:rFonts w:ascii="Arial" w:hAnsi="Arial" w:cs="Arial"/>
          <w:sz w:val="22"/>
          <w:szCs w:val="22"/>
        </w:rPr>
      </w:pPr>
      <w:r w:rsidRPr="00851EB1">
        <w:rPr>
          <w:rFonts w:ascii="Arial" w:hAnsi="Arial" w:cs="Arial"/>
          <w:sz w:val="22"/>
          <w:szCs w:val="22"/>
        </w:rPr>
        <w:t>g)</w:t>
      </w:r>
      <w:r w:rsidR="00E42C98">
        <w:rPr>
          <w:rFonts w:ascii="Arial" w:hAnsi="Arial" w:cs="Arial"/>
          <w:sz w:val="22"/>
          <w:szCs w:val="22"/>
        </w:rPr>
        <w:t xml:space="preserve"> </w:t>
      </w:r>
      <w:r w:rsidRPr="00851EB1">
        <w:rPr>
          <w:rFonts w:ascii="Arial" w:hAnsi="Arial" w:cs="Arial"/>
          <w:sz w:val="22"/>
          <w:szCs w:val="22"/>
        </w:rPr>
        <w:t>Análisis de objetivos. Objetivos institucionales de los centros y objetivos por áreas funcionales: Establecimiento, seguimiento y consecución. Eficiencia.</w:t>
      </w:r>
    </w:p>
    <w:p w:rsidR="00851EB1" w:rsidRPr="00851EB1" w:rsidRDefault="00851EB1" w:rsidP="00851EB1">
      <w:pPr>
        <w:tabs>
          <w:tab w:val="left" w:pos="1105"/>
        </w:tabs>
        <w:ind w:left="760"/>
        <w:jc w:val="both"/>
        <w:rPr>
          <w:rFonts w:ascii="Arial" w:hAnsi="Arial" w:cs="Arial"/>
          <w:sz w:val="22"/>
          <w:szCs w:val="22"/>
        </w:rPr>
      </w:pPr>
    </w:p>
    <w:p w:rsidR="00851EB1" w:rsidRPr="00851EB1" w:rsidRDefault="00851EB1" w:rsidP="00851EB1">
      <w:pPr>
        <w:tabs>
          <w:tab w:val="left" w:pos="1105"/>
        </w:tabs>
        <w:ind w:left="760"/>
        <w:jc w:val="both"/>
        <w:rPr>
          <w:rFonts w:ascii="Arial" w:hAnsi="Arial" w:cs="Arial"/>
          <w:sz w:val="22"/>
          <w:szCs w:val="22"/>
        </w:rPr>
      </w:pPr>
      <w:r w:rsidRPr="00851EB1">
        <w:rPr>
          <w:rFonts w:ascii="Arial" w:hAnsi="Arial" w:cs="Arial"/>
          <w:sz w:val="22"/>
          <w:szCs w:val="22"/>
        </w:rPr>
        <w:t>h)</w:t>
      </w:r>
      <w:r w:rsidR="00E42C98">
        <w:rPr>
          <w:rFonts w:ascii="Arial" w:hAnsi="Arial" w:cs="Arial"/>
          <w:sz w:val="22"/>
          <w:szCs w:val="22"/>
        </w:rPr>
        <w:t xml:space="preserve"> </w:t>
      </w:r>
      <w:r w:rsidRPr="00851EB1">
        <w:rPr>
          <w:rFonts w:ascii="Arial" w:hAnsi="Arial" w:cs="Arial"/>
          <w:sz w:val="22"/>
          <w:szCs w:val="22"/>
        </w:rPr>
        <w:t>Cualquier otro que se pudiera determinar atendiendo a las características o</w:t>
      </w:r>
      <w:r>
        <w:rPr>
          <w:rFonts w:ascii="Arial" w:hAnsi="Arial" w:cs="Arial"/>
          <w:sz w:val="22"/>
          <w:szCs w:val="22"/>
        </w:rPr>
        <w:t xml:space="preserve"> </w:t>
      </w:r>
      <w:r w:rsidRPr="00851EB1">
        <w:rPr>
          <w:rFonts w:ascii="Arial" w:hAnsi="Arial" w:cs="Arial"/>
          <w:sz w:val="22"/>
          <w:szCs w:val="22"/>
        </w:rPr>
        <w:t>circunstancias de cada centro que aconsejen el análisis de un área no prevista en los puntos anteriores.</w:t>
      </w:r>
    </w:p>
    <w:p w:rsidR="00851EB1" w:rsidRPr="00851EB1" w:rsidRDefault="00851EB1" w:rsidP="00E42C98">
      <w:pPr>
        <w:jc w:val="both"/>
        <w:rPr>
          <w:rFonts w:ascii="Arial" w:hAnsi="Arial" w:cs="Arial"/>
          <w:sz w:val="22"/>
          <w:szCs w:val="22"/>
        </w:rPr>
      </w:pPr>
    </w:p>
    <w:p w:rsidR="00851EB1" w:rsidRPr="00851EB1" w:rsidRDefault="00851EB1" w:rsidP="00851EB1">
      <w:pPr>
        <w:pStyle w:val="Cuerpodeltexto60"/>
        <w:shd w:val="clear" w:color="auto" w:fill="auto"/>
        <w:spacing w:before="0" w:after="0" w:line="240" w:lineRule="auto"/>
        <w:rPr>
          <w:rFonts w:ascii="Arial" w:hAnsi="Arial" w:cs="Arial"/>
        </w:rPr>
      </w:pPr>
      <w:r w:rsidRPr="00851EB1">
        <w:rPr>
          <w:rStyle w:val="Cuerpodeltexto6NegritaSincursiva"/>
          <w:rFonts w:ascii="Arial" w:hAnsi="Arial" w:cs="Arial"/>
          <w:i/>
          <w:iCs/>
        </w:rPr>
        <w:t xml:space="preserve">Quinta </w:t>
      </w:r>
      <w:r w:rsidRPr="00851EB1">
        <w:rPr>
          <w:rFonts w:ascii="Arial" w:hAnsi="Arial" w:cs="Arial"/>
          <w:color w:val="000000"/>
          <w:lang w:eastAsia="es-ES" w:bidi="es-ES"/>
        </w:rPr>
        <w:t>Procedimientos para la ejecución de las actuaciones de control financiero permanente</w:t>
      </w:r>
    </w:p>
    <w:p w:rsidR="00851EB1" w:rsidRPr="00851EB1" w:rsidRDefault="00851EB1" w:rsidP="00851EB1">
      <w:pPr>
        <w:tabs>
          <w:tab w:val="left" w:pos="1008"/>
        </w:tabs>
        <w:jc w:val="both"/>
        <w:rPr>
          <w:rFonts w:ascii="Arial" w:hAnsi="Arial" w:cs="Arial"/>
          <w:sz w:val="22"/>
          <w:szCs w:val="22"/>
        </w:rPr>
      </w:pPr>
    </w:p>
    <w:p w:rsidR="00851EB1" w:rsidRPr="00851EB1" w:rsidRDefault="00851EB1" w:rsidP="00851EB1">
      <w:pPr>
        <w:tabs>
          <w:tab w:val="left" w:pos="1008"/>
        </w:tabs>
        <w:jc w:val="both"/>
        <w:rPr>
          <w:rFonts w:ascii="Arial" w:hAnsi="Arial" w:cs="Arial"/>
          <w:sz w:val="22"/>
          <w:szCs w:val="22"/>
        </w:rPr>
      </w:pPr>
      <w:r w:rsidRPr="00851EB1">
        <w:rPr>
          <w:rFonts w:ascii="Arial" w:hAnsi="Arial" w:cs="Arial"/>
          <w:sz w:val="22"/>
          <w:szCs w:val="22"/>
        </w:rPr>
        <w:t>1.- Las verificaciones necesarias para el desarrollo de los trabajos de control financiero permanente se realizarán de forma sistemática mediante la aplicación de procedimientos de análisis de las operaciones o actuaciones seleccionadas al efecto, que permitan obtener una evidencia suficiente, pertinente y válida.</w:t>
      </w:r>
    </w:p>
    <w:p w:rsidR="00851EB1" w:rsidRPr="00851EB1" w:rsidRDefault="00851EB1" w:rsidP="00851EB1">
      <w:pPr>
        <w:jc w:val="both"/>
        <w:rPr>
          <w:rFonts w:ascii="Arial" w:hAnsi="Arial" w:cs="Arial"/>
          <w:sz w:val="22"/>
          <w:szCs w:val="22"/>
        </w:rPr>
      </w:pPr>
    </w:p>
    <w:p w:rsidR="00851EB1" w:rsidRPr="00851EB1" w:rsidRDefault="00851EB1" w:rsidP="00851EB1">
      <w:pPr>
        <w:jc w:val="both"/>
        <w:rPr>
          <w:rFonts w:ascii="Arial" w:hAnsi="Arial" w:cs="Arial"/>
          <w:sz w:val="22"/>
          <w:szCs w:val="22"/>
        </w:rPr>
      </w:pPr>
      <w:r w:rsidRPr="00851EB1">
        <w:rPr>
          <w:rFonts w:ascii="Arial" w:hAnsi="Arial" w:cs="Arial"/>
          <w:sz w:val="22"/>
          <w:szCs w:val="22"/>
        </w:rPr>
        <w:t>En el caso de que dichas verificaciones se efectúen aplicando procedimientos de auditoría, se someterán, a falta de norma específica, a lo establecido en las normas de auditoría del sector público.</w:t>
      </w:r>
    </w:p>
    <w:p w:rsidR="00851EB1" w:rsidRPr="00851EB1" w:rsidRDefault="00851EB1" w:rsidP="00851EB1">
      <w:pPr>
        <w:tabs>
          <w:tab w:val="left" w:pos="1003"/>
        </w:tabs>
        <w:jc w:val="both"/>
        <w:rPr>
          <w:rFonts w:ascii="Arial" w:hAnsi="Arial" w:cs="Arial"/>
          <w:sz w:val="22"/>
          <w:szCs w:val="22"/>
        </w:rPr>
      </w:pPr>
    </w:p>
    <w:p w:rsidR="00851EB1" w:rsidRPr="00851EB1" w:rsidRDefault="00851EB1" w:rsidP="00851EB1">
      <w:pPr>
        <w:tabs>
          <w:tab w:val="left" w:pos="1003"/>
        </w:tabs>
        <w:jc w:val="both"/>
        <w:rPr>
          <w:rFonts w:ascii="Arial" w:hAnsi="Arial" w:cs="Arial"/>
          <w:sz w:val="22"/>
          <w:szCs w:val="22"/>
        </w:rPr>
      </w:pPr>
      <w:r w:rsidRPr="00851EB1">
        <w:rPr>
          <w:rFonts w:ascii="Arial" w:hAnsi="Arial" w:cs="Arial"/>
          <w:sz w:val="22"/>
          <w:szCs w:val="22"/>
        </w:rPr>
        <w:t xml:space="preserve">2. -La Subdirección General de Control Financiero, en colaboración con la Unidad de Coordinación de las UCF, establecerá los programas de trabajo en los que se fijarán los objetivos, los riesgos generales del control y los procedimientos o actuaciones de control a realizar de acuerdo con las áreas a verificar definidas en el plan anual de auditorías. Los programas de trabajo se actualizarán de forma periódica en atención a los resultados obtenidos y serán usados por todas las UCF. No </w:t>
      </w:r>
      <w:proofErr w:type="gramStart"/>
      <w:r w:rsidRPr="00851EB1">
        <w:rPr>
          <w:rFonts w:ascii="Arial" w:hAnsi="Arial" w:cs="Arial"/>
          <w:sz w:val="22"/>
          <w:szCs w:val="22"/>
        </w:rPr>
        <w:t>obstante</w:t>
      </w:r>
      <w:proofErr w:type="gramEnd"/>
      <w:r w:rsidRPr="00851EB1">
        <w:rPr>
          <w:rFonts w:ascii="Arial" w:hAnsi="Arial" w:cs="Arial"/>
          <w:sz w:val="22"/>
          <w:szCs w:val="22"/>
        </w:rPr>
        <w:t xml:space="preserve"> lo anterior, en atención a las singularidades que pudiera presentar algún centro objeto de control, los programas de trabajo podrán ampliarse o reducirse sin que esto suponga una merma en los objetivos de control perseguidos.</w:t>
      </w:r>
    </w:p>
    <w:p w:rsidR="00851EB1" w:rsidRPr="00851EB1" w:rsidRDefault="00851EB1" w:rsidP="00851EB1">
      <w:pPr>
        <w:tabs>
          <w:tab w:val="left" w:pos="1003"/>
        </w:tabs>
        <w:jc w:val="both"/>
        <w:rPr>
          <w:rFonts w:ascii="Arial" w:hAnsi="Arial" w:cs="Arial"/>
          <w:sz w:val="22"/>
          <w:szCs w:val="22"/>
        </w:rPr>
      </w:pPr>
    </w:p>
    <w:p w:rsidR="00851EB1" w:rsidRPr="00851EB1" w:rsidRDefault="00851EB1" w:rsidP="00851EB1">
      <w:pPr>
        <w:tabs>
          <w:tab w:val="left" w:pos="1053"/>
        </w:tabs>
        <w:jc w:val="both"/>
        <w:rPr>
          <w:rFonts w:ascii="Arial" w:hAnsi="Arial" w:cs="Arial"/>
          <w:sz w:val="22"/>
          <w:szCs w:val="22"/>
        </w:rPr>
      </w:pPr>
      <w:r w:rsidRPr="00851EB1">
        <w:rPr>
          <w:rFonts w:ascii="Arial" w:hAnsi="Arial" w:cs="Arial"/>
          <w:sz w:val="22"/>
          <w:szCs w:val="22"/>
        </w:rPr>
        <w:t>3.- Las actuaciones a realizar podrán consistir, entre otras, en:</w:t>
      </w:r>
    </w:p>
    <w:p w:rsidR="00851EB1" w:rsidRPr="00851EB1" w:rsidRDefault="00851EB1" w:rsidP="00851EB1">
      <w:pPr>
        <w:tabs>
          <w:tab w:val="left" w:pos="1053"/>
        </w:tabs>
        <w:jc w:val="both"/>
        <w:rPr>
          <w:rFonts w:ascii="Arial" w:hAnsi="Arial" w:cs="Arial"/>
          <w:sz w:val="22"/>
          <w:szCs w:val="22"/>
        </w:rPr>
      </w:pPr>
    </w:p>
    <w:p w:rsidR="00851EB1" w:rsidRPr="00E42C98" w:rsidRDefault="00851EB1" w:rsidP="00E42C98">
      <w:pPr>
        <w:pStyle w:val="Prrafodelista"/>
        <w:numPr>
          <w:ilvl w:val="0"/>
          <w:numId w:val="1"/>
        </w:numPr>
        <w:tabs>
          <w:tab w:val="left" w:pos="1077"/>
        </w:tabs>
        <w:jc w:val="both"/>
        <w:rPr>
          <w:rFonts w:ascii="Arial" w:hAnsi="Arial" w:cs="Arial"/>
          <w:sz w:val="22"/>
          <w:szCs w:val="22"/>
        </w:rPr>
      </w:pPr>
      <w:r w:rsidRPr="00E42C98">
        <w:rPr>
          <w:rFonts w:ascii="Arial" w:hAnsi="Arial" w:cs="Arial"/>
          <w:sz w:val="22"/>
          <w:szCs w:val="22"/>
        </w:rPr>
        <w:t>El examen de registros contables, cuentas, estados financieros o estados de seguimiento elaborados por el órgano gestor.</w:t>
      </w:r>
    </w:p>
    <w:p w:rsidR="00851EB1" w:rsidRPr="00851EB1" w:rsidRDefault="00851EB1" w:rsidP="00851EB1">
      <w:pPr>
        <w:tabs>
          <w:tab w:val="left" w:pos="1077"/>
        </w:tabs>
        <w:ind w:left="760"/>
        <w:jc w:val="both"/>
        <w:rPr>
          <w:rFonts w:ascii="Arial" w:hAnsi="Arial" w:cs="Arial"/>
          <w:sz w:val="22"/>
          <w:szCs w:val="22"/>
        </w:rPr>
      </w:pPr>
    </w:p>
    <w:p w:rsidR="00851EB1" w:rsidRPr="00851EB1" w:rsidRDefault="00851EB1" w:rsidP="00851EB1">
      <w:pPr>
        <w:tabs>
          <w:tab w:val="left" w:pos="1081"/>
        </w:tabs>
        <w:ind w:left="760"/>
        <w:jc w:val="both"/>
        <w:rPr>
          <w:rFonts w:ascii="Arial" w:hAnsi="Arial" w:cs="Arial"/>
          <w:sz w:val="22"/>
          <w:szCs w:val="22"/>
        </w:rPr>
      </w:pPr>
      <w:r w:rsidRPr="00851EB1">
        <w:rPr>
          <w:rFonts w:ascii="Arial" w:hAnsi="Arial" w:cs="Arial"/>
          <w:sz w:val="22"/>
          <w:szCs w:val="22"/>
        </w:rPr>
        <w:t>b) El examen de operaciones individualizadas y concretas.</w:t>
      </w:r>
    </w:p>
    <w:p w:rsidR="00851EB1" w:rsidRPr="00851EB1" w:rsidRDefault="00851EB1" w:rsidP="00851EB1">
      <w:pPr>
        <w:tabs>
          <w:tab w:val="left" w:pos="1081"/>
        </w:tabs>
        <w:ind w:left="760"/>
        <w:jc w:val="both"/>
        <w:rPr>
          <w:rFonts w:ascii="Arial" w:hAnsi="Arial" w:cs="Arial"/>
          <w:sz w:val="22"/>
          <w:szCs w:val="22"/>
        </w:rPr>
      </w:pPr>
    </w:p>
    <w:p w:rsidR="00851EB1" w:rsidRPr="00851EB1" w:rsidRDefault="00851EB1" w:rsidP="00851EB1">
      <w:pPr>
        <w:tabs>
          <w:tab w:val="left" w:pos="1081"/>
        </w:tabs>
        <w:ind w:left="760"/>
        <w:jc w:val="both"/>
        <w:rPr>
          <w:rFonts w:ascii="Arial" w:hAnsi="Arial" w:cs="Arial"/>
          <w:sz w:val="22"/>
          <w:szCs w:val="22"/>
        </w:rPr>
      </w:pPr>
      <w:r w:rsidRPr="00851EB1">
        <w:rPr>
          <w:rFonts w:ascii="Arial" w:hAnsi="Arial" w:cs="Arial"/>
          <w:sz w:val="22"/>
          <w:szCs w:val="22"/>
        </w:rPr>
        <w:t>c) La comprobación de aspectos parciales y concretos de un conjunto de actos.</w:t>
      </w:r>
    </w:p>
    <w:p w:rsidR="00851EB1" w:rsidRPr="00851EB1" w:rsidRDefault="00851EB1" w:rsidP="00851EB1">
      <w:pPr>
        <w:tabs>
          <w:tab w:val="left" w:pos="1081"/>
        </w:tabs>
        <w:ind w:left="760"/>
        <w:jc w:val="both"/>
        <w:rPr>
          <w:rFonts w:ascii="Arial" w:hAnsi="Arial" w:cs="Arial"/>
          <w:sz w:val="22"/>
          <w:szCs w:val="22"/>
        </w:rPr>
      </w:pPr>
    </w:p>
    <w:p w:rsidR="00851EB1" w:rsidRPr="00851EB1" w:rsidRDefault="00851EB1" w:rsidP="00851EB1">
      <w:pPr>
        <w:tabs>
          <w:tab w:val="left" w:pos="1081"/>
        </w:tabs>
        <w:ind w:left="760"/>
        <w:jc w:val="both"/>
        <w:rPr>
          <w:rFonts w:ascii="Arial" w:hAnsi="Arial" w:cs="Arial"/>
          <w:sz w:val="22"/>
          <w:szCs w:val="22"/>
        </w:rPr>
      </w:pPr>
      <w:r w:rsidRPr="00851EB1">
        <w:rPr>
          <w:rFonts w:ascii="Arial" w:hAnsi="Arial" w:cs="Arial"/>
          <w:sz w:val="22"/>
          <w:szCs w:val="22"/>
        </w:rPr>
        <w:t>d) La verificación material de la efectiva y conforme realización de obras, servicios, suministros y gastos.</w:t>
      </w:r>
    </w:p>
    <w:p w:rsidR="00851EB1" w:rsidRPr="00851EB1" w:rsidRDefault="00851EB1" w:rsidP="00851EB1">
      <w:pPr>
        <w:tabs>
          <w:tab w:val="left" w:pos="1081"/>
        </w:tabs>
        <w:ind w:left="760"/>
        <w:jc w:val="both"/>
        <w:rPr>
          <w:rFonts w:ascii="Arial" w:hAnsi="Arial" w:cs="Arial"/>
          <w:sz w:val="22"/>
          <w:szCs w:val="22"/>
        </w:rPr>
      </w:pPr>
    </w:p>
    <w:p w:rsidR="00851EB1" w:rsidRPr="00851EB1" w:rsidRDefault="00851EB1" w:rsidP="00851EB1">
      <w:pPr>
        <w:tabs>
          <w:tab w:val="left" w:pos="1081"/>
        </w:tabs>
        <w:ind w:left="760"/>
        <w:jc w:val="both"/>
        <w:rPr>
          <w:rFonts w:ascii="Arial" w:hAnsi="Arial" w:cs="Arial"/>
          <w:sz w:val="22"/>
          <w:szCs w:val="22"/>
        </w:rPr>
      </w:pPr>
      <w:r w:rsidRPr="00851EB1">
        <w:rPr>
          <w:rFonts w:ascii="Arial" w:hAnsi="Arial" w:cs="Arial"/>
          <w:sz w:val="22"/>
          <w:szCs w:val="22"/>
        </w:rPr>
        <w:t>e) El análisis de los sistemas y procedimientos de gestión.</w:t>
      </w:r>
    </w:p>
    <w:p w:rsidR="00851EB1" w:rsidRPr="00851EB1" w:rsidRDefault="00851EB1" w:rsidP="00851EB1">
      <w:pPr>
        <w:tabs>
          <w:tab w:val="left" w:pos="1081"/>
        </w:tabs>
        <w:ind w:left="760"/>
        <w:jc w:val="both"/>
        <w:rPr>
          <w:rFonts w:ascii="Arial" w:hAnsi="Arial" w:cs="Arial"/>
          <w:sz w:val="22"/>
          <w:szCs w:val="22"/>
        </w:rPr>
      </w:pPr>
    </w:p>
    <w:p w:rsidR="00851EB1" w:rsidRPr="00851EB1" w:rsidRDefault="00851EB1" w:rsidP="00851EB1">
      <w:pPr>
        <w:tabs>
          <w:tab w:val="left" w:pos="1081"/>
        </w:tabs>
        <w:ind w:left="760"/>
        <w:jc w:val="both"/>
        <w:rPr>
          <w:rFonts w:ascii="Arial" w:hAnsi="Arial" w:cs="Arial"/>
          <w:sz w:val="22"/>
          <w:szCs w:val="22"/>
        </w:rPr>
      </w:pPr>
      <w:r w:rsidRPr="00851EB1">
        <w:rPr>
          <w:rFonts w:ascii="Arial" w:hAnsi="Arial" w:cs="Arial"/>
          <w:sz w:val="22"/>
          <w:szCs w:val="22"/>
        </w:rPr>
        <w:t>f) La revisión de los sistemas informáticos de gestión económico-financiera.</w:t>
      </w:r>
    </w:p>
    <w:p w:rsidR="00851EB1" w:rsidRPr="00851EB1" w:rsidRDefault="00851EB1" w:rsidP="00851EB1">
      <w:pPr>
        <w:tabs>
          <w:tab w:val="left" w:pos="1081"/>
        </w:tabs>
        <w:ind w:left="760"/>
        <w:jc w:val="both"/>
        <w:rPr>
          <w:rFonts w:ascii="Arial" w:hAnsi="Arial" w:cs="Arial"/>
          <w:sz w:val="22"/>
          <w:szCs w:val="22"/>
        </w:rPr>
      </w:pPr>
    </w:p>
    <w:p w:rsidR="00851EB1" w:rsidRPr="00851EB1" w:rsidRDefault="00851EB1" w:rsidP="00851EB1">
      <w:pPr>
        <w:tabs>
          <w:tab w:val="left" w:pos="1081"/>
        </w:tabs>
        <w:ind w:left="760"/>
        <w:jc w:val="both"/>
        <w:rPr>
          <w:rFonts w:ascii="Arial" w:hAnsi="Arial" w:cs="Arial"/>
          <w:sz w:val="22"/>
          <w:szCs w:val="22"/>
        </w:rPr>
      </w:pPr>
      <w:r w:rsidRPr="00851EB1">
        <w:rPr>
          <w:rFonts w:ascii="Arial" w:hAnsi="Arial" w:cs="Arial"/>
          <w:sz w:val="22"/>
          <w:szCs w:val="22"/>
        </w:rPr>
        <w:t>g) Otras comprobaciones en atención a las características especiales de las actividades realizadas por las entidades sometidas a control y a los objetivos que se persigan.</w:t>
      </w:r>
    </w:p>
    <w:p w:rsidR="00851EB1" w:rsidRPr="00851EB1" w:rsidRDefault="00851EB1" w:rsidP="00851EB1">
      <w:pPr>
        <w:tabs>
          <w:tab w:val="left" w:pos="1081"/>
        </w:tabs>
        <w:ind w:left="760"/>
        <w:jc w:val="both"/>
        <w:rPr>
          <w:rFonts w:ascii="Arial" w:hAnsi="Arial" w:cs="Arial"/>
          <w:sz w:val="22"/>
          <w:szCs w:val="22"/>
        </w:rPr>
      </w:pPr>
    </w:p>
    <w:p w:rsidR="00851EB1" w:rsidRPr="00851EB1" w:rsidRDefault="00851EB1" w:rsidP="00851EB1">
      <w:pPr>
        <w:tabs>
          <w:tab w:val="left" w:pos="1003"/>
        </w:tabs>
        <w:jc w:val="both"/>
        <w:rPr>
          <w:rFonts w:ascii="Arial" w:hAnsi="Arial" w:cs="Arial"/>
          <w:sz w:val="22"/>
          <w:szCs w:val="22"/>
        </w:rPr>
      </w:pPr>
      <w:r w:rsidRPr="00851EB1">
        <w:rPr>
          <w:rFonts w:ascii="Arial" w:hAnsi="Arial" w:cs="Arial"/>
          <w:sz w:val="22"/>
          <w:szCs w:val="22"/>
        </w:rPr>
        <w:t>4.- Las actuaciones se documentarán y archivarán conforme a lo establecido en las normas de auditoría y en las instrucciones sobre organización de los papeles de trabajo y de las actuaciones de control financiero dictadas por la Intervención General de la Comunidad de Madrid.</w:t>
      </w:r>
    </w:p>
    <w:p w:rsidR="00851EB1" w:rsidRPr="00851EB1" w:rsidRDefault="00851EB1" w:rsidP="00851EB1">
      <w:pPr>
        <w:tabs>
          <w:tab w:val="left" w:pos="1003"/>
        </w:tabs>
        <w:jc w:val="both"/>
        <w:rPr>
          <w:rFonts w:ascii="Arial" w:hAnsi="Arial" w:cs="Arial"/>
          <w:sz w:val="22"/>
          <w:szCs w:val="22"/>
        </w:rPr>
      </w:pPr>
    </w:p>
    <w:p w:rsidR="00851EB1" w:rsidRPr="00851EB1" w:rsidRDefault="00851EB1" w:rsidP="00851EB1">
      <w:pPr>
        <w:jc w:val="both"/>
        <w:rPr>
          <w:rFonts w:ascii="Arial" w:hAnsi="Arial" w:cs="Arial"/>
          <w:sz w:val="22"/>
          <w:szCs w:val="22"/>
        </w:rPr>
      </w:pPr>
      <w:r w:rsidRPr="00851EB1">
        <w:rPr>
          <w:rFonts w:ascii="Arial" w:hAnsi="Arial" w:cs="Arial"/>
          <w:sz w:val="22"/>
          <w:szCs w:val="22"/>
        </w:rPr>
        <w:t>Con carácter prioritario, y siempre que sea posible, esta documentación se elaborará y archivará en soporte informático.</w:t>
      </w:r>
    </w:p>
    <w:p w:rsidR="00851EB1" w:rsidRPr="00851EB1" w:rsidRDefault="00851EB1" w:rsidP="00851EB1">
      <w:pPr>
        <w:jc w:val="both"/>
        <w:rPr>
          <w:rFonts w:ascii="Arial" w:hAnsi="Arial" w:cs="Arial"/>
          <w:sz w:val="22"/>
          <w:szCs w:val="22"/>
        </w:rPr>
      </w:pPr>
    </w:p>
    <w:p w:rsidR="00851EB1" w:rsidRPr="00851EB1" w:rsidRDefault="00851EB1" w:rsidP="00851EB1">
      <w:pPr>
        <w:pStyle w:val="Cuerpodeltexto60"/>
        <w:shd w:val="clear" w:color="auto" w:fill="auto"/>
        <w:spacing w:before="0" w:after="0" w:line="240" w:lineRule="auto"/>
        <w:rPr>
          <w:rFonts w:ascii="Arial" w:hAnsi="Arial" w:cs="Arial"/>
        </w:rPr>
      </w:pPr>
      <w:proofErr w:type="gramStart"/>
      <w:r w:rsidRPr="00851EB1">
        <w:rPr>
          <w:rStyle w:val="Cuerpodeltexto6NegritaSincursiva"/>
          <w:rFonts w:ascii="Arial" w:hAnsi="Arial" w:cs="Arial"/>
          <w:i/>
          <w:iCs/>
        </w:rPr>
        <w:t>Sexta .</w:t>
      </w:r>
      <w:proofErr w:type="gramEnd"/>
      <w:r w:rsidRPr="00851EB1">
        <w:rPr>
          <w:rStyle w:val="Cuerpodeltexto6NegritaSincursiva"/>
          <w:rFonts w:ascii="Arial" w:hAnsi="Arial" w:cs="Arial"/>
          <w:i/>
          <w:iCs/>
        </w:rPr>
        <w:t xml:space="preserve">- </w:t>
      </w:r>
      <w:r w:rsidRPr="00851EB1">
        <w:rPr>
          <w:rFonts w:ascii="Arial" w:hAnsi="Arial" w:cs="Arial"/>
          <w:color w:val="000000"/>
          <w:lang w:eastAsia="es-ES" w:bidi="es-ES"/>
        </w:rPr>
        <w:t>Obtención de información, documentación y asesoramiento técnico en las actuaciones de control financiero permanente</w:t>
      </w:r>
    </w:p>
    <w:p w:rsidR="00851EB1" w:rsidRPr="00851EB1" w:rsidRDefault="00851EB1" w:rsidP="00851EB1">
      <w:pPr>
        <w:pStyle w:val="Cuerpodeltexto60"/>
        <w:shd w:val="clear" w:color="auto" w:fill="auto"/>
        <w:spacing w:before="0" w:after="0" w:line="240" w:lineRule="auto"/>
        <w:rPr>
          <w:rFonts w:ascii="Arial" w:hAnsi="Arial" w:cs="Arial"/>
        </w:rPr>
      </w:pPr>
    </w:p>
    <w:p w:rsidR="00851EB1" w:rsidRPr="00851EB1" w:rsidRDefault="00851EB1" w:rsidP="00851EB1">
      <w:pPr>
        <w:tabs>
          <w:tab w:val="left" w:pos="998"/>
        </w:tabs>
        <w:jc w:val="both"/>
        <w:rPr>
          <w:rFonts w:ascii="Arial" w:hAnsi="Arial" w:cs="Arial"/>
          <w:sz w:val="22"/>
          <w:szCs w:val="22"/>
        </w:rPr>
      </w:pPr>
      <w:r w:rsidRPr="00851EB1">
        <w:rPr>
          <w:rFonts w:ascii="Arial" w:hAnsi="Arial" w:cs="Arial"/>
          <w:sz w:val="22"/>
          <w:szCs w:val="22"/>
        </w:rPr>
        <w:t>1.- En el ejercicio de las funciones de control financiero permanente se deberán examinar cuantos antecedentes, documentación e información sean precisos a efectos de las actuaciones de control, así como consultar la información contenida en los sistemas informáticos de gestión que sea relevante.</w:t>
      </w:r>
    </w:p>
    <w:p w:rsidR="00851EB1" w:rsidRPr="00851EB1" w:rsidRDefault="00851EB1" w:rsidP="00851EB1">
      <w:pPr>
        <w:tabs>
          <w:tab w:val="left" w:pos="998"/>
        </w:tabs>
        <w:jc w:val="both"/>
        <w:rPr>
          <w:rFonts w:ascii="Arial" w:hAnsi="Arial" w:cs="Arial"/>
          <w:sz w:val="22"/>
          <w:szCs w:val="22"/>
        </w:rPr>
      </w:pPr>
    </w:p>
    <w:p w:rsidR="00851EB1" w:rsidRPr="00851EB1" w:rsidRDefault="00851EB1" w:rsidP="00851EB1">
      <w:pPr>
        <w:tabs>
          <w:tab w:val="left" w:pos="998"/>
        </w:tabs>
        <w:jc w:val="both"/>
        <w:rPr>
          <w:rFonts w:ascii="Arial" w:hAnsi="Arial" w:cs="Arial"/>
          <w:sz w:val="22"/>
          <w:szCs w:val="22"/>
        </w:rPr>
      </w:pPr>
      <w:r w:rsidRPr="00851EB1">
        <w:rPr>
          <w:rFonts w:ascii="Arial" w:hAnsi="Arial" w:cs="Arial"/>
          <w:sz w:val="22"/>
          <w:szCs w:val="22"/>
        </w:rPr>
        <w:t>2.- A estos efectos, los órganos gestores, de acuerdo con el deber de colaboración que se establece en el artículo 5 del Decreto 45/1997, por el que se regula el régimen de control interno y contable del sector público ejercido por la Intervención General de la Comunidad de Madrid, deberán facilitar la información de carácter económico, o de otra naturaleza, que sea relevante para la realización de las actuaciones de control. Los responsables de las UCF podrán solicitar la mencionada información de manera singular o estableciendo la periodicidad y el procedimiento para su remisión.</w:t>
      </w:r>
    </w:p>
    <w:p w:rsidR="00851EB1" w:rsidRPr="00851EB1" w:rsidRDefault="00851EB1" w:rsidP="00851EB1">
      <w:pPr>
        <w:jc w:val="both"/>
        <w:rPr>
          <w:rFonts w:ascii="Arial" w:hAnsi="Arial" w:cs="Arial"/>
          <w:sz w:val="22"/>
          <w:szCs w:val="22"/>
        </w:rPr>
      </w:pPr>
    </w:p>
    <w:p w:rsidR="00851EB1" w:rsidRPr="00851EB1" w:rsidRDefault="00851EB1" w:rsidP="00851EB1">
      <w:pPr>
        <w:jc w:val="both"/>
        <w:rPr>
          <w:rFonts w:ascii="Arial" w:hAnsi="Arial" w:cs="Arial"/>
          <w:sz w:val="22"/>
          <w:szCs w:val="22"/>
        </w:rPr>
      </w:pPr>
      <w:r w:rsidRPr="00851EB1">
        <w:rPr>
          <w:rFonts w:ascii="Arial" w:hAnsi="Arial" w:cs="Arial"/>
          <w:sz w:val="22"/>
          <w:szCs w:val="22"/>
        </w:rPr>
        <w:t>Se podrán solicitar los informes emitidos por los órganos de control externo, inspecciones de servicios y otros órganos de control.</w:t>
      </w:r>
    </w:p>
    <w:p w:rsidR="00851EB1" w:rsidRPr="00851EB1" w:rsidRDefault="00851EB1" w:rsidP="00851EB1">
      <w:pPr>
        <w:jc w:val="both"/>
        <w:rPr>
          <w:rFonts w:ascii="Arial" w:hAnsi="Arial" w:cs="Arial"/>
          <w:sz w:val="22"/>
          <w:szCs w:val="22"/>
        </w:rPr>
      </w:pPr>
    </w:p>
    <w:p w:rsidR="00851EB1" w:rsidRPr="00851EB1" w:rsidRDefault="00851EB1" w:rsidP="00851EB1">
      <w:pPr>
        <w:jc w:val="both"/>
        <w:rPr>
          <w:rFonts w:ascii="Arial" w:hAnsi="Arial" w:cs="Arial"/>
          <w:sz w:val="22"/>
          <w:szCs w:val="22"/>
        </w:rPr>
      </w:pPr>
      <w:r w:rsidRPr="00851EB1">
        <w:rPr>
          <w:rFonts w:ascii="Arial" w:hAnsi="Arial" w:cs="Arial"/>
          <w:sz w:val="22"/>
          <w:szCs w:val="22"/>
        </w:rPr>
        <w:t>Asimismo, se podrá solicitar el acceso a los sistemas y programas informáticos de gestión y control de que disponga el centro y se consideren necesarios para alcanzar los objetivos perseguidos. El acceso a estos sistemas se realizará previa petición del titular de la Intervención General, o persona en quien delegue, al responsable del centro controlado.</w:t>
      </w:r>
    </w:p>
    <w:p w:rsidR="00851EB1" w:rsidRPr="00851EB1" w:rsidRDefault="00851EB1" w:rsidP="00851EB1">
      <w:pPr>
        <w:ind w:firstLine="740"/>
        <w:jc w:val="both"/>
        <w:rPr>
          <w:rFonts w:ascii="Arial" w:hAnsi="Arial" w:cs="Arial"/>
          <w:sz w:val="22"/>
          <w:szCs w:val="22"/>
        </w:rPr>
      </w:pPr>
    </w:p>
    <w:p w:rsidR="00851EB1" w:rsidRPr="00851EB1" w:rsidRDefault="00851EB1" w:rsidP="00851EB1">
      <w:pPr>
        <w:pStyle w:val="Cuerpodeltexto60"/>
        <w:shd w:val="clear" w:color="auto" w:fill="auto"/>
        <w:spacing w:before="0" w:after="0" w:line="240" w:lineRule="auto"/>
        <w:rPr>
          <w:rFonts w:ascii="Arial" w:hAnsi="Arial" w:cs="Arial"/>
        </w:rPr>
      </w:pPr>
      <w:r w:rsidRPr="00851EB1">
        <w:rPr>
          <w:rStyle w:val="Cuerpodeltexto6NegritaSincursiva"/>
          <w:rFonts w:ascii="Arial" w:hAnsi="Arial" w:cs="Arial"/>
          <w:i/>
          <w:iCs/>
        </w:rPr>
        <w:t xml:space="preserve">Séptima </w:t>
      </w:r>
      <w:r w:rsidRPr="00851EB1">
        <w:rPr>
          <w:rFonts w:ascii="Arial" w:hAnsi="Arial" w:cs="Arial"/>
          <w:color w:val="000000"/>
          <w:lang w:eastAsia="es-ES" w:bidi="es-ES"/>
        </w:rPr>
        <w:t>Consultas</w:t>
      </w:r>
    </w:p>
    <w:p w:rsidR="00851EB1" w:rsidRPr="00851EB1" w:rsidRDefault="00851EB1" w:rsidP="00851EB1">
      <w:pPr>
        <w:jc w:val="both"/>
        <w:rPr>
          <w:rFonts w:ascii="Arial" w:hAnsi="Arial" w:cs="Arial"/>
          <w:sz w:val="22"/>
          <w:szCs w:val="22"/>
        </w:rPr>
      </w:pPr>
    </w:p>
    <w:p w:rsidR="00851EB1" w:rsidRPr="00851EB1" w:rsidRDefault="00851EB1" w:rsidP="00851EB1">
      <w:pPr>
        <w:jc w:val="both"/>
        <w:rPr>
          <w:rFonts w:ascii="Arial" w:hAnsi="Arial" w:cs="Arial"/>
          <w:sz w:val="22"/>
          <w:szCs w:val="22"/>
        </w:rPr>
      </w:pPr>
      <w:r w:rsidRPr="00851EB1">
        <w:rPr>
          <w:rFonts w:ascii="Arial" w:hAnsi="Arial" w:cs="Arial"/>
          <w:sz w:val="22"/>
          <w:szCs w:val="22"/>
        </w:rPr>
        <w:t>Cuando el responsable de una UCF considere necesaria la formulación de una consulta relacionada con el ejercicio del control financiero permanente, se dirigirá a la Subdirección General de Control Financiero, que resolverá acerca de la elaboración del correspondiente informe o su traslado al órgano competente.</w:t>
      </w:r>
    </w:p>
    <w:p w:rsidR="00851EB1" w:rsidRPr="00851EB1" w:rsidRDefault="00851EB1" w:rsidP="00851EB1">
      <w:pPr>
        <w:jc w:val="both"/>
        <w:rPr>
          <w:rFonts w:ascii="Arial" w:hAnsi="Arial" w:cs="Arial"/>
          <w:sz w:val="22"/>
          <w:szCs w:val="22"/>
        </w:rPr>
      </w:pPr>
    </w:p>
    <w:p w:rsidR="00851EB1" w:rsidRPr="00851EB1" w:rsidRDefault="00851EB1" w:rsidP="00851EB1">
      <w:pPr>
        <w:jc w:val="both"/>
        <w:rPr>
          <w:rFonts w:ascii="Arial" w:hAnsi="Arial" w:cs="Arial"/>
          <w:sz w:val="22"/>
          <w:szCs w:val="22"/>
        </w:rPr>
      </w:pPr>
      <w:r w:rsidRPr="00851EB1">
        <w:rPr>
          <w:rFonts w:ascii="Arial" w:hAnsi="Arial" w:cs="Arial"/>
          <w:sz w:val="22"/>
          <w:szCs w:val="22"/>
        </w:rPr>
        <w:t>La Subdirección General de Control Financiero asegurará la adecuada difusión, a todos los órganos de control que pudieran estar afectados, de las respuestas o informes derivados de las consultas planteadas en el párrafo anterior.</w:t>
      </w:r>
    </w:p>
    <w:p w:rsidR="00851EB1" w:rsidRPr="00851EB1" w:rsidRDefault="00851EB1" w:rsidP="00851EB1">
      <w:pPr>
        <w:jc w:val="both"/>
        <w:rPr>
          <w:rFonts w:ascii="Arial" w:hAnsi="Arial" w:cs="Arial"/>
          <w:sz w:val="22"/>
          <w:szCs w:val="22"/>
        </w:rPr>
      </w:pPr>
    </w:p>
    <w:p w:rsidR="00851EB1" w:rsidRPr="00851EB1" w:rsidRDefault="00851EB1" w:rsidP="00851EB1">
      <w:pPr>
        <w:pStyle w:val="Cuerpodeltexto60"/>
        <w:shd w:val="clear" w:color="auto" w:fill="auto"/>
        <w:spacing w:before="0" w:after="0" w:line="240" w:lineRule="auto"/>
        <w:rPr>
          <w:rFonts w:ascii="Arial" w:hAnsi="Arial" w:cs="Arial"/>
        </w:rPr>
      </w:pPr>
      <w:proofErr w:type="gramStart"/>
      <w:r w:rsidRPr="00851EB1">
        <w:rPr>
          <w:rStyle w:val="Cuerpodeltexto6NegritaSincursiva"/>
          <w:rFonts w:ascii="Arial" w:hAnsi="Arial" w:cs="Arial"/>
          <w:i/>
          <w:iCs/>
        </w:rPr>
        <w:t>Octava .</w:t>
      </w:r>
      <w:proofErr w:type="gramEnd"/>
      <w:r w:rsidRPr="00851EB1">
        <w:rPr>
          <w:rStyle w:val="Cuerpodeltexto6NegritaSincursiva"/>
          <w:rFonts w:ascii="Arial" w:hAnsi="Arial" w:cs="Arial"/>
          <w:i/>
          <w:iCs/>
        </w:rPr>
        <w:t xml:space="preserve">- </w:t>
      </w:r>
      <w:r w:rsidRPr="00851EB1">
        <w:rPr>
          <w:rFonts w:ascii="Arial" w:hAnsi="Arial" w:cs="Arial"/>
          <w:color w:val="000000"/>
          <w:lang w:eastAsia="es-ES" w:bidi="es-ES"/>
        </w:rPr>
        <w:t>Informes de control financiero permanente y tramitación</w:t>
      </w:r>
    </w:p>
    <w:p w:rsidR="00851EB1" w:rsidRPr="00851EB1" w:rsidRDefault="00851EB1" w:rsidP="00851EB1">
      <w:pPr>
        <w:tabs>
          <w:tab w:val="left" w:pos="994"/>
        </w:tabs>
        <w:jc w:val="both"/>
        <w:rPr>
          <w:rFonts w:ascii="Arial" w:hAnsi="Arial" w:cs="Arial"/>
          <w:sz w:val="22"/>
          <w:szCs w:val="22"/>
        </w:rPr>
      </w:pPr>
    </w:p>
    <w:p w:rsidR="00851EB1" w:rsidRPr="00851EB1" w:rsidRDefault="00851EB1" w:rsidP="00851EB1">
      <w:pPr>
        <w:tabs>
          <w:tab w:val="left" w:pos="994"/>
        </w:tabs>
        <w:jc w:val="both"/>
        <w:rPr>
          <w:rFonts w:ascii="Arial" w:hAnsi="Arial" w:cs="Arial"/>
          <w:sz w:val="22"/>
          <w:szCs w:val="22"/>
        </w:rPr>
      </w:pPr>
      <w:r w:rsidRPr="00851EB1">
        <w:rPr>
          <w:rFonts w:ascii="Arial" w:hAnsi="Arial" w:cs="Arial"/>
          <w:sz w:val="22"/>
          <w:szCs w:val="22"/>
        </w:rPr>
        <w:t>1.- El resultado de las actuaciones de control financiero permanente se documentará en informes escritos cuyo procedimiento de elaboración, contenido y destinatario se ajustará a lo establecido en el Decreto 45/1997.</w:t>
      </w:r>
    </w:p>
    <w:p w:rsidR="00851EB1" w:rsidRPr="00851EB1" w:rsidRDefault="00851EB1" w:rsidP="00851EB1">
      <w:pPr>
        <w:tabs>
          <w:tab w:val="left" w:pos="994"/>
        </w:tabs>
        <w:jc w:val="both"/>
        <w:rPr>
          <w:rFonts w:ascii="Arial" w:hAnsi="Arial" w:cs="Arial"/>
          <w:sz w:val="22"/>
          <w:szCs w:val="22"/>
        </w:rPr>
      </w:pPr>
    </w:p>
    <w:p w:rsidR="00851EB1" w:rsidRPr="00851EB1" w:rsidRDefault="00851EB1" w:rsidP="00851EB1">
      <w:pPr>
        <w:tabs>
          <w:tab w:val="left" w:pos="994"/>
        </w:tabs>
        <w:jc w:val="both"/>
        <w:rPr>
          <w:rFonts w:ascii="Arial" w:hAnsi="Arial" w:cs="Arial"/>
          <w:sz w:val="22"/>
          <w:szCs w:val="22"/>
        </w:rPr>
      </w:pPr>
      <w:r w:rsidRPr="00851EB1">
        <w:rPr>
          <w:rFonts w:ascii="Arial" w:hAnsi="Arial" w:cs="Arial"/>
          <w:sz w:val="22"/>
          <w:szCs w:val="22"/>
        </w:rPr>
        <w:t>2.- Los informes deberán exponer de forma clara, objetiva y ponderada los hechos comprobados, las conclusiones obtenidas y, en su caso, las recomendaciones sobre las actuaciones objeto de control que permitan introducir mejoras que ayuden a corregir las deficiencias detectadas.</w:t>
      </w:r>
    </w:p>
    <w:p w:rsidR="00851EB1" w:rsidRPr="00851EB1" w:rsidRDefault="00851EB1" w:rsidP="00851EB1">
      <w:pPr>
        <w:tabs>
          <w:tab w:val="left" w:pos="999"/>
        </w:tabs>
        <w:jc w:val="both"/>
        <w:rPr>
          <w:rFonts w:ascii="Arial" w:hAnsi="Arial" w:cs="Arial"/>
          <w:sz w:val="22"/>
          <w:szCs w:val="22"/>
        </w:rPr>
      </w:pPr>
      <w:bookmarkStart w:id="0" w:name="_GoBack"/>
      <w:bookmarkEnd w:id="0"/>
      <w:r w:rsidRPr="00851EB1">
        <w:rPr>
          <w:rFonts w:ascii="Arial" w:hAnsi="Arial" w:cs="Arial"/>
          <w:sz w:val="22"/>
          <w:szCs w:val="22"/>
        </w:rPr>
        <w:lastRenderedPageBreak/>
        <w:t>3.- El responsable de la UCF que haya desarrollado la actuación de control deberá emitir el informe con carácter provisional y remitirlo al titular del órgano gestor para poder efectuar las alegaciones que considere convenientes. Si el órgano gestor aceptara las deficiencias recogidas en el informe provisional, comunicará en el escrito de alegaciones las medidas que tiene previsto adoptar, así como el calendario para solucionar las debilidades o incumplimientos detectados, debiendo verificarse su implantación en las siguientes actuaciones de control. La responsabilidad de adoptar las medidas oportunas respecto a las deficiencias contenidas en el informe corresponde a la entidad objeto de control. Los informes provisionales deberán contener en cada una de sus páginas una marca que indique su condición de provisional.</w:t>
      </w:r>
    </w:p>
    <w:p w:rsidR="00851EB1" w:rsidRPr="00851EB1" w:rsidRDefault="00851EB1" w:rsidP="00851EB1">
      <w:pPr>
        <w:tabs>
          <w:tab w:val="left" w:pos="999"/>
        </w:tabs>
        <w:jc w:val="both"/>
        <w:rPr>
          <w:rFonts w:ascii="Arial" w:hAnsi="Arial" w:cs="Arial"/>
          <w:sz w:val="22"/>
          <w:szCs w:val="22"/>
        </w:rPr>
      </w:pPr>
    </w:p>
    <w:p w:rsidR="00851EB1" w:rsidRPr="00851EB1" w:rsidRDefault="00851EB1" w:rsidP="00851EB1">
      <w:pPr>
        <w:tabs>
          <w:tab w:val="left" w:pos="999"/>
        </w:tabs>
        <w:jc w:val="both"/>
        <w:rPr>
          <w:rFonts w:ascii="Arial" w:hAnsi="Arial" w:cs="Arial"/>
          <w:sz w:val="22"/>
          <w:szCs w:val="22"/>
        </w:rPr>
      </w:pPr>
      <w:r w:rsidRPr="00851EB1">
        <w:rPr>
          <w:rFonts w:ascii="Arial" w:hAnsi="Arial" w:cs="Arial"/>
          <w:sz w:val="22"/>
          <w:szCs w:val="22"/>
        </w:rPr>
        <w:t>4.- Sobre la base del informe provisional y, en su caso, de las alegaciones recibidas del órgano gestor, se emitirá el informe definitivo. Cuando del contenido e importancia de las alegaciones se derive la necesidad de modificar el informe provisional, deberán suprimirse o sustituirse los aspectos afectados, previa obtención de la evidencia que soporte el cambio de posición en el informe definitivo.</w:t>
      </w:r>
    </w:p>
    <w:p w:rsidR="00851EB1" w:rsidRPr="00851EB1" w:rsidRDefault="00851EB1" w:rsidP="00851EB1">
      <w:pPr>
        <w:jc w:val="both"/>
        <w:rPr>
          <w:rFonts w:ascii="Arial" w:hAnsi="Arial" w:cs="Arial"/>
          <w:sz w:val="22"/>
          <w:szCs w:val="22"/>
        </w:rPr>
      </w:pPr>
    </w:p>
    <w:p w:rsidR="00851EB1" w:rsidRPr="00851EB1" w:rsidRDefault="00851EB1" w:rsidP="00851EB1">
      <w:pPr>
        <w:jc w:val="both"/>
        <w:rPr>
          <w:rFonts w:ascii="Arial" w:hAnsi="Arial" w:cs="Arial"/>
          <w:sz w:val="22"/>
          <w:szCs w:val="22"/>
        </w:rPr>
      </w:pPr>
      <w:r w:rsidRPr="00851EB1">
        <w:rPr>
          <w:rFonts w:ascii="Arial" w:hAnsi="Arial" w:cs="Arial"/>
          <w:sz w:val="22"/>
          <w:szCs w:val="22"/>
        </w:rPr>
        <w:t>Cuando, a juicio del responsable de la UCF, la información y documentación aportada en las alegaciones no deba originar modificaciones sobre lo expuesto en el informe provisional, se hará constar en el informe definitivo la opinión discrepante de los órganos gestores, en su caso, transcribiendo el contenido de la alegación correspondiente, y las razones por las que el órgano de control no acepta o discrepa de las alegaciones, siempre que en estas se contengan argumentos que rebatan las conclusiones del informe.</w:t>
      </w:r>
    </w:p>
    <w:p w:rsidR="00851EB1" w:rsidRPr="00851EB1" w:rsidRDefault="00851EB1" w:rsidP="00851EB1">
      <w:pPr>
        <w:jc w:val="both"/>
        <w:rPr>
          <w:rFonts w:ascii="Arial" w:hAnsi="Arial" w:cs="Arial"/>
          <w:sz w:val="22"/>
          <w:szCs w:val="22"/>
        </w:rPr>
      </w:pPr>
    </w:p>
    <w:p w:rsidR="00851EB1" w:rsidRPr="00851EB1" w:rsidRDefault="00851EB1" w:rsidP="00851EB1">
      <w:pPr>
        <w:tabs>
          <w:tab w:val="left" w:pos="990"/>
        </w:tabs>
        <w:jc w:val="both"/>
        <w:rPr>
          <w:rFonts w:ascii="Arial" w:hAnsi="Arial" w:cs="Arial"/>
          <w:sz w:val="22"/>
          <w:szCs w:val="22"/>
        </w:rPr>
      </w:pPr>
      <w:r w:rsidRPr="00851EB1">
        <w:rPr>
          <w:rFonts w:ascii="Arial" w:hAnsi="Arial" w:cs="Arial"/>
          <w:sz w:val="22"/>
          <w:szCs w:val="22"/>
        </w:rPr>
        <w:t>5.- Si no se hubieran recibido alegaciones en el plazo señalado para ello, se emitirá el informe definitivo en el que se indicará esta circunstancia.</w:t>
      </w:r>
    </w:p>
    <w:p w:rsidR="00851EB1" w:rsidRPr="00851EB1" w:rsidRDefault="00851EB1" w:rsidP="00851EB1">
      <w:pPr>
        <w:tabs>
          <w:tab w:val="left" w:pos="990"/>
        </w:tabs>
        <w:jc w:val="both"/>
        <w:rPr>
          <w:rFonts w:ascii="Arial" w:hAnsi="Arial" w:cs="Arial"/>
          <w:sz w:val="22"/>
          <w:szCs w:val="22"/>
        </w:rPr>
      </w:pPr>
    </w:p>
    <w:p w:rsidR="00851EB1" w:rsidRPr="00851EB1" w:rsidRDefault="00851EB1" w:rsidP="00851EB1">
      <w:pPr>
        <w:tabs>
          <w:tab w:val="left" w:pos="990"/>
        </w:tabs>
        <w:jc w:val="both"/>
        <w:rPr>
          <w:rFonts w:ascii="Arial" w:hAnsi="Arial" w:cs="Arial"/>
          <w:sz w:val="22"/>
          <w:szCs w:val="22"/>
        </w:rPr>
      </w:pPr>
      <w:r w:rsidRPr="00851EB1">
        <w:rPr>
          <w:rFonts w:ascii="Arial" w:hAnsi="Arial" w:cs="Arial"/>
          <w:sz w:val="22"/>
          <w:szCs w:val="22"/>
        </w:rPr>
        <w:t>6.- Si las alegaciones se recibieran fuera de plazo, pero antes de la emisión del informe definitivo, el responsable de la UCF valorará su relevancia y actuará conforme a lo establecido en los apartados anteriores.</w:t>
      </w:r>
    </w:p>
    <w:p w:rsidR="00851EB1" w:rsidRPr="00851EB1" w:rsidRDefault="00851EB1" w:rsidP="00851EB1">
      <w:pPr>
        <w:jc w:val="both"/>
        <w:rPr>
          <w:rFonts w:ascii="Arial" w:hAnsi="Arial" w:cs="Arial"/>
          <w:sz w:val="22"/>
          <w:szCs w:val="22"/>
        </w:rPr>
      </w:pPr>
    </w:p>
    <w:p w:rsidR="00851EB1" w:rsidRPr="00851EB1" w:rsidRDefault="00851EB1" w:rsidP="00851EB1">
      <w:pPr>
        <w:jc w:val="both"/>
        <w:rPr>
          <w:rFonts w:ascii="Arial" w:hAnsi="Arial" w:cs="Arial"/>
          <w:sz w:val="22"/>
          <w:szCs w:val="22"/>
        </w:rPr>
      </w:pPr>
      <w:r w:rsidRPr="00851EB1">
        <w:rPr>
          <w:rFonts w:ascii="Arial" w:hAnsi="Arial" w:cs="Arial"/>
          <w:sz w:val="22"/>
          <w:szCs w:val="22"/>
        </w:rPr>
        <w:t>En el caso de que se recibieran alegaciones después de la emisión del informe definitivo, se procederá a su archivo. Excepcionalmente, se podrá emitir un nuevo informe definitivo, haciendo constar esta circunstancia en el apartado de introducción, cuando de haberse recibido antes de la emisión del informe definitivo hubieran dado lugar a modificaciones sustanciales en su contenido.</w:t>
      </w:r>
    </w:p>
    <w:p w:rsidR="00851EB1" w:rsidRPr="00851EB1" w:rsidRDefault="00851EB1" w:rsidP="00851EB1">
      <w:pPr>
        <w:tabs>
          <w:tab w:val="left" w:pos="994"/>
        </w:tabs>
        <w:jc w:val="both"/>
        <w:rPr>
          <w:rFonts w:ascii="Arial" w:hAnsi="Arial" w:cs="Arial"/>
          <w:sz w:val="22"/>
          <w:szCs w:val="22"/>
        </w:rPr>
      </w:pPr>
    </w:p>
    <w:p w:rsidR="00851EB1" w:rsidRPr="00851EB1" w:rsidRDefault="00851EB1" w:rsidP="00851EB1">
      <w:pPr>
        <w:tabs>
          <w:tab w:val="left" w:pos="994"/>
        </w:tabs>
        <w:jc w:val="both"/>
        <w:rPr>
          <w:rFonts w:ascii="Arial" w:hAnsi="Arial" w:cs="Arial"/>
          <w:sz w:val="22"/>
          <w:szCs w:val="22"/>
        </w:rPr>
      </w:pPr>
      <w:r w:rsidRPr="00851EB1">
        <w:rPr>
          <w:rFonts w:ascii="Arial" w:hAnsi="Arial" w:cs="Arial"/>
          <w:sz w:val="22"/>
          <w:szCs w:val="22"/>
        </w:rPr>
        <w:t>7.- Las debilidades, deficiencias, errores e incumplimientos puestos de manifiesto en los informes provisionales de control financiero permanente que se refieran a aspectos de especial relevancia en la actividad de la entidad sometida a control o tengan graves efectos negativos contrastados que deban ser corregidos mediante actuaciones específicas, y los órganos gestores no hayan comunicado la adopción de medidas correctoras en su escrito de alegaciones, deberán reflejarse en el informe definitivo en un apartado de recomendaciones concreto del mismo. La inobservancia de estas recomendaciones durante un plazo de seis meses desde la emisión del informe definitivo provocará su inclusión en el informe global anual previsto en la instrucción novena.</w:t>
      </w:r>
    </w:p>
    <w:p w:rsidR="00851EB1" w:rsidRPr="00851EB1" w:rsidRDefault="00851EB1" w:rsidP="00851EB1">
      <w:pPr>
        <w:tabs>
          <w:tab w:val="left" w:pos="999"/>
        </w:tabs>
        <w:jc w:val="both"/>
        <w:rPr>
          <w:rFonts w:ascii="Arial" w:hAnsi="Arial" w:cs="Arial"/>
          <w:sz w:val="22"/>
          <w:szCs w:val="22"/>
        </w:rPr>
      </w:pPr>
    </w:p>
    <w:p w:rsidR="00851EB1" w:rsidRPr="00851EB1" w:rsidRDefault="00851EB1" w:rsidP="00851EB1">
      <w:pPr>
        <w:tabs>
          <w:tab w:val="left" w:pos="999"/>
        </w:tabs>
        <w:jc w:val="both"/>
        <w:rPr>
          <w:rFonts w:ascii="Arial" w:hAnsi="Arial" w:cs="Arial"/>
          <w:sz w:val="22"/>
          <w:szCs w:val="22"/>
        </w:rPr>
      </w:pPr>
      <w:r w:rsidRPr="00851EB1">
        <w:rPr>
          <w:rFonts w:ascii="Arial" w:hAnsi="Arial" w:cs="Arial"/>
          <w:sz w:val="22"/>
          <w:szCs w:val="22"/>
        </w:rPr>
        <w:t>8.- El Informe definitivo, firmado por el responsable de la UCF actuante, se remitirá al titular del centro objeto del control y al órgano que tenga atribuida la dirección del SERMAS. Igualmente, las UCF remitirán sendos ejemplares del informe a la Subdirección General de Control Financiero y a la Unidad de Coordinación de Control Financiero. El informe deberá estar rubricado en todas sus páginas, excepto si se hubiera firmado electrónicamente.</w:t>
      </w:r>
    </w:p>
    <w:p w:rsidR="00851EB1" w:rsidRPr="00851EB1" w:rsidRDefault="00851EB1" w:rsidP="00851EB1">
      <w:pPr>
        <w:tabs>
          <w:tab w:val="left" w:pos="999"/>
        </w:tabs>
        <w:jc w:val="both"/>
        <w:rPr>
          <w:rFonts w:ascii="Arial" w:hAnsi="Arial" w:cs="Arial"/>
          <w:sz w:val="22"/>
          <w:szCs w:val="22"/>
        </w:rPr>
      </w:pPr>
    </w:p>
    <w:p w:rsidR="00851EB1" w:rsidRPr="00851EB1" w:rsidRDefault="00851EB1" w:rsidP="00851EB1">
      <w:pPr>
        <w:pStyle w:val="Cuerpodeltexto60"/>
        <w:shd w:val="clear" w:color="auto" w:fill="auto"/>
        <w:spacing w:before="0" w:after="0" w:line="240" w:lineRule="auto"/>
        <w:rPr>
          <w:rFonts w:ascii="Arial" w:hAnsi="Arial" w:cs="Arial"/>
        </w:rPr>
      </w:pPr>
      <w:r w:rsidRPr="00851EB1">
        <w:rPr>
          <w:rStyle w:val="Cuerpodeltexto6NegritaSincursiva"/>
          <w:rFonts w:ascii="Arial" w:hAnsi="Arial" w:cs="Arial"/>
          <w:i/>
          <w:iCs/>
        </w:rPr>
        <w:t xml:space="preserve">Novena </w:t>
      </w:r>
      <w:r w:rsidRPr="00851EB1">
        <w:rPr>
          <w:rFonts w:ascii="Arial" w:hAnsi="Arial" w:cs="Arial"/>
          <w:color w:val="000000"/>
          <w:lang w:eastAsia="es-ES" w:bidi="es-ES"/>
        </w:rPr>
        <w:t>Informes globales anuales</w:t>
      </w:r>
    </w:p>
    <w:p w:rsidR="00851EB1" w:rsidRPr="00851EB1" w:rsidRDefault="00851EB1" w:rsidP="00851EB1">
      <w:pPr>
        <w:pStyle w:val="Cuerpodeltexto60"/>
        <w:shd w:val="clear" w:color="auto" w:fill="auto"/>
        <w:spacing w:before="0" w:after="0" w:line="240" w:lineRule="auto"/>
        <w:rPr>
          <w:rFonts w:ascii="Arial" w:hAnsi="Arial" w:cs="Arial"/>
        </w:rPr>
      </w:pPr>
    </w:p>
    <w:p w:rsidR="00851EB1" w:rsidRPr="00851EB1" w:rsidRDefault="00851EB1" w:rsidP="00851EB1">
      <w:pPr>
        <w:jc w:val="both"/>
        <w:rPr>
          <w:rFonts w:ascii="Arial" w:hAnsi="Arial" w:cs="Arial"/>
          <w:sz w:val="22"/>
          <w:szCs w:val="22"/>
        </w:rPr>
      </w:pPr>
      <w:r w:rsidRPr="00851EB1">
        <w:rPr>
          <w:rFonts w:ascii="Arial" w:hAnsi="Arial" w:cs="Arial"/>
          <w:sz w:val="22"/>
          <w:szCs w:val="22"/>
        </w:rPr>
        <w:t>1.- En el curso del primer trimestre del año siguiente al que se refiera el plan de auditorías, los responsables de las UCF, con el fin de facilitar una valoración global de la gestión, deberán elaborar un informe comprensivo de los resultados más relevantes de las actuaciones de control financiero permanente realizadas en ejecución del correspondiente plan anual.</w:t>
      </w:r>
    </w:p>
    <w:p w:rsidR="00851EB1" w:rsidRPr="00851EB1" w:rsidRDefault="00851EB1" w:rsidP="00851EB1">
      <w:pPr>
        <w:ind w:firstLine="740"/>
        <w:jc w:val="both"/>
        <w:rPr>
          <w:rFonts w:ascii="Arial" w:hAnsi="Arial" w:cs="Arial"/>
          <w:sz w:val="22"/>
          <w:szCs w:val="22"/>
        </w:rPr>
      </w:pPr>
    </w:p>
    <w:p w:rsidR="00851EB1" w:rsidRPr="00851EB1" w:rsidRDefault="00851EB1" w:rsidP="00851EB1">
      <w:pPr>
        <w:tabs>
          <w:tab w:val="left" w:pos="999"/>
        </w:tabs>
        <w:jc w:val="both"/>
        <w:rPr>
          <w:rFonts w:ascii="Arial" w:hAnsi="Arial" w:cs="Arial"/>
          <w:sz w:val="22"/>
          <w:szCs w:val="22"/>
        </w:rPr>
      </w:pPr>
      <w:r w:rsidRPr="00851EB1">
        <w:rPr>
          <w:rFonts w:ascii="Arial" w:hAnsi="Arial" w:cs="Arial"/>
          <w:sz w:val="22"/>
          <w:szCs w:val="22"/>
        </w:rPr>
        <w:t>2.- El contenido del informe incluirá los aspectos que resulten significativos por su relevancia cuantitativa o cualitativa, por su reiteración, por su novedad o por cualquier otra circunstancia que el responsable considere oportuno, y deberá estar basado en los informes que a lo largo del ejercicio se hayan remitido a los gestores directos de la actividad controlada.</w:t>
      </w:r>
    </w:p>
    <w:p w:rsidR="00851EB1" w:rsidRPr="00851EB1" w:rsidRDefault="00851EB1" w:rsidP="00851EB1">
      <w:pPr>
        <w:tabs>
          <w:tab w:val="left" w:pos="999"/>
        </w:tabs>
        <w:jc w:val="both"/>
        <w:rPr>
          <w:rFonts w:ascii="Arial" w:hAnsi="Arial" w:cs="Arial"/>
          <w:sz w:val="22"/>
          <w:szCs w:val="22"/>
        </w:rPr>
      </w:pPr>
    </w:p>
    <w:p w:rsidR="00851EB1" w:rsidRPr="00851EB1" w:rsidRDefault="00851EB1" w:rsidP="00851EB1">
      <w:pPr>
        <w:tabs>
          <w:tab w:val="left" w:pos="999"/>
        </w:tabs>
        <w:jc w:val="both"/>
        <w:rPr>
          <w:rFonts w:ascii="Arial" w:hAnsi="Arial" w:cs="Arial"/>
          <w:sz w:val="22"/>
          <w:szCs w:val="22"/>
        </w:rPr>
      </w:pPr>
      <w:r w:rsidRPr="00851EB1">
        <w:rPr>
          <w:rFonts w:ascii="Arial" w:hAnsi="Arial" w:cs="Arial"/>
          <w:sz w:val="22"/>
          <w:szCs w:val="22"/>
        </w:rPr>
        <w:t>3.- Cuando en el informe global anual se pongan de manifiesto situaciones que requieran la elaboración, por parte de la Subdirección General de Control Financiero, de un Informe de Actuación, se actuará conforme a lo dispuesto en la disposición decimoquinta de la Circular 2/1997, de 27 de junio, de la Intervención General de la Comunidad de Madrid.</w:t>
      </w:r>
    </w:p>
    <w:p w:rsidR="00851EB1" w:rsidRPr="00851EB1" w:rsidRDefault="00851EB1" w:rsidP="00851EB1">
      <w:pPr>
        <w:tabs>
          <w:tab w:val="left" w:pos="994"/>
        </w:tabs>
        <w:jc w:val="both"/>
        <w:rPr>
          <w:rFonts w:ascii="Arial" w:hAnsi="Arial" w:cs="Arial"/>
          <w:sz w:val="22"/>
          <w:szCs w:val="22"/>
        </w:rPr>
      </w:pPr>
    </w:p>
    <w:p w:rsidR="00851EB1" w:rsidRPr="00851EB1" w:rsidRDefault="00851EB1" w:rsidP="00851EB1">
      <w:pPr>
        <w:tabs>
          <w:tab w:val="left" w:pos="994"/>
        </w:tabs>
        <w:jc w:val="both"/>
        <w:rPr>
          <w:rFonts w:ascii="Arial" w:hAnsi="Arial" w:cs="Arial"/>
          <w:sz w:val="22"/>
          <w:szCs w:val="22"/>
        </w:rPr>
      </w:pPr>
      <w:r w:rsidRPr="00851EB1">
        <w:rPr>
          <w:rFonts w:ascii="Arial" w:hAnsi="Arial" w:cs="Arial"/>
          <w:sz w:val="22"/>
          <w:szCs w:val="22"/>
        </w:rPr>
        <w:t>4.- Los informes globales elaborados por las UCF se pondrán a disposición de la Subdirección General de Control Financiero y de la Unidad de Coordinación de Control Financiero del SERMAS antes del 31 de marzo de cada año.</w:t>
      </w:r>
    </w:p>
    <w:p w:rsidR="00851EB1" w:rsidRPr="00851EB1" w:rsidRDefault="00851EB1" w:rsidP="00851EB1">
      <w:pPr>
        <w:jc w:val="both"/>
        <w:rPr>
          <w:rFonts w:ascii="Arial" w:hAnsi="Arial" w:cs="Arial"/>
          <w:sz w:val="22"/>
          <w:szCs w:val="22"/>
        </w:rPr>
      </w:pPr>
    </w:p>
    <w:p w:rsidR="00851EB1" w:rsidRPr="00851EB1" w:rsidRDefault="00851EB1" w:rsidP="00851EB1">
      <w:pPr>
        <w:jc w:val="both"/>
        <w:rPr>
          <w:rFonts w:ascii="Arial" w:hAnsi="Arial" w:cs="Arial"/>
          <w:sz w:val="22"/>
          <w:szCs w:val="22"/>
        </w:rPr>
      </w:pPr>
      <w:r w:rsidRPr="00851EB1">
        <w:rPr>
          <w:rFonts w:ascii="Arial" w:hAnsi="Arial" w:cs="Arial"/>
          <w:sz w:val="22"/>
          <w:szCs w:val="22"/>
        </w:rPr>
        <w:t>La persona titular de la Intervención General de la Comunidad de Madrid remitirá todos los informes globales, antes del 30 de abril de cada año, a las personas titulares de la Consejería de Sanidad y de la Consejería de Economía, Empleo y Hacienda.</w:t>
      </w:r>
    </w:p>
    <w:p w:rsidR="00851EB1" w:rsidRPr="00851EB1" w:rsidRDefault="00851EB1" w:rsidP="00851EB1">
      <w:pPr>
        <w:jc w:val="both"/>
        <w:rPr>
          <w:rFonts w:ascii="Arial" w:hAnsi="Arial" w:cs="Arial"/>
          <w:sz w:val="22"/>
          <w:szCs w:val="22"/>
        </w:rPr>
      </w:pPr>
    </w:p>
    <w:p w:rsidR="00851EB1" w:rsidRPr="00851EB1" w:rsidRDefault="00851EB1" w:rsidP="00851EB1">
      <w:pPr>
        <w:pStyle w:val="Cuerpodeltexto60"/>
        <w:shd w:val="clear" w:color="auto" w:fill="auto"/>
        <w:spacing w:before="0" w:after="0" w:line="240" w:lineRule="auto"/>
        <w:rPr>
          <w:rFonts w:ascii="Arial" w:hAnsi="Arial" w:cs="Arial"/>
        </w:rPr>
      </w:pPr>
      <w:proofErr w:type="gramStart"/>
      <w:r w:rsidRPr="00851EB1">
        <w:rPr>
          <w:rStyle w:val="Cuerpodeltexto6NegritaSincursiva"/>
          <w:rFonts w:ascii="Arial" w:hAnsi="Arial" w:cs="Arial"/>
          <w:i/>
          <w:iCs/>
        </w:rPr>
        <w:t>Décima .</w:t>
      </w:r>
      <w:proofErr w:type="gramEnd"/>
      <w:r w:rsidRPr="00851EB1">
        <w:rPr>
          <w:rStyle w:val="Cuerpodeltexto6NegritaSincursiva"/>
          <w:rFonts w:ascii="Arial" w:hAnsi="Arial" w:cs="Arial"/>
          <w:i/>
          <w:iCs/>
        </w:rPr>
        <w:t xml:space="preserve">- </w:t>
      </w:r>
      <w:r w:rsidRPr="00851EB1">
        <w:rPr>
          <w:rFonts w:ascii="Arial" w:hAnsi="Arial" w:cs="Arial"/>
          <w:color w:val="000000"/>
          <w:lang w:eastAsia="es-ES" w:bidi="es-ES"/>
        </w:rPr>
        <w:t>Aplicación supletoria de la Circular 2/1997, de 27 de junio</w:t>
      </w:r>
    </w:p>
    <w:p w:rsidR="00851EB1" w:rsidRPr="00851EB1" w:rsidRDefault="00851EB1" w:rsidP="00851EB1">
      <w:pPr>
        <w:jc w:val="both"/>
        <w:rPr>
          <w:rFonts w:ascii="Arial" w:hAnsi="Arial" w:cs="Arial"/>
          <w:i/>
          <w:iCs/>
          <w:sz w:val="22"/>
          <w:szCs w:val="22"/>
        </w:rPr>
      </w:pPr>
    </w:p>
    <w:p w:rsidR="00851EB1" w:rsidRPr="00851EB1" w:rsidRDefault="00851EB1" w:rsidP="00851EB1">
      <w:pPr>
        <w:jc w:val="both"/>
        <w:rPr>
          <w:rFonts w:ascii="Arial" w:hAnsi="Arial" w:cs="Arial"/>
          <w:sz w:val="22"/>
          <w:szCs w:val="22"/>
        </w:rPr>
      </w:pPr>
      <w:r w:rsidRPr="00851EB1">
        <w:rPr>
          <w:rFonts w:ascii="Arial" w:hAnsi="Arial" w:cs="Arial"/>
          <w:sz w:val="22"/>
          <w:szCs w:val="22"/>
        </w:rPr>
        <w:t>No serán de aplicación al control financiero permanente de los sujetos a los que se refiere la presente Resolución las previsiones que, para las entidades de derecho público creadas al amparo del artículo 6 de la Ley 9/1990, se establecen en la Circular 2/1997, contenidas tanto en sus disposiciones generales como especialmente en la Instrucción decimoctava, aplicándose, no obstante, la citada Circular de forma supletoria para todos aquellos aspectos que no hayan sido contemplados específicamente en la presente Resolución.</w:t>
      </w:r>
    </w:p>
    <w:p w:rsidR="00851EB1" w:rsidRPr="00851EB1" w:rsidRDefault="00851EB1" w:rsidP="00851EB1">
      <w:pPr>
        <w:jc w:val="both"/>
        <w:rPr>
          <w:rFonts w:ascii="Arial" w:hAnsi="Arial" w:cs="Arial"/>
          <w:sz w:val="22"/>
          <w:szCs w:val="22"/>
        </w:rPr>
      </w:pPr>
    </w:p>
    <w:p w:rsidR="00851EB1" w:rsidRPr="00851EB1" w:rsidRDefault="00851EB1" w:rsidP="00851EB1">
      <w:pPr>
        <w:pStyle w:val="Cuerpodeltexto30"/>
        <w:shd w:val="clear" w:color="auto" w:fill="auto"/>
        <w:spacing w:after="0" w:line="240" w:lineRule="auto"/>
        <w:rPr>
          <w:rFonts w:ascii="Arial" w:hAnsi="Arial" w:cs="Arial"/>
        </w:rPr>
      </w:pPr>
      <w:r w:rsidRPr="00851EB1">
        <w:rPr>
          <w:rFonts w:ascii="Arial" w:hAnsi="Arial" w:cs="Arial"/>
          <w:color w:val="000000"/>
          <w:lang w:eastAsia="es-ES" w:bidi="es-ES"/>
        </w:rPr>
        <w:t xml:space="preserve">Undécima </w:t>
      </w:r>
      <w:r w:rsidRPr="00851EB1">
        <w:rPr>
          <w:rStyle w:val="Cuerpodeltexto3SinnegritaCursiva"/>
          <w:rFonts w:ascii="Arial" w:hAnsi="Arial" w:cs="Arial"/>
          <w:b/>
          <w:bCs/>
        </w:rPr>
        <w:t>Efectos</w:t>
      </w:r>
    </w:p>
    <w:p w:rsidR="00851EB1" w:rsidRPr="00851EB1" w:rsidRDefault="00851EB1" w:rsidP="00851EB1">
      <w:pPr>
        <w:jc w:val="both"/>
        <w:rPr>
          <w:rFonts w:ascii="Arial" w:hAnsi="Arial" w:cs="Arial"/>
          <w:sz w:val="22"/>
          <w:szCs w:val="22"/>
        </w:rPr>
      </w:pPr>
    </w:p>
    <w:p w:rsidR="00851EB1" w:rsidRPr="00851EB1" w:rsidRDefault="00851EB1" w:rsidP="00851EB1">
      <w:pPr>
        <w:jc w:val="both"/>
        <w:rPr>
          <w:rFonts w:ascii="Arial" w:hAnsi="Arial" w:cs="Arial"/>
          <w:sz w:val="22"/>
          <w:szCs w:val="22"/>
        </w:rPr>
      </w:pPr>
      <w:r w:rsidRPr="00851EB1">
        <w:rPr>
          <w:rFonts w:ascii="Arial" w:hAnsi="Arial" w:cs="Arial"/>
          <w:sz w:val="22"/>
          <w:szCs w:val="22"/>
        </w:rPr>
        <w:t>La presente Resolución surtirá efectos desde el día siguiente al de su publicación en el Boletín Oficial de la Comunidad de Madrid.</w:t>
      </w:r>
    </w:p>
    <w:p w:rsidR="00DF533A" w:rsidRPr="00851EB1" w:rsidRDefault="00DF533A" w:rsidP="00851EB1">
      <w:pPr>
        <w:jc w:val="both"/>
        <w:rPr>
          <w:rFonts w:ascii="Arial" w:hAnsi="Arial" w:cs="Arial"/>
          <w:sz w:val="22"/>
          <w:szCs w:val="22"/>
        </w:rPr>
      </w:pPr>
    </w:p>
    <w:p w:rsidR="00851EB1" w:rsidRPr="00851EB1" w:rsidRDefault="00851EB1">
      <w:pPr>
        <w:jc w:val="both"/>
        <w:rPr>
          <w:rFonts w:ascii="Arial" w:hAnsi="Arial" w:cs="Arial"/>
          <w:sz w:val="22"/>
          <w:szCs w:val="22"/>
        </w:rPr>
      </w:pPr>
    </w:p>
    <w:sectPr w:rsidR="00851EB1" w:rsidRPr="00851EB1">
      <w:footerReference w:type="defaul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202" w:rsidRDefault="009B7202" w:rsidP="00851EB1">
      <w:r>
        <w:separator/>
      </w:r>
    </w:p>
  </w:endnote>
  <w:endnote w:type="continuationSeparator" w:id="0">
    <w:p w:rsidR="009B7202" w:rsidRDefault="009B7202" w:rsidP="00851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E23" w:rsidRDefault="00851EB1">
    <w:pPr>
      <w:rPr>
        <w:sz w:val="2"/>
        <w:szCs w:val="2"/>
      </w:rPr>
    </w:pPr>
    <w:r>
      <w:rPr>
        <w:noProof/>
        <w:lang w:bidi="ar-SA"/>
      </w:rPr>
      <mc:AlternateContent>
        <mc:Choice Requires="wps">
          <w:drawing>
            <wp:anchor distT="0" distB="0" distL="63500" distR="63500" simplePos="0" relativeHeight="251659264" behindDoc="1" locked="0" layoutInCell="1" allowOverlap="1">
              <wp:simplePos x="0" y="0"/>
              <wp:positionH relativeFrom="page">
                <wp:posOffset>3764280</wp:posOffset>
              </wp:positionH>
              <wp:positionV relativeFrom="page">
                <wp:posOffset>10119995</wp:posOffset>
              </wp:positionV>
              <wp:extent cx="57785" cy="131445"/>
              <wp:effectExtent l="1905" t="4445"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E23" w:rsidRDefault="009A1340">
                          <w:pPr>
                            <w:pStyle w:val="Encabezamientoopiedepgina0"/>
                            <w:shd w:val="clear" w:color="auto" w:fill="auto"/>
                            <w:spacing w:line="240" w:lineRule="auto"/>
                          </w:pPr>
                          <w:r>
                            <w:fldChar w:fldCharType="begin"/>
                          </w:r>
                          <w:r>
                            <w:instrText xml:space="preserve"> PAGE \* MERGEFORMAT </w:instrText>
                          </w:r>
                          <w:r>
                            <w:fldChar w:fldCharType="separate"/>
                          </w:r>
                          <w:r w:rsidR="00E42C98" w:rsidRPr="00E42C98">
                            <w:rPr>
                              <w:rStyle w:val="Encabezamientoopiedepgina9ptoNegritaSincursiva"/>
                              <w:noProof/>
                            </w:rPr>
                            <w:t>7</w:t>
                          </w:r>
                          <w:r>
                            <w:rPr>
                              <w:rStyle w:val="Encabezamientoopiedepgina9ptoNegritaSincursiv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296.4pt;margin-top:796.85pt;width:4.55pt;height:10.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" filled="f" stroked="f">
              <v:textbox style="mso-fit-shape-to-text:t" inset="0,0,0,0">
                <w:txbxContent>
                  <w:p w:rsidR="00FA1E23" w:rsidRDefault="009A1340">
                    <w:pPr>
                      <w:pStyle w:val="Encabezamientoopiedepgina0"/>
                      <w:shd w:val="clear" w:color="auto" w:fill="auto"/>
                      <w:spacing w:line="240" w:lineRule="auto"/>
                    </w:pPr>
                    <w:r>
                      <w:fldChar w:fldCharType="begin"/>
                    </w:r>
                    <w:r>
                      <w:instrText xml:space="preserve"> PAGE \* MERGEFORMAT </w:instrText>
                    </w:r>
                    <w:r>
                      <w:fldChar w:fldCharType="separate"/>
                    </w:r>
                    <w:r w:rsidR="00E42C98" w:rsidRPr="00E42C98">
                      <w:rPr>
                        <w:rStyle w:val="Encabezamientoopiedepgina9ptoNegritaSincursiva"/>
                        <w:noProof/>
                      </w:rPr>
                      <w:t>7</w:t>
                    </w:r>
                    <w:r>
                      <w:rPr>
                        <w:rStyle w:val="Encabezamientoopiedepgina9ptoNegritaSincursiva"/>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E23" w:rsidRDefault="00851EB1">
    <w:pPr>
      <w:rPr>
        <w:sz w:val="2"/>
        <w:szCs w:val="2"/>
      </w:rPr>
    </w:pPr>
    <w:r>
      <w:rPr>
        <w:noProof/>
        <w:lang w:bidi="ar-SA"/>
      </w:rPr>
      <mc:AlternateContent>
        <mc:Choice Requires="wps">
          <w:drawing>
            <wp:anchor distT="0" distB="0" distL="63500" distR="63500" simplePos="0" relativeHeight="251661312" behindDoc="1" locked="0" layoutInCell="1" allowOverlap="1">
              <wp:simplePos x="0" y="0"/>
              <wp:positionH relativeFrom="page">
                <wp:posOffset>3754120</wp:posOffset>
              </wp:positionH>
              <wp:positionV relativeFrom="page">
                <wp:posOffset>10119995</wp:posOffset>
              </wp:positionV>
              <wp:extent cx="57785" cy="131445"/>
              <wp:effectExtent l="1270" t="4445" r="635"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E23" w:rsidRDefault="009A1340">
                          <w:pPr>
                            <w:pStyle w:val="Encabezamientoopiedepgina0"/>
                            <w:shd w:val="clear" w:color="auto" w:fill="auto"/>
                            <w:spacing w:line="240" w:lineRule="auto"/>
                          </w:pPr>
                          <w:r>
                            <w:fldChar w:fldCharType="begin"/>
                          </w:r>
                          <w:r>
                            <w:instrText xml:space="preserve"> PAGE \* MERGEFORMAT </w:instrText>
                          </w:r>
                          <w:r>
                            <w:fldChar w:fldCharType="separate"/>
                          </w:r>
                          <w:r w:rsidR="00851EB1" w:rsidRPr="00851EB1">
                            <w:rPr>
                              <w:rStyle w:val="Encabezamientoopiedepgina9ptoNegritaSincursiva"/>
                              <w:noProof/>
                            </w:rPr>
                            <w:t>1</w:t>
                          </w:r>
                          <w:r>
                            <w:rPr>
                              <w:rStyle w:val="Encabezamientoopiedepgina9ptoNegritaSincursiv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7" type="#_x0000_t202" style="position:absolute;margin-left:295.6pt;margin-top:796.85pt;width:4.55pt;height:10.3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" filled="f" stroked="f">
              <v:textbox style="mso-fit-shape-to-text:t" inset="0,0,0,0">
                <w:txbxContent>
                  <w:p w:rsidR="00FA1E23" w:rsidRDefault="009A1340">
                    <w:pPr>
                      <w:pStyle w:val="Encabezamientoopiedepgina0"/>
                      <w:shd w:val="clear" w:color="auto" w:fill="auto"/>
                      <w:spacing w:line="240" w:lineRule="auto"/>
                    </w:pPr>
                    <w:r>
                      <w:fldChar w:fldCharType="begin"/>
                    </w:r>
                    <w:r>
                      <w:instrText xml:space="preserve"> PAGE \* MERGEFORMAT </w:instrText>
                    </w:r>
                    <w:r>
                      <w:fldChar w:fldCharType="separate"/>
                    </w:r>
                    <w:r w:rsidR="00851EB1" w:rsidRPr="00851EB1">
                      <w:rPr>
                        <w:rStyle w:val="Encabezamientoopiedepgina9ptoNegritaSincursiva"/>
                        <w:noProof/>
                      </w:rPr>
                      <w:t>1</w:t>
                    </w:r>
                    <w:r>
                      <w:rPr>
                        <w:rStyle w:val="Encabezamientoopiedepgina9ptoNegritaSincursiv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202" w:rsidRDefault="009B7202" w:rsidP="00851EB1">
      <w:r>
        <w:separator/>
      </w:r>
    </w:p>
  </w:footnote>
  <w:footnote w:type="continuationSeparator" w:id="0">
    <w:p w:rsidR="009B7202" w:rsidRDefault="009B7202" w:rsidP="00851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D6C30"/>
    <w:multiLevelType w:val="hybridMultilevel"/>
    <w:tmpl w:val="E9B2F18E"/>
    <w:lvl w:ilvl="0" w:tplc="E6FE19D2">
      <w:start w:val="1"/>
      <w:numFmt w:val="lowerLetter"/>
      <w:lvlText w:val="%1)"/>
      <w:lvlJc w:val="left"/>
      <w:pPr>
        <w:ind w:left="1120" w:hanging="360"/>
      </w:pPr>
      <w:rPr>
        <w:rFonts w:hint="default"/>
      </w:rPr>
    </w:lvl>
    <w:lvl w:ilvl="1" w:tplc="0C0A0019" w:tentative="1">
      <w:start w:val="1"/>
      <w:numFmt w:val="lowerLetter"/>
      <w:lvlText w:val="%2."/>
      <w:lvlJc w:val="left"/>
      <w:pPr>
        <w:ind w:left="1840" w:hanging="360"/>
      </w:pPr>
    </w:lvl>
    <w:lvl w:ilvl="2" w:tplc="0C0A001B" w:tentative="1">
      <w:start w:val="1"/>
      <w:numFmt w:val="lowerRoman"/>
      <w:lvlText w:val="%3."/>
      <w:lvlJc w:val="right"/>
      <w:pPr>
        <w:ind w:left="2560" w:hanging="180"/>
      </w:pPr>
    </w:lvl>
    <w:lvl w:ilvl="3" w:tplc="0C0A000F" w:tentative="1">
      <w:start w:val="1"/>
      <w:numFmt w:val="decimal"/>
      <w:lvlText w:val="%4."/>
      <w:lvlJc w:val="left"/>
      <w:pPr>
        <w:ind w:left="3280" w:hanging="360"/>
      </w:pPr>
    </w:lvl>
    <w:lvl w:ilvl="4" w:tplc="0C0A0019" w:tentative="1">
      <w:start w:val="1"/>
      <w:numFmt w:val="lowerLetter"/>
      <w:lvlText w:val="%5."/>
      <w:lvlJc w:val="left"/>
      <w:pPr>
        <w:ind w:left="4000" w:hanging="360"/>
      </w:pPr>
    </w:lvl>
    <w:lvl w:ilvl="5" w:tplc="0C0A001B" w:tentative="1">
      <w:start w:val="1"/>
      <w:numFmt w:val="lowerRoman"/>
      <w:lvlText w:val="%6."/>
      <w:lvlJc w:val="right"/>
      <w:pPr>
        <w:ind w:left="4720" w:hanging="180"/>
      </w:pPr>
    </w:lvl>
    <w:lvl w:ilvl="6" w:tplc="0C0A000F" w:tentative="1">
      <w:start w:val="1"/>
      <w:numFmt w:val="decimal"/>
      <w:lvlText w:val="%7."/>
      <w:lvlJc w:val="left"/>
      <w:pPr>
        <w:ind w:left="5440" w:hanging="360"/>
      </w:pPr>
    </w:lvl>
    <w:lvl w:ilvl="7" w:tplc="0C0A0019" w:tentative="1">
      <w:start w:val="1"/>
      <w:numFmt w:val="lowerLetter"/>
      <w:lvlText w:val="%8."/>
      <w:lvlJc w:val="left"/>
      <w:pPr>
        <w:ind w:left="6160" w:hanging="360"/>
      </w:pPr>
    </w:lvl>
    <w:lvl w:ilvl="8" w:tplc="0C0A001B" w:tentative="1">
      <w:start w:val="1"/>
      <w:numFmt w:val="lowerRoman"/>
      <w:lvlText w:val="%9."/>
      <w:lvlJc w:val="right"/>
      <w:pPr>
        <w:ind w:left="68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EB1"/>
    <w:rsid w:val="00851EB1"/>
    <w:rsid w:val="009A1340"/>
    <w:rsid w:val="009B7202"/>
    <w:rsid w:val="00DF533A"/>
    <w:rsid w:val="00E42C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19F1E"/>
  <w15:chartTrackingRefBased/>
  <w15:docId w15:val="{4DED2CCA-0C4F-4F6B-B95B-3BD4540AC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51EB1"/>
    <w:pPr>
      <w:widowControl w:val="0"/>
      <w:spacing w:after="0" w:line="240" w:lineRule="auto"/>
    </w:pPr>
    <w:rPr>
      <w:rFonts w:ascii="Courier New" w:eastAsia="Courier New" w:hAnsi="Courier New" w:cs="Courier New"/>
      <w:color w:val="000000"/>
      <w:sz w:val="24"/>
      <w:szCs w:val="24"/>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3">
    <w:name w:val="Cuerpo del texto (3)_"/>
    <w:basedOn w:val="Fuentedeprrafopredeter"/>
    <w:link w:val="Cuerpodeltexto30"/>
    <w:rsid w:val="00851EB1"/>
    <w:rPr>
      <w:rFonts w:ascii="Times New Roman" w:eastAsia="Times New Roman" w:hAnsi="Times New Roman" w:cs="Times New Roman"/>
      <w:b/>
      <w:bCs/>
      <w:shd w:val="clear" w:color="auto" w:fill="FFFFFF"/>
    </w:rPr>
  </w:style>
  <w:style w:type="character" w:customStyle="1" w:styleId="Encabezamientoopiedepgina">
    <w:name w:val="Encabezamiento o pie de página_"/>
    <w:basedOn w:val="Fuentedeprrafopredeter"/>
    <w:link w:val="Encabezamientoopiedepgina0"/>
    <w:rsid w:val="00851EB1"/>
    <w:rPr>
      <w:rFonts w:ascii="Times New Roman" w:eastAsia="Times New Roman" w:hAnsi="Times New Roman" w:cs="Times New Roman"/>
      <w:i/>
      <w:iCs/>
      <w:sz w:val="16"/>
      <w:szCs w:val="16"/>
      <w:shd w:val="clear" w:color="auto" w:fill="FFFFFF"/>
    </w:rPr>
  </w:style>
  <w:style w:type="character" w:customStyle="1" w:styleId="Encabezamientoopiedepgina9ptoNegritaSincursiva">
    <w:name w:val="Encabezamiento o pie de página + 9 pto;Negrita;Sin cursiva"/>
    <w:basedOn w:val="Encabezamientoopiedepgina"/>
    <w:rsid w:val="00851EB1"/>
    <w:rPr>
      <w:rFonts w:ascii="Times New Roman" w:eastAsia="Times New Roman" w:hAnsi="Times New Roman" w:cs="Times New Roman"/>
      <w:b/>
      <w:bCs/>
      <w:i/>
      <w:iCs/>
      <w:color w:val="000000"/>
      <w:spacing w:val="0"/>
      <w:w w:val="100"/>
      <w:position w:val="0"/>
      <w:sz w:val="18"/>
      <w:szCs w:val="18"/>
      <w:shd w:val="clear" w:color="auto" w:fill="FFFFFF"/>
      <w:lang w:val="es-ES" w:eastAsia="es-ES" w:bidi="es-ES"/>
    </w:rPr>
  </w:style>
  <w:style w:type="character" w:customStyle="1" w:styleId="Cuerpodeltexto4">
    <w:name w:val="Cuerpo del texto (4)_"/>
    <w:basedOn w:val="Fuentedeprrafopredeter"/>
    <w:link w:val="Cuerpodeltexto40"/>
    <w:rsid w:val="00851EB1"/>
    <w:rPr>
      <w:rFonts w:ascii="Times New Roman" w:eastAsia="Times New Roman" w:hAnsi="Times New Roman" w:cs="Times New Roman"/>
      <w:b/>
      <w:bCs/>
      <w:i/>
      <w:iCs/>
      <w:shd w:val="clear" w:color="auto" w:fill="FFFFFF"/>
    </w:rPr>
  </w:style>
  <w:style w:type="character" w:customStyle="1" w:styleId="Cuerpodeltexto4SinnegritaSincursiva">
    <w:name w:val="Cuerpo del texto (4) + Sin negrita;Sin cursiva"/>
    <w:basedOn w:val="Cuerpodeltexto4"/>
    <w:rsid w:val="00851EB1"/>
    <w:rPr>
      <w:rFonts w:ascii="Times New Roman" w:eastAsia="Times New Roman" w:hAnsi="Times New Roman" w:cs="Times New Roman"/>
      <w:b/>
      <w:bCs/>
      <w:i/>
      <w:iCs/>
      <w:color w:val="000000"/>
      <w:spacing w:val="0"/>
      <w:w w:val="100"/>
      <w:position w:val="0"/>
      <w:shd w:val="clear" w:color="auto" w:fill="FFFFFF"/>
      <w:lang w:val="es-ES" w:eastAsia="es-ES" w:bidi="es-ES"/>
    </w:rPr>
  </w:style>
  <w:style w:type="character" w:customStyle="1" w:styleId="Cuerpodeltexto2">
    <w:name w:val="Cuerpo del texto (2)_"/>
    <w:basedOn w:val="Fuentedeprrafopredeter"/>
    <w:rsid w:val="00851EB1"/>
    <w:rPr>
      <w:rFonts w:ascii="Times New Roman" w:eastAsia="Times New Roman" w:hAnsi="Times New Roman" w:cs="Times New Roman"/>
      <w:b w:val="0"/>
      <w:bCs w:val="0"/>
      <w:i w:val="0"/>
      <w:iCs w:val="0"/>
      <w:smallCaps w:val="0"/>
      <w:strike w:val="0"/>
      <w:sz w:val="22"/>
      <w:szCs w:val="22"/>
      <w:u w:val="none"/>
    </w:rPr>
  </w:style>
  <w:style w:type="character" w:customStyle="1" w:styleId="Cuerpodeltexto20">
    <w:name w:val="Cuerpo del texto (2)"/>
    <w:basedOn w:val="Cuerpodeltexto2"/>
    <w:rsid w:val="00851EB1"/>
    <w:rPr>
      <w:rFonts w:ascii="Times New Roman" w:eastAsia="Times New Roman" w:hAnsi="Times New Roman" w:cs="Times New Roman"/>
      <w:b w:val="0"/>
      <w:bCs w:val="0"/>
      <w:i w:val="0"/>
      <w:iCs w:val="0"/>
      <w:smallCaps w:val="0"/>
      <w:strike w:val="0"/>
      <w:color w:val="0000FF"/>
      <w:spacing w:val="0"/>
      <w:w w:val="100"/>
      <w:position w:val="0"/>
      <w:sz w:val="22"/>
      <w:szCs w:val="22"/>
      <w:u w:val="single"/>
      <w:lang w:val="es-ES" w:eastAsia="es-ES" w:bidi="es-ES"/>
    </w:rPr>
  </w:style>
  <w:style w:type="character" w:customStyle="1" w:styleId="Cuerpodeltexto6">
    <w:name w:val="Cuerpo del texto (6)_"/>
    <w:basedOn w:val="Fuentedeprrafopredeter"/>
    <w:link w:val="Cuerpodeltexto60"/>
    <w:rsid w:val="00851EB1"/>
    <w:rPr>
      <w:rFonts w:ascii="Times New Roman" w:eastAsia="Times New Roman" w:hAnsi="Times New Roman" w:cs="Times New Roman"/>
      <w:i/>
      <w:iCs/>
      <w:shd w:val="clear" w:color="auto" w:fill="FFFFFF"/>
    </w:rPr>
  </w:style>
  <w:style w:type="character" w:customStyle="1" w:styleId="Cuerpodeltexto6NegritaSincursiva">
    <w:name w:val="Cuerpo del texto (6) + Negrita;Sin cursiva"/>
    <w:basedOn w:val="Cuerpodeltexto6"/>
    <w:rsid w:val="00851EB1"/>
    <w:rPr>
      <w:rFonts w:ascii="Times New Roman" w:eastAsia="Times New Roman" w:hAnsi="Times New Roman" w:cs="Times New Roman"/>
      <w:b/>
      <w:bCs/>
      <w:i/>
      <w:iCs/>
      <w:color w:val="000000"/>
      <w:spacing w:val="0"/>
      <w:w w:val="100"/>
      <w:position w:val="0"/>
      <w:shd w:val="clear" w:color="auto" w:fill="FFFFFF"/>
      <w:lang w:val="es-ES" w:eastAsia="es-ES" w:bidi="es-ES"/>
    </w:rPr>
  </w:style>
  <w:style w:type="character" w:customStyle="1" w:styleId="Cuerpodeltexto3SinnegritaCursiva">
    <w:name w:val="Cuerpo del texto (3) + Sin negrita;Cursiva"/>
    <w:basedOn w:val="Cuerpodeltexto3"/>
    <w:rsid w:val="00851EB1"/>
    <w:rPr>
      <w:rFonts w:ascii="Times New Roman" w:eastAsia="Times New Roman" w:hAnsi="Times New Roman" w:cs="Times New Roman"/>
      <w:b/>
      <w:bCs/>
      <w:i/>
      <w:iCs/>
      <w:color w:val="000000"/>
      <w:spacing w:val="0"/>
      <w:w w:val="100"/>
      <w:position w:val="0"/>
      <w:shd w:val="clear" w:color="auto" w:fill="FFFFFF"/>
      <w:lang w:val="es-ES" w:eastAsia="es-ES" w:bidi="es-ES"/>
    </w:rPr>
  </w:style>
  <w:style w:type="paragraph" w:customStyle="1" w:styleId="Cuerpodeltexto30">
    <w:name w:val="Cuerpo del texto (3)"/>
    <w:basedOn w:val="Normal"/>
    <w:link w:val="Cuerpodeltexto3"/>
    <w:rsid w:val="00851EB1"/>
    <w:pPr>
      <w:shd w:val="clear" w:color="auto" w:fill="FFFFFF"/>
      <w:spacing w:after="480" w:line="250" w:lineRule="exact"/>
      <w:jc w:val="both"/>
    </w:pPr>
    <w:rPr>
      <w:rFonts w:ascii="Times New Roman" w:eastAsia="Times New Roman" w:hAnsi="Times New Roman" w:cs="Times New Roman"/>
      <w:b/>
      <w:bCs/>
      <w:color w:val="auto"/>
      <w:sz w:val="22"/>
      <w:szCs w:val="22"/>
      <w:lang w:eastAsia="en-US" w:bidi="ar-SA"/>
    </w:rPr>
  </w:style>
  <w:style w:type="paragraph" w:customStyle="1" w:styleId="Encabezamientoopiedepgina0">
    <w:name w:val="Encabezamiento o pie de página"/>
    <w:basedOn w:val="Normal"/>
    <w:link w:val="Encabezamientoopiedepgina"/>
    <w:rsid w:val="00851EB1"/>
    <w:pPr>
      <w:shd w:val="clear" w:color="auto" w:fill="FFFFFF"/>
      <w:spacing w:line="182" w:lineRule="exact"/>
    </w:pPr>
    <w:rPr>
      <w:rFonts w:ascii="Times New Roman" w:eastAsia="Times New Roman" w:hAnsi="Times New Roman" w:cs="Times New Roman"/>
      <w:i/>
      <w:iCs/>
      <w:color w:val="auto"/>
      <w:sz w:val="16"/>
      <w:szCs w:val="16"/>
      <w:lang w:eastAsia="en-US" w:bidi="ar-SA"/>
    </w:rPr>
  </w:style>
  <w:style w:type="paragraph" w:customStyle="1" w:styleId="Cuerpodeltexto40">
    <w:name w:val="Cuerpo del texto (4)"/>
    <w:basedOn w:val="Normal"/>
    <w:link w:val="Cuerpodeltexto4"/>
    <w:rsid w:val="00851EB1"/>
    <w:pPr>
      <w:shd w:val="clear" w:color="auto" w:fill="FFFFFF"/>
      <w:spacing w:before="480" w:after="1020" w:line="250" w:lineRule="exact"/>
      <w:jc w:val="both"/>
    </w:pPr>
    <w:rPr>
      <w:rFonts w:ascii="Times New Roman" w:eastAsia="Times New Roman" w:hAnsi="Times New Roman" w:cs="Times New Roman"/>
      <w:b/>
      <w:bCs/>
      <w:i/>
      <w:iCs/>
      <w:color w:val="auto"/>
      <w:sz w:val="22"/>
      <w:szCs w:val="22"/>
      <w:lang w:eastAsia="en-US" w:bidi="ar-SA"/>
    </w:rPr>
  </w:style>
  <w:style w:type="paragraph" w:customStyle="1" w:styleId="Cuerpodeltexto60">
    <w:name w:val="Cuerpo del texto (6)"/>
    <w:basedOn w:val="Normal"/>
    <w:link w:val="Cuerpodeltexto6"/>
    <w:rsid w:val="00851EB1"/>
    <w:pPr>
      <w:shd w:val="clear" w:color="auto" w:fill="FFFFFF"/>
      <w:spacing w:before="680" w:after="120" w:line="244" w:lineRule="exact"/>
      <w:jc w:val="both"/>
    </w:pPr>
    <w:rPr>
      <w:rFonts w:ascii="Times New Roman" w:eastAsia="Times New Roman" w:hAnsi="Times New Roman" w:cs="Times New Roman"/>
      <w:i/>
      <w:iCs/>
      <w:color w:val="auto"/>
      <w:sz w:val="22"/>
      <w:szCs w:val="22"/>
      <w:lang w:eastAsia="en-US" w:bidi="ar-SA"/>
    </w:rPr>
  </w:style>
  <w:style w:type="paragraph" w:styleId="Encabezado">
    <w:name w:val="header"/>
    <w:basedOn w:val="Normal"/>
    <w:link w:val="EncabezadoCar"/>
    <w:uiPriority w:val="99"/>
    <w:unhideWhenUsed/>
    <w:rsid w:val="00851EB1"/>
    <w:pPr>
      <w:tabs>
        <w:tab w:val="center" w:pos="4252"/>
        <w:tab w:val="right" w:pos="8504"/>
      </w:tabs>
    </w:pPr>
  </w:style>
  <w:style w:type="character" w:customStyle="1" w:styleId="EncabezadoCar">
    <w:name w:val="Encabezado Car"/>
    <w:basedOn w:val="Fuentedeprrafopredeter"/>
    <w:link w:val="Encabezado"/>
    <w:uiPriority w:val="99"/>
    <w:rsid w:val="00851EB1"/>
    <w:rPr>
      <w:rFonts w:ascii="Courier New" w:eastAsia="Courier New" w:hAnsi="Courier New" w:cs="Courier New"/>
      <w:color w:val="000000"/>
      <w:sz w:val="24"/>
      <w:szCs w:val="24"/>
      <w:lang w:eastAsia="es-ES" w:bidi="es-ES"/>
    </w:rPr>
  </w:style>
  <w:style w:type="paragraph" w:styleId="Piedepgina">
    <w:name w:val="footer"/>
    <w:basedOn w:val="Normal"/>
    <w:link w:val="PiedepginaCar"/>
    <w:uiPriority w:val="99"/>
    <w:unhideWhenUsed/>
    <w:rsid w:val="00851EB1"/>
    <w:pPr>
      <w:tabs>
        <w:tab w:val="center" w:pos="4252"/>
        <w:tab w:val="right" w:pos="8504"/>
      </w:tabs>
    </w:pPr>
  </w:style>
  <w:style w:type="character" w:customStyle="1" w:styleId="PiedepginaCar">
    <w:name w:val="Pie de página Car"/>
    <w:basedOn w:val="Fuentedeprrafopredeter"/>
    <w:link w:val="Piedepgina"/>
    <w:uiPriority w:val="99"/>
    <w:rsid w:val="00851EB1"/>
    <w:rPr>
      <w:rFonts w:ascii="Courier New" w:eastAsia="Courier New" w:hAnsi="Courier New" w:cs="Courier New"/>
      <w:color w:val="000000"/>
      <w:sz w:val="24"/>
      <w:szCs w:val="24"/>
      <w:lang w:eastAsia="es-ES" w:bidi="es-ES"/>
    </w:rPr>
  </w:style>
  <w:style w:type="paragraph" w:styleId="NormalWeb">
    <w:name w:val="Normal (Web)"/>
    <w:basedOn w:val="Normal"/>
    <w:uiPriority w:val="99"/>
    <w:semiHidden/>
    <w:unhideWhenUsed/>
    <w:rsid w:val="00851EB1"/>
    <w:pPr>
      <w:widowControl/>
      <w:spacing w:before="100" w:beforeAutospacing="1" w:after="100" w:afterAutospacing="1"/>
    </w:pPr>
    <w:rPr>
      <w:rFonts w:ascii="Times New Roman" w:eastAsia="Times New Roman" w:hAnsi="Times New Roman" w:cs="Times New Roman"/>
      <w:color w:val="auto"/>
      <w:lang w:bidi="ar-SA"/>
    </w:rPr>
  </w:style>
  <w:style w:type="paragraph" w:styleId="Prrafodelista">
    <w:name w:val="List Paragraph"/>
    <w:basedOn w:val="Normal"/>
    <w:uiPriority w:val="34"/>
    <w:qFormat/>
    <w:rsid w:val="00E42C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05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772096-FF02-4B86-B53A-573808FB178A}">
  <ds:schemaRefs>
    <ds:schemaRef ds:uri="http://schemas.microsoft.com/sharepoint/v3/contenttype/forms"/>
  </ds:schemaRefs>
</ds:datastoreItem>
</file>

<file path=customXml/itemProps2.xml><?xml version="1.0" encoding="utf-8"?>
<ds:datastoreItem xmlns:ds="http://schemas.openxmlformats.org/officeDocument/2006/customXml" ds:itemID="{70404E2B-A4EF-4590-95FF-7D9BFEB0F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2BB6-DC08-49CA-A1DF-66ADF831DDC1"/>
    <ds:schemaRef ds:uri="46c31bdf-0a45-4935-a8a6-0d358e08cfce"/>
    <ds:schemaRef ds:uri="baa92bb6-dc08-49ca-a1df-66adf831d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01808D-5951-4D3A-B741-B035DE0095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3289</Words>
  <Characters>18094</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21341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CRESPO ASENJO,PILAR</dc:creator>
  <cp:keywords/>
  <dc:description/>
  <cp:lastModifiedBy>Madrid Digital</cp:lastModifiedBy>
  <cp:revision>2</cp:revision>
  <dcterms:created xsi:type="dcterms:W3CDTF">2020-10-19T15:21:00Z</dcterms:created>
  <dcterms:modified xsi:type="dcterms:W3CDTF">2020-10-20T07:26:00Z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