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B7" w:rsidRDefault="004A3B16">
      <w:pPr>
        <w:pStyle w:val="Cuerpodeltexto30"/>
        <w:shd w:val="clear" w:color="auto" w:fill="auto"/>
        <w:spacing w:after="248"/>
      </w:pPr>
      <w:r>
        <w:t>INFORME DE LA INTERVENCIÓN GENERAL DE LA COMUNIDAD DE MADRID DE 18 DE MARZO DE 2009. CONTRATOS. DETERMINACIÓN DEL INICIO DEL PLAZO PARA EL PAGO DEL PRECIO DE LOS CONTRATOS Y DEL MOMENTO A PARTIR DEL CUAL SE GENERAN INTERESES DE DEMORA.</w:t>
      </w:r>
    </w:p>
    <w:p w:rsidR="00EB37C0" w:rsidRDefault="00EB37C0" w:rsidP="00EB37C0">
      <w:pPr>
        <w:pStyle w:val="NormalWeb"/>
        <w:spacing w:before="0" w:beforeAutospacing="0" w:after="0" w:afterAutospacing="0"/>
        <w:rPr>
          <w:rFonts w:ascii="Arial" w:hAnsi="Arial" w:cs="Arial"/>
          <w:sz w:val="22"/>
          <w:szCs w:val="22"/>
        </w:rPr>
      </w:pPr>
      <w:r>
        <w:rPr>
          <w:rFonts w:ascii="Arial" w:hAnsi="Arial" w:cs="Arial"/>
          <w:b/>
          <w:bCs/>
          <w:sz w:val="22"/>
          <w:szCs w:val="22"/>
        </w:rPr>
        <w:t xml:space="preserve">Modalidad de informe: </w:t>
      </w:r>
      <w:r>
        <w:rPr>
          <w:rFonts w:ascii="Arial" w:hAnsi="Arial" w:cs="Arial"/>
          <w:b/>
          <w:bCs/>
          <w:sz w:val="22"/>
          <w:szCs w:val="22"/>
        </w:rPr>
        <w:t>Informe general</w:t>
      </w:r>
      <w:bookmarkStart w:id="0" w:name="_GoBack"/>
      <w:bookmarkEnd w:id="0"/>
      <w:r>
        <w:rPr>
          <w:rFonts w:ascii="Arial" w:hAnsi="Arial" w:cs="Arial"/>
          <w:b/>
          <w:bCs/>
          <w:sz w:val="22"/>
          <w:szCs w:val="22"/>
        </w:rPr>
        <w:t>.</w:t>
      </w:r>
    </w:p>
    <w:p w:rsidR="00EB37C0" w:rsidRDefault="00EB37C0" w:rsidP="00EB37C0">
      <w:pPr>
        <w:pStyle w:val="NormalWeb"/>
        <w:spacing w:before="0" w:beforeAutospacing="0" w:after="0" w:afterAutospacing="0"/>
        <w:rPr>
          <w:rFonts w:ascii="Arial" w:hAnsi="Arial" w:cs="Arial"/>
          <w:sz w:val="22"/>
          <w:szCs w:val="22"/>
        </w:rPr>
      </w:pPr>
      <w:r>
        <w:rPr>
          <w:rFonts w:ascii="Arial" w:hAnsi="Arial" w:cs="Arial"/>
          <w:b/>
          <w:bCs/>
          <w:sz w:val="22"/>
          <w:szCs w:val="22"/>
        </w:rPr>
        <w:t>Área temática: Contratación.</w:t>
      </w:r>
    </w:p>
    <w:p w:rsidR="00EB37C0" w:rsidRDefault="00EB37C0" w:rsidP="00EB37C0">
      <w:pPr>
        <w:pStyle w:val="NormalWeb"/>
        <w:spacing w:before="0" w:beforeAutospacing="0" w:after="0" w:afterAutospacing="0"/>
        <w:rPr>
          <w:rFonts w:ascii="Arial" w:hAnsi="Arial" w:cs="Arial"/>
          <w:sz w:val="22"/>
          <w:szCs w:val="22"/>
        </w:rPr>
      </w:pPr>
      <w:r>
        <w:rPr>
          <w:rFonts w:ascii="Arial" w:hAnsi="Arial" w:cs="Arial"/>
          <w:b/>
          <w:bCs/>
          <w:sz w:val="22"/>
          <w:szCs w:val="22"/>
        </w:rPr>
        <w:t>Informe vigente.</w:t>
      </w:r>
    </w:p>
    <w:p w:rsidR="00EB37C0" w:rsidRDefault="00EB37C0">
      <w:pPr>
        <w:pStyle w:val="Cuerpodeltexto30"/>
        <w:shd w:val="clear" w:color="auto" w:fill="auto"/>
        <w:spacing w:after="248"/>
      </w:pPr>
    </w:p>
    <w:p w:rsidR="00E771B7" w:rsidRDefault="004A3B16">
      <w:pPr>
        <w:pStyle w:val="Cuerpodeltexto20"/>
        <w:shd w:val="clear" w:color="auto" w:fill="auto"/>
        <w:spacing w:before="0" w:after="253"/>
        <w:ind w:firstLine="0"/>
      </w:pPr>
      <w:r>
        <w:t xml:space="preserve">Esta Intervención </w:t>
      </w:r>
      <w:r>
        <w:t>General considera necesario expresar su criterio en relación con el plazo para el pago del precio de los contratos y la fijación del momento a partir del cual se generan intereses de demora.</w:t>
      </w:r>
    </w:p>
    <w:p w:rsidR="00E771B7" w:rsidRDefault="004A3B16">
      <w:pPr>
        <w:pStyle w:val="Ttulo120"/>
        <w:keepNext/>
        <w:keepLines/>
        <w:shd w:val="clear" w:color="auto" w:fill="auto"/>
        <w:spacing w:before="0" w:after="227"/>
      </w:pPr>
      <w:bookmarkStart w:id="1" w:name="bookmark0"/>
      <w:r>
        <w:t>I</w:t>
      </w:r>
      <w:bookmarkEnd w:id="1"/>
    </w:p>
    <w:p w:rsidR="00E771B7" w:rsidRDefault="004A3B16">
      <w:pPr>
        <w:pStyle w:val="Cuerpodeltexto20"/>
        <w:shd w:val="clear" w:color="auto" w:fill="auto"/>
        <w:spacing w:before="0"/>
        <w:ind w:firstLine="0"/>
      </w:pPr>
      <w:r>
        <w:t>La justificación de éste informe se encuentra en que se ha prod</w:t>
      </w:r>
      <w:r>
        <w:t>ucido un significativo cambio respecto al régimen establecido en el Real Decreto Legislativo 2/2000, de 16 de junio, por el que se aprueba el Texto Refundido de la Ley de Contratos de las Administraciones Públicas (en adelante TRLCAP). De conformidad con l</w:t>
      </w:r>
      <w:r>
        <w:t xml:space="preserve">a regulación que sobre el pago del precio contenía dicho Texto Refundido el </w:t>
      </w:r>
      <w:r>
        <w:rPr>
          <w:rStyle w:val="Cuerpodeltexto210ptoCursiva"/>
        </w:rPr>
        <w:t>dies a quo</w:t>
      </w:r>
      <w:r>
        <w:t xml:space="preserve"> o momento inicial del devengo de intereses de demora, era el día siguiente al de la expiración del plazo para el pago contado a partir de la fecha de las certificaciones</w:t>
      </w:r>
      <w:r>
        <w:t xml:space="preserve"> de obras o facturas (y en este sentido se pronunció el informe de esta Intervención General de 1 de agosto de 2002). Desde la aprobación del TRLCAP se han producido relevantes novedades legislativas sobre la cuestión que se analiza, novedades que han modi</w:t>
      </w:r>
      <w:r>
        <w:t>ficado el régimen del devengo de intereses, que justifican y hacen necesaria la emisión del presente informe en aras de proporcionar seguridad jurídica tanto en lo relativo al momento del pago del precio de los contratos como al momento de inicio de deveng</w:t>
      </w:r>
      <w:r>
        <w:t>o de intereses de demora:</w:t>
      </w:r>
    </w:p>
    <w:p w:rsidR="00E771B7" w:rsidRDefault="004A3B16">
      <w:pPr>
        <w:pStyle w:val="Cuerpodeltexto20"/>
        <w:numPr>
          <w:ilvl w:val="0"/>
          <w:numId w:val="1"/>
        </w:numPr>
        <w:shd w:val="clear" w:color="auto" w:fill="auto"/>
        <w:tabs>
          <w:tab w:val="left" w:pos="746"/>
        </w:tabs>
        <w:spacing w:before="0"/>
        <w:ind w:left="760" w:hanging="360"/>
      </w:pPr>
      <w:r>
        <w:t>Se ha aprobado la Ley 3/2004, de 29 de diciembre, por la que se establecen medidas de lucha contra la morosidad en las operaciones comerciales, cuyo artículo 4.2, apartado d), establece que el plazo para el pago se inicia a partir</w:t>
      </w:r>
      <w:r>
        <w:t xml:space="preserve"> del acto formal de conformidad.</w:t>
      </w:r>
    </w:p>
    <w:p w:rsidR="00E771B7" w:rsidRDefault="004A3B16">
      <w:pPr>
        <w:pStyle w:val="Cuerpodeltexto20"/>
        <w:numPr>
          <w:ilvl w:val="0"/>
          <w:numId w:val="1"/>
        </w:numPr>
        <w:shd w:val="clear" w:color="auto" w:fill="auto"/>
        <w:tabs>
          <w:tab w:val="left" w:pos="746"/>
        </w:tabs>
        <w:spacing w:before="0" w:after="236"/>
        <w:ind w:left="760" w:hanging="360"/>
      </w:pPr>
      <w:r>
        <w:t>Asimismo, el artículo 200.4 de la LCSP contiene una previsión inexistente en el equivalente artículo del TRLCAP relativo al pago del precio -artículo 99.4- Éste artículo 99.4 del TRLCAP fue modificado por la citada Ley 3/20</w:t>
      </w:r>
      <w:r>
        <w:t xml:space="preserve">04, para establecer el plazo del pago del precio en 60 días (la redacción originaria del artículo 99.4 establecía un plazo de 2 meses), y para establecer que a partir del cumplimiento de dicho plazo se devengaban los intereses de demora y la indemnización </w:t>
      </w:r>
      <w:r>
        <w:t>por los costes de cobro en los términos previstos en la Ley por la que se establecen medidas de lucha contra la morosidad en las operaciones comerciales. Por su parte la LCSP, además de recoger lo previsto en el artículo 99.4 del TRLCAP, ha añadido otra pr</w:t>
      </w:r>
      <w:r>
        <w:t xml:space="preserve">evisión según la cual </w:t>
      </w:r>
      <w:r>
        <w:rPr>
          <w:rStyle w:val="Cuerpodeltexto210ptoCursiva"/>
        </w:rPr>
        <w:t>“Cuando no proceda la expedición de certificación de obra y la fecha de recibo de la factura o solicitud de pago equivalente se preste a duda o sea anterior a la recepción de las mercancías o a la prestación de los servicios, el plazo</w:t>
      </w:r>
      <w:r>
        <w:rPr>
          <w:rStyle w:val="Cuerpodeltexto210ptoCursiva"/>
        </w:rPr>
        <w:t xml:space="preserve"> de sesenta días se contará desde dicha fecha de recepción o prestación".</w:t>
      </w:r>
      <w:r>
        <w:t xml:space="preserve"> Es decir, la nueva LCSP ha establecido expresamente que cuando la fecha de la factura o documento equivalente sea dudosa o anterior a la fecha de recepción, el plazo de 60 días de qu</w:t>
      </w:r>
      <w:r>
        <w:t>e dispone la Administración para proceder al abono del precio se contará desde dicha fecha de recepción.</w:t>
      </w:r>
    </w:p>
    <w:p w:rsidR="00E771B7" w:rsidRDefault="004A3B16">
      <w:pPr>
        <w:pStyle w:val="Cuerpodeltexto20"/>
        <w:shd w:val="clear" w:color="auto" w:fill="auto"/>
        <w:spacing w:before="0" w:after="244" w:line="245" w:lineRule="exact"/>
        <w:ind w:firstLine="0"/>
      </w:pPr>
      <w:r>
        <w:t>Comenzando el análisis de la materia, el punto de partida del presente informe se localiza en el artículo 200.4 de la Ley 30/2007, de 30 de octubre, de</w:t>
      </w:r>
      <w:r>
        <w:t xml:space="preserve"> Contratos del Sector Público, que dice:</w:t>
      </w:r>
    </w:p>
    <w:p w:rsidR="00E771B7" w:rsidRDefault="004A3B16">
      <w:pPr>
        <w:pStyle w:val="Cuerpodeltexto40"/>
        <w:shd w:val="clear" w:color="auto" w:fill="auto"/>
        <w:spacing w:before="0" w:after="240"/>
        <w:ind w:firstLine="0"/>
      </w:pPr>
      <w:r>
        <w:t>“La Administración tendrá la obligación de abonar el precio dentro de los sesenta días siguientes a la fecha de la expedición de las certificaciones de obras o de los correspondientes documentos que acrediten la rea</w:t>
      </w:r>
      <w:r>
        <w:t xml:space="preserve">lización total o parcial del contrato, sin perjuicio del plazo especial establecido en el artículo 205.4, y, si se demorase, deberá abonar al contratista, a partir del cumplimiento de dicho plazo de sesenta días, los intereses de demora y la indemnización </w:t>
      </w:r>
      <w:r>
        <w:t xml:space="preserve">por los costes de cobro en los términos </w:t>
      </w:r>
      <w:r>
        <w:lastRenderedPageBreak/>
        <w:t>previstos en la Ley 3/2004, de 29 de diciembre, por la que se establecen medidas de lucha contra la morosidad en las operaciones comerciales. Cuando no proceda la expedición de certificación de obra y la fecha de rec</w:t>
      </w:r>
      <w:r>
        <w:t>ibo de la factura o solicitud de pago equivalente se preste a duda o sea anterior a la recepción de las mercancías o a la prestación de los servicios, el plazo de sesenta días se contará desde dicha fecha de recepción o prestación."</w:t>
      </w:r>
    </w:p>
    <w:p w:rsidR="00E771B7" w:rsidRDefault="004A3B16">
      <w:pPr>
        <w:pStyle w:val="Cuerpodeltexto20"/>
        <w:shd w:val="clear" w:color="auto" w:fill="auto"/>
        <w:spacing w:before="0"/>
        <w:ind w:firstLine="0"/>
      </w:pPr>
      <w:r>
        <w:t xml:space="preserve">Dispone, por tanto, la </w:t>
      </w:r>
      <w:r>
        <w:t xml:space="preserve">Administración para el pago del precio de un plazo de sesenta días (naturales según la Disposición Adicional Decimoquinta de la LCSP), a contar desde la fecha de expedición de las certificaciones de obras o de los correspondientes documentos que acrediten </w:t>
      </w:r>
      <w:r>
        <w:t>la recepción total o parcial del contrato</w:t>
      </w:r>
      <w:r>
        <w:rPr>
          <w:vertAlign w:val="superscript"/>
        </w:rPr>
        <w:footnoteReference w:id="1"/>
      </w:r>
      <w:r>
        <w:t>.</w:t>
      </w:r>
    </w:p>
    <w:p w:rsidR="00E771B7" w:rsidRDefault="004A3B16">
      <w:pPr>
        <w:pStyle w:val="Cuerpodeltexto40"/>
        <w:shd w:val="clear" w:color="auto" w:fill="auto"/>
        <w:spacing w:before="0" w:after="240"/>
        <w:ind w:firstLine="0"/>
      </w:pPr>
      <w:r>
        <w:rPr>
          <w:rStyle w:val="Cuerpodeltexto4105ptoSincursiva"/>
        </w:rPr>
        <w:t xml:space="preserve">Qué se entiende por </w:t>
      </w:r>
      <w:r>
        <w:t>“documento que acredite la recepción total o parcial del contrato"</w:t>
      </w:r>
      <w:r>
        <w:rPr>
          <w:rStyle w:val="Cuerpodeltexto4105ptoSincursiva"/>
        </w:rPr>
        <w:t xml:space="preserve"> resulta capital para la determinación del </w:t>
      </w:r>
      <w:r>
        <w:t>dies a quo</w:t>
      </w:r>
      <w:r>
        <w:rPr>
          <w:rStyle w:val="Cuerpodeltexto4105ptoSincursiva"/>
        </w:rPr>
        <w:t xml:space="preserve"> desde el que se computará el referido plazo de 60 días. Para obtener una</w:t>
      </w:r>
      <w:r>
        <w:rPr>
          <w:rStyle w:val="Cuerpodeltexto4105ptoSincursiva"/>
        </w:rPr>
        <w:t xml:space="preserve"> respuesta precisa es necesario acudir a lo dispuesto en el artículo 205.2 de la LCSP que dispone que </w:t>
      </w:r>
      <w:r>
        <w:t>“En todo caso, su constatación exigirá por parte de la Administración un acto formal y positivo de recepción o conformidad dentro del mes siguiente a la e</w:t>
      </w:r>
      <w:r>
        <w:t>ntrega o realización del objeto del contrato, o en el plazo que se determine en el pliego de cláusulas administrativas particulares por razón de sus características".</w:t>
      </w:r>
    </w:p>
    <w:p w:rsidR="00E771B7" w:rsidRDefault="004A3B16">
      <w:pPr>
        <w:pStyle w:val="Cuerpodeltexto20"/>
        <w:shd w:val="clear" w:color="auto" w:fill="auto"/>
        <w:spacing w:before="0" w:after="253"/>
        <w:ind w:firstLine="0"/>
      </w:pPr>
      <w:r>
        <w:t>El artículo 4.2 de la Ley 3/2004, de 29 de diciembre, por la que se establecen medidas de</w:t>
      </w:r>
      <w:r>
        <w:t xml:space="preserve"> lucha contra la morosidad en las operaciones comerciales, establece que:</w:t>
      </w:r>
    </w:p>
    <w:p w:rsidR="00E771B7" w:rsidRDefault="004A3B16">
      <w:pPr>
        <w:pStyle w:val="Cuerpodeltexto40"/>
        <w:shd w:val="clear" w:color="auto" w:fill="auto"/>
        <w:spacing w:before="0" w:after="227" w:line="224" w:lineRule="exact"/>
        <w:ind w:firstLine="0"/>
      </w:pPr>
      <w:r>
        <w:t>“El plazo de pago, a falta de pacto entre las partes, será el siguiente:</w:t>
      </w:r>
    </w:p>
    <w:p w:rsidR="00E771B7" w:rsidRDefault="004A3B16">
      <w:pPr>
        <w:pStyle w:val="Cuerpodeltexto40"/>
        <w:numPr>
          <w:ilvl w:val="0"/>
          <w:numId w:val="2"/>
        </w:numPr>
        <w:shd w:val="clear" w:color="auto" w:fill="auto"/>
        <w:tabs>
          <w:tab w:val="left" w:pos="770"/>
        </w:tabs>
        <w:spacing w:before="0"/>
        <w:ind w:left="760"/>
      </w:pPr>
      <w:r>
        <w:t>Treinta días después de la fecha en que el deudor haya recibido la factura o una solicitud de pago equivalent</w:t>
      </w:r>
      <w:r>
        <w:t>e.</w:t>
      </w:r>
    </w:p>
    <w:p w:rsidR="00E771B7" w:rsidRDefault="004A3B16">
      <w:pPr>
        <w:pStyle w:val="Cuerpodeltexto40"/>
        <w:numPr>
          <w:ilvl w:val="0"/>
          <w:numId w:val="2"/>
        </w:numPr>
        <w:shd w:val="clear" w:color="auto" w:fill="auto"/>
        <w:tabs>
          <w:tab w:val="left" w:pos="770"/>
        </w:tabs>
        <w:spacing w:before="0"/>
        <w:ind w:left="760"/>
      </w:pPr>
      <w:r>
        <w:t>Si la fecha de recibo de la factura o la solicitud de pago equivalente se presta a duda, treinta días después de la fecha de recepción de las mercancías o prestación de los servicios.</w:t>
      </w:r>
    </w:p>
    <w:p w:rsidR="00E771B7" w:rsidRDefault="004A3B16">
      <w:pPr>
        <w:pStyle w:val="Cuerpodeltexto40"/>
        <w:numPr>
          <w:ilvl w:val="0"/>
          <w:numId w:val="2"/>
        </w:numPr>
        <w:shd w:val="clear" w:color="auto" w:fill="auto"/>
        <w:tabs>
          <w:tab w:val="left" w:pos="770"/>
        </w:tabs>
        <w:spacing w:before="0"/>
        <w:ind w:left="760"/>
      </w:pPr>
      <w:r>
        <w:t>Si el deudor recibe la factura o la solicitud de pago equivalente ant</w:t>
      </w:r>
      <w:r>
        <w:t>es que los bienes o servicios, treinta días después de la entrega de los bienes o de la prestación de los servicios.</w:t>
      </w:r>
    </w:p>
    <w:p w:rsidR="00E771B7" w:rsidRDefault="004A3B16">
      <w:pPr>
        <w:pStyle w:val="Cuerpodeltexto40"/>
        <w:numPr>
          <w:ilvl w:val="0"/>
          <w:numId w:val="2"/>
        </w:numPr>
        <w:shd w:val="clear" w:color="auto" w:fill="auto"/>
        <w:tabs>
          <w:tab w:val="left" w:pos="770"/>
        </w:tabs>
        <w:spacing w:before="0"/>
        <w:ind w:left="760"/>
      </w:pPr>
      <w:r>
        <w:t>Si legalmente o en el contrato se ha dispuesto un procedimiento de aceptación o de</w:t>
      </w:r>
    </w:p>
    <w:p w:rsidR="00E771B7" w:rsidRDefault="004A3B16">
      <w:pPr>
        <w:pStyle w:val="Cuerpodeltexto40"/>
        <w:shd w:val="clear" w:color="auto" w:fill="auto"/>
        <w:spacing w:before="0"/>
        <w:ind w:left="760" w:firstLine="0"/>
        <w:jc w:val="left"/>
      </w:pPr>
      <w:r>
        <w:t>comprobación mediante el cual deba verificarse la confor</w:t>
      </w:r>
      <w:r>
        <w:t>midad de los bienes o los</w:t>
      </w:r>
    </w:p>
    <w:p w:rsidR="00E771B7" w:rsidRDefault="004A3B16">
      <w:pPr>
        <w:pStyle w:val="Cuerpodeltexto40"/>
        <w:shd w:val="clear" w:color="auto" w:fill="auto"/>
        <w:spacing w:before="0"/>
        <w:ind w:left="760" w:firstLine="0"/>
        <w:jc w:val="left"/>
      </w:pPr>
      <w:r>
        <w:t>servicios con lo dispuesto en el contrato y si el deudor recibe la factura o la solicitud de</w:t>
      </w:r>
    </w:p>
    <w:p w:rsidR="00E771B7" w:rsidRDefault="004A3B16">
      <w:pPr>
        <w:pStyle w:val="Cuerpodeltexto40"/>
        <w:shd w:val="clear" w:color="auto" w:fill="auto"/>
        <w:spacing w:before="0"/>
        <w:ind w:left="760" w:firstLine="0"/>
        <w:jc w:val="left"/>
      </w:pPr>
      <w:r>
        <w:t>pago equivalente antes o en la fecha en que tiene lugar dicha aceptación o verificación,</w:t>
      </w:r>
    </w:p>
    <w:p w:rsidR="00E771B7" w:rsidRDefault="004A3B16">
      <w:pPr>
        <w:pStyle w:val="Cuerpodeltexto40"/>
        <w:shd w:val="clear" w:color="auto" w:fill="auto"/>
        <w:spacing w:before="0" w:after="240"/>
        <w:ind w:left="760" w:firstLine="0"/>
        <w:jc w:val="left"/>
      </w:pPr>
      <w:r>
        <w:rPr>
          <w:rStyle w:val="Cuerpodeltexto41"/>
          <w:i/>
          <w:iCs/>
        </w:rPr>
        <w:t>treinta días después de esta última fecha</w:t>
      </w:r>
      <w:r>
        <w:t>."</w:t>
      </w:r>
    </w:p>
    <w:p w:rsidR="00E771B7" w:rsidRDefault="004A3B16">
      <w:pPr>
        <w:pStyle w:val="Cuerpodeltexto20"/>
        <w:shd w:val="clear" w:color="auto" w:fill="auto"/>
        <w:spacing w:before="0" w:after="0"/>
        <w:ind w:firstLine="0"/>
      </w:pPr>
      <w:r>
        <w:t>Inte</w:t>
      </w:r>
      <w:r>
        <w:t>ncionadamente se ha subrayado lo establecido en el apartado d) puesto que resulta de aplicación en el ámbito de la contratación administrativa al existir una disposición legal -artículo 200.4 LCSP- en virtud de la cual la Administración dispone del plazo d</w:t>
      </w:r>
      <w:r>
        <w:t>e un mes para dar su conformidad con la entrega o realización del objeto del contrato.</w:t>
      </w:r>
    </w:p>
    <w:p w:rsidR="00E771B7" w:rsidRDefault="004A3B16">
      <w:pPr>
        <w:pStyle w:val="Cuerpodeltexto20"/>
        <w:shd w:val="clear" w:color="auto" w:fill="auto"/>
        <w:spacing w:before="0" w:after="235"/>
        <w:ind w:firstLine="0"/>
      </w:pPr>
      <w:r>
        <w:t xml:space="preserve">Por tanto, la Administración contratante dispone de un plazo de un mes a partir de la entrega o </w:t>
      </w:r>
      <w:r>
        <w:lastRenderedPageBreak/>
        <w:t xml:space="preserve">realización efectiva del objeto del contrato, para la constatación de la </w:t>
      </w:r>
      <w:r>
        <w:t>correcta ejecución del mismo. Éste acto formal, diferente de la mera recepción efectiva de la prestación y posterior a ésta, es el momento a que se refiere el apartado d) del artículo 4.2 de la Ley 3/2004, de 29 de diciembre, por la que se establecen medid</w:t>
      </w:r>
      <w:r>
        <w:t>as de lucha contra la morosidad en las operaciones comerciales, para establecer el inicio del plazo de 60 días y, en consecuencia, su cómputo se iniciará desde que se haya realizado el acto formal de recepción de conformidad.</w:t>
      </w:r>
    </w:p>
    <w:p w:rsidR="00E771B7" w:rsidRDefault="004A3B16">
      <w:pPr>
        <w:pStyle w:val="Ttulo10"/>
        <w:keepNext/>
        <w:keepLines/>
        <w:shd w:val="clear" w:color="auto" w:fill="auto"/>
        <w:spacing w:before="0" w:after="237"/>
        <w:ind w:right="20"/>
      </w:pPr>
      <w:bookmarkStart w:id="2" w:name="bookmark1"/>
      <w:r>
        <w:t>II</w:t>
      </w:r>
      <w:bookmarkEnd w:id="2"/>
    </w:p>
    <w:p w:rsidR="00E771B7" w:rsidRDefault="004A3B16">
      <w:pPr>
        <w:pStyle w:val="Cuerpodeltexto20"/>
        <w:shd w:val="clear" w:color="auto" w:fill="auto"/>
        <w:spacing w:before="0" w:line="250" w:lineRule="exact"/>
        <w:ind w:firstLine="0"/>
      </w:pPr>
      <w:r>
        <w:t xml:space="preserve">Fijado el </w:t>
      </w:r>
      <w:r>
        <w:rPr>
          <w:rStyle w:val="Cuerpodeltexto210ptoCursiva"/>
        </w:rPr>
        <w:t>dies a quo</w:t>
      </w:r>
      <w:r>
        <w:t xml:space="preserve"> o momento desde que la Administración incurre en morosidad, con la ineludible consecuencia de abonar los intereses de demora procedentes, corresponde determinar el momento hasta el que deben calcularse dichos intereses, esto es, el denominado </w:t>
      </w:r>
      <w:r>
        <w:rPr>
          <w:rStyle w:val="Cuerpodeltexto210ptoCursiva"/>
        </w:rPr>
        <w:t>dies ad quem</w:t>
      </w:r>
      <w:r>
        <w:rPr>
          <w:rStyle w:val="Cuerpodeltexto210ptoCursiva"/>
        </w:rPr>
        <w:t>.</w:t>
      </w:r>
    </w:p>
    <w:p w:rsidR="00E771B7" w:rsidRDefault="004A3B16">
      <w:pPr>
        <w:pStyle w:val="Cuerpodeltexto20"/>
        <w:shd w:val="clear" w:color="auto" w:fill="auto"/>
        <w:spacing w:before="0" w:line="250" w:lineRule="exact"/>
        <w:ind w:firstLine="0"/>
      </w:pPr>
      <w:r>
        <w:t>Sobre esta cuestión, el término final del devengo de intereses de demora, es abundante y pacífica la jurisprudencia</w:t>
      </w:r>
      <w:r>
        <w:rPr>
          <w:vertAlign w:val="superscript"/>
        </w:rPr>
        <w:footnoteReference w:id="2"/>
      </w:r>
      <w:r>
        <w:t>. Este momento se considera que es el día del pago efectivo, el momento en el que el acreedor recibe el pago.</w:t>
      </w:r>
    </w:p>
    <w:p w:rsidR="00E771B7" w:rsidRDefault="004A3B16">
      <w:pPr>
        <w:pStyle w:val="Cuerpodeltexto20"/>
        <w:shd w:val="clear" w:color="auto" w:fill="auto"/>
        <w:spacing w:before="0" w:line="250" w:lineRule="exact"/>
        <w:ind w:firstLine="0"/>
      </w:pPr>
      <w:r>
        <w:t>A esta regla general, cabe a</w:t>
      </w:r>
      <w:r>
        <w:t>ñadir un supuesto que explica Uría Menéndez. Los intereses contractuales se devengan hasta el pago efectivo del precio, como supuesto ordinario, o hasta la notificación de la sentencia que condene a la Administración al pago de una cantidad de dinero, sien</w:t>
      </w:r>
      <w:r>
        <w:t>do aplicable en este caso lo dispuesto en el artículo 106 de la Ley 29/1998, de 13 julio, reguladora de la Jurisdicción Contencioso-administrativa, que dice:</w:t>
      </w:r>
    </w:p>
    <w:p w:rsidR="00E771B7" w:rsidRDefault="004A3B16">
      <w:pPr>
        <w:pStyle w:val="Cuerpodeltexto40"/>
        <w:shd w:val="clear" w:color="auto" w:fill="auto"/>
        <w:spacing w:before="0" w:after="96" w:line="250" w:lineRule="exact"/>
        <w:ind w:firstLine="0"/>
      </w:pPr>
      <w:r>
        <w:rPr>
          <w:rStyle w:val="Cuerpodeltexto4105ptoSincursiva"/>
        </w:rPr>
        <w:t xml:space="preserve">“1. </w:t>
      </w:r>
      <w:r>
        <w:t>Cuando la Administración fuere condenada al pago de cantidad líquida, el órgano encargado de s</w:t>
      </w:r>
      <w:r>
        <w:t>u cumplimiento acordará el pago con cargo al crédito correspondiente de su presupuesto que tendrá siempre la consideración de ampliable. Si para el pago fuese necesario realizar una modificación presupuestaria, deberá concluirse el procedimiento correspond</w:t>
      </w:r>
      <w:r>
        <w:t>iente dentro de los tres meses siguientes al día de notificación de la resolución judicial.</w:t>
      </w:r>
    </w:p>
    <w:p w:rsidR="00E771B7" w:rsidRDefault="004A3B16">
      <w:pPr>
        <w:pStyle w:val="Cuerpodeltexto40"/>
        <w:shd w:val="clear" w:color="auto" w:fill="auto"/>
        <w:spacing w:before="0" w:after="244" w:line="254" w:lineRule="exact"/>
        <w:ind w:firstLine="0"/>
      </w:pPr>
      <w:r>
        <w:t>2. A la cantidad a que se refiere el apartado anterior se añadirá el interés legal del dinero, calculado desde la fecha de notificación de la sentencia dictada en ú</w:t>
      </w:r>
      <w:r>
        <w:t>nica o primera instancia.”</w:t>
      </w:r>
    </w:p>
    <w:p w:rsidR="00E771B7" w:rsidRDefault="004A3B16">
      <w:pPr>
        <w:pStyle w:val="Cuerpodeltexto20"/>
        <w:shd w:val="clear" w:color="auto" w:fill="auto"/>
        <w:spacing w:before="0" w:line="250" w:lineRule="exact"/>
        <w:ind w:firstLine="0"/>
      </w:pPr>
      <w:r>
        <w:t>En relación con los intereses de demora, el artículo 7.2 de la Ley 3/2004, de 29 de diciembre, por la que se establecen medidas de lucha contra la morosidad en las operaciones comerciales, fija como interés legal de demora la sum</w:t>
      </w:r>
      <w:r>
        <w:t>a del tipo de interés aplicado por el Banco Central Europeo a su más reciente operación principal de financiación efectuada antes del primer día del semestre natural de que se trate más siete puntos porcentuales.</w:t>
      </w:r>
    </w:p>
    <w:p w:rsidR="00E771B7" w:rsidRDefault="004A3B16">
      <w:pPr>
        <w:pStyle w:val="Cuerpodeltexto20"/>
        <w:shd w:val="clear" w:color="auto" w:fill="auto"/>
        <w:spacing w:before="0" w:after="0" w:line="250" w:lineRule="exact"/>
        <w:ind w:firstLine="0"/>
      </w:pPr>
      <w:r>
        <w:t>Por último, ha de señalarse que normalmente</w:t>
      </w:r>
      <w:r>
        <w:t xml:space="preserve"> no procederá aplicar la regla de anatocismo (intereses sobre intereses, artículo 1109 del Código Civil), ya que tales intereses sólo se devengan cuando la obligación que los genera consiste en el pago de una cantidad líquida, requisito que no se producirá</w:t>
      </w:r>
      <w:r>
        <w:t xml:space="preserve"> hasta que se dicte la Sentencia de instancia que liquide la deuda principal y sus intereses</w:t>
      </w:r>
      <w:r>
        <w:rPr>
          <w:vertAlign w:val="superscript"/>
        </w:rPr>
        <w:footnoteReference w:id="3"/>
      </w:r>
      <w:r>
        <w:t>.</w:t>
      </w:r>
    </w:p>
    <w:p w:rsidR="00E771B7" w:rsidRDefault="004A3B16">
      <w:pPr>
        <w:pStyle w:val="Ttulo10"/>
        <w:keepNext/>
        <w:keepLines/>
        <w:shd w:val="clear" w:color="auto" w:fill="auto"/>
        <w:spacing w:before="0" w:after="357"/>
      </w:pPr>
      <w:bookmarkStart w:id="3" w:name="bookmark2"/>
      <w:r>
        <w:t>III</w:t>
      </w:r>
      <w:bookmarkEnd w:id="3"/>
    </w:p>
    <w:p w:rsidR="00E771B7" w:rsidRDefault="004A3B16">
      <w:pPr>
        <w:pStyle w:val="Cuerpodeltexto20"/>
        <w:shd w:val="clear" w:color="auto" w:fill="auto"/>
        <w:spacing w:before="0" w:after="260" w:line="250" w:lineRule="exact"/>
        <w:ind w:firstLine="0"/>
      </w:pPr>
      <w:r>
        <w:t xml:space="preserve">En la anterior consideración se ha expuesto el régimen regulador básico del pago del precio en los contratos administrativos. De cualquier forma, para </w:t>
      </w:r>
      <w:r>
        <w:t xml:space="preserve">proceder al pago del precio existe un </w:t>
      </w:r>
      <w:r>
        <w:lastRenderedPageBreak/>
        <w:t>elemento fundamental que debe ser analizado y que debe aportar la otra parte de la relación contractual, éste elemento es la factura. Deben ser analizadas, por tanto, las cuestiones relativas a las obligaciones de fact</w:t>
      </w:r>
      <w:r>
        <w:t>uración del contratista, al momento en que debe ser presentada la factura y a los efectos que, sobre el pago del precio, produce que sea presentada en una fecha u otra.</w:t>
      </w:r>
    </w:p>
    <w:p w:rsidR="00E771B7" w:rsidRDefault="004A3B16">
      <w:pPr>
        <w:pStyle w:val="Cuerpodeltexto20"/>
        <w:shd w:val="clear" w:color="auto" w:fill="auto"/>
        <w:spacing w:before="0" w:after="0" w:line="250" w:lineRule="exact"/>
        <w:ind w:firstLine="0"/>
      </w:pPr>
      <w:r>
        <w:t xml:space="preserve">El artículo 2 del Real Decreto 1496/2003, de 28 de noviembre, por el que se aprueba el </w:t>
      </w:r>
      <w:r>
        <w:t xml:space="preserve">Reglamento por el que se regulan las obligaciones de facturación, y se modifica el Reglamento del Impuesto sobre el Valor Añadido, establece la obligación que tienen los empresarios o profesionales de expedir factura al decir que “De </w:t>
      </w:r>
      <w:r>
        <w:rPr>
          <w:rStyle w:val="Cuerpodeltexto210ptoCursiva"/>
        </w:rPr>
        <w:t>acuerdo con el artícul</w:t>
      </w:r>
      <w:r>
        <w:rPr>
          <w:rStyle w:val="Cuerpodeltexto210ptoCursiva"/>
        </w:rPr>
        <w:t>o 164.uno.3 de la Ley 37/1992, de 28 de diciembre, del Impuesto sobre el Valor Añadido, los empresarios o profesionales están obligados a expedir factura y copia de ésta por las entregas de bienes y prestaciones de servicios que realicen en el desarrollo d</w:t>
      </w:r>
      <w:r>
        <w:rPr>
          <w:rStyle w:val="Cuerpodeltexto210ptoCursiva"/>
        </w:rPr>
        <w:t>e su actividad, incluidas las no sujetas y las sujetas pero exentas del impuesto, en los términos establecidos en este reglamento y sin más excepciones que las previstas en él.”</w:t>
      </w:r>
      <w:r>
        <w:t xml:space="preserve"> Por otra parte, la factura debe ser expedida en el momento de realizarse la op</w:t>
      </w:r>
      <w:r>
        <w:t>eración (artículo 9.1 del Real Decreto 1496/2003). No obstante hay que tener en cuenta que cuando el destinatario de la operación sea un empresario o profesional que actúe como tal la factura debe expedirse dentro del plazo de un mes contado a partir del m</w:t>
      </w:r>
      <w:r>
        <w:t>omento de realizarse la operación (artículo 9.1 segundo párrafo del Real Decreto 1496/2003); está previsión no resulta a la Administración ya que ésta no tiene consideración de empresario o profesional ni en términos positivos ni negativos. En efecto, disp</w:t>
      </w:r>
      <w:r>
        <w:t>one el artículo 5 de la Ley 37/1992, de 28 de diciembre, del Impuesto sobre el Valor Añadido, que se reputan empresarios o profesionales “</w:t>
      </w:r>
      <w:r>
        <w:rPr>
          <w:rStyle w:val="Cuerpodeltexto210ptoCursiva"/>
        </w:rPr>
        <w:t>quienes realicen una o varias entregas de bienes o prestaciones de servicios que supongan la explotación de un bien co</w:t>
      </w:r>
      <w:r>
        <w:rPr>
          <w:rStyle w:val="Cuerpodeltexto210ptoCursiva"/>
        </w:rPr>
        <w:t>rporal o incorporal con el fin de obtener ingresos continuados en el tiempo.”</w:t>
      </w:r>
      <w:r>
        <w:t xml:space="preserve"> Resulta evidente que las Administraciones Públicas y sus Organismos Autónomos no realizan entregas de bienes o prestaciones de servicios con el fin lucrativo de obtener ingresos,</w:t>
      </w:r>
      <w:r>
        <w:t xml:space="preserve"> sino que actúan en función de los fines institucionales que tienen atribuidos.</w:t>
      </w:r>
    </w:p>
    <w:p w:rsidR="00E771B7" w:rsidRDefault="004A3B16">
      <w:pPr>
        <w:pStyle w:val="Cuerpodeltexto20"/>
        <w:shd w:val="clear" w:color="auto" w:fill="auto"/>
        <w:spacing w:before="0" w:after="260" w:line="250" w:lineRule="exact"/>
        <w:ind w:firstLine="0"/>
      </w:pPr>
      <w:r>
        <w:t>Aclarado este extremo, en el caso de los contratos administrativos el contratista debe expedir y remitir la factura a la Administración en el momento de realizarse la prestació</w:t>
      </w:r>
      <w:r>
        <w:t>n objeto del contrato, por aplicación directa del artículo 9.1 párrafo primero del Real Decreto 1496/2003, de 28 de noviembre, por el que se aprueba el Reglamento por el que se regulan las obligaciones de facturación, y se modifica el Reglamento del Impues</w:t>
      </w:r>
      <w:r>
        <w:t>to sobre el Valor Añadido.</w:t>
      </w:r>
    </w:p>
    <w:p w:rsidR="00E771B7" w:rsidRDefault="004A3B16">
      <w:pPr>
        <w:pStyle w:val="Cuerpodeltexto20"/>
        <w:shd w:val="clear" w:color="auto" w:fill="auto"/>
        <w:spacing w:before="0" w:after="896" w:line="250" w:lineRule="exact"/>
        <w:ind w:firstLine="0"/>
      </w:pPr>
      <w:r>
        <w:t>De acuerdo con lo establecido en el párrafo anterior y en la primera consideración de este informe, puede extraerse una regla general que es que el plazo de sesenta días para el pago al que se refiere el artículo 200.4 de la LCSP</w:t>
      </w:r>
      <w:r>
        <w:t xml:space="preserve"> se iniciará a partir del acto formal de recepción de conformidad, siempre y cuando la factura se presente en ese momento o, en su caso, con antelación al mismo.</w:t>
      </w:r>
    </w:p>
    <w:p w:rsidR="00E771B7" w:rsidRDefault="004A3B16">
      <w:pPr>
        <w:pStyle w:val="Cuerpodeltexto40"/>
        <w:shd w:val="clear" w:color="auto" w:fill="auto"/>
        <w:spacing w:before="0" w:line="230" w:lineRule="exact"/>
        <w:ind w:firstLine="0"/>
      </w:pPr>
      <w:r>
        <w:rPr>
          <w:rStyle w:val="Cuerpodeltexto4105ptoSincursiva"/>
        </w:rPr>
        <w:t xml:space="preserve">STS de 5 de julio de 2002 </w:t>
      </w:r>
      <w:r>
        <w:t>“...el anatocismo o intereses legales de los intereses de demora, ti</w:t>
      </w:r>
      <w:r>
        <w:t>ene lugar cuando estos últimos han sido claramente determinados y configurados como líquidos según reiterada doctrina jurisprudencial".</w:t>
      </w:r>
    </w:p>
    <w:p w:rsidR="00E771B7" w:rsidRDefault="004A3B16">
      <w:pPr>
        <w:pStyle w:val="Cuerpodeltexto40"/>
        <w:shd w:val="clear" w:color="auto" w:fill="auto"/>
        <w:spacing w:before="0" w:line="230" w:lineRule="exact"/>
        <w:ind w:firstLine="0"/>
      </w:pPr>
      <w:r>
        <w:rPr>
          <w:rStyle w:val="Cuerpodeltexto4105ptoSincursiva"/>
        </w:rPr>
        <w:t xml:space="preserve">STS de 4 de julio de 2000 “.se </w:t>
      </w:r>
      <w:r>
        <w:t>ha venido a declarar que tales intereses, aquellos a que se refiere el art. 1109 del Códi</w:t>
      </w:r>
      <w:r>
        <w:t>go Civil, de anatocismo, sólo proceden y sólo se devengan cuando la obligación que los genera consiste en el pago de una cantidad líquida, requisito que no se cumple cuando la liquidación no se produjo hasta que recayó la sentencia de instancia".</w:t>
      </w:r>
    </w:p>
    <w:p w:rsidR="00E771B7" w:rsidRDefault="004A3B16">
      <w:pPr>
        <w:pStyle w:val="Cuerpodeltexto20"/>
        <w:shd w:val="clear" w:color="auto" w:fill="auto"/>
        <w:spacing w:before="0" w:after="236" w:line="250" w:lineRule="exact"/>
        <w:ind w:firstLine="0"/>
      </w:pPr>
      <w:r>
        <w:t>Lo señala</w:t>
      </w:r>
      <w:r>
        <w:t xml:space="preserve">do en el párrafo anterior conlleva, indefectiblemente, la necesidad de pronunciarse sobre el supuesto en que la factura se presente con posterioridad a la fecha del acto formal de recepción de conformidad. En este caso, se produce incumplimiento por parte </w:t>
      </w:r>
      <w:r>
        <w:t xml:space="preserve">del contratista de sus obligaciones de facturación, y esta actuación unilateral del contratista nunca puede operar en perjuicio de la Administración. Ésta, con independencia de los plazos legalmente establecidos, únicamente puede proceder a la tramitación </w:t>
      </w:r>
      <w:r>
        <w:t xml:space="preserve">material del pago una vez que dispone de la factura; en el supuesto de que no se hubiese presentado factura y el plazo para el pago se computase desde la fecha de recepción formal del contrato, en la práctica la Administración vería reducido el </w:t>
      </w:r>
      <w:r>
        <w:lastRenderedPageBreak/>
        <w:t>plazo máxim</w:t>
      </w:r>
      <w:r>
        <w:t>o legalmente establecido para tramitar dicho pago sin incurrir en mora, lo que no resulta admisible. En este supuesto, es decir, en el caso de que se realice el acto formal de recepción de conformidad, pero el contratista no entregue la factura será de apl</w:t>
      </w:r>
      <w:r>
        <w:t xml:space="preserve">icación lo previsto en el artículo 4.2.a) de la Ley 3/2004, de 29 de diciembre, por la que se establecen medidas de lucha contra la morosidad en las operaciones comerciales, es decir, el plazo para el pago se computará a partir de fecha de recepción de la </w:t>
      </w:r>
      <w:r>
        <w:t>factura.</w:t>
      </w:r>
    </w:p>
    <w:p w:rsidR="00E771B7" w:rsidRDefault="004A3B16">
      <w:pPr>
        <w:pStyle w:val="Cuerpodeltexto20"/>
        <w:shd w:val="clear" w:color="auto" w:fill="auto"/>
        <w:spacing w:before="0" w:after="247" w:line="254" w:lineRule="exact"/>
        <w:ind w:firstLine="0"/>
      </w:pPr>
      <w:r>
        <w:t>Con base en lo expuesto en las anteriores consideraciones esta Intervención General formula las siguientes</w:t>
      </w:r>
    </w:p>
    <w:p w:rsidR="00E771B7" w:rsidRDefault="004A3B16">
      <w:pPr>
        <w:pStyle w:val="Ttulo10"/>
        <w:keepNext/>
        <w:keepLines/>
        <w:shd w:val="clear" w:color="auto" w:fill="auto"/>
        <w:spacing w:before="0" w:after="237"/>
      </w:pPr>
      <w:bookmarkStart w:id="4" w:name="bookmark3"/>
      <w:r>
        <w:t>CONCLUSIONES</w:t>
      </w:r>
      <w:bookmarkEnd w:id="4"/>
    </w:p>
    <w:p w:rsidR="00E771B7" w:rsidRDefault="004A3B16">
      <w:pPr>
        <w:pStyle w:val="Cuerpodeltexto20"/>
        <w:numPr>
          <w:ilvl w:val="0"/>
          <w:numId w:val="1"/>
        </w:numPr>
        <w:shd w:val="clear" w:color="auto" w:fill="auto"/>
        <w:tabs>
          <w:tab w:val="left" w:pos="360"/>
        </w:tabs>
        <w:spacing w:before="0" w:after="236" w:line="250" w:lineRule="exact"/>
        <w:ind w:left="400"/>
      </w:pPr>
      <w:r>
        <w:t>El plazo de sesenta días que para el pago del precio establece el artículo 200.4 de la LCSP se computará a partir de la fecha d</w:t>
      </w:r>
      <w:r>
        <w:t>e expedición de las certificaciones de obra o, en su caso, a partir de la fecha en que se realice el acto formal de comprobación de conformidad de lo ejecutado con lo estipulado en el contrato.</w:t>
      </w:r>
    </w:p>
    <w:p w:rsidR="00E771B7" w:rsidRDefault="004A3B16">
      <w:pPr>
        <w:pStyle w:val="Cuerpodeltexto20"/>
        <w:numPr>
          <w:ilvl w:val="0"/>
          <w:numId w:val="1"/>
        </w:numPr>
        <w:shd w:val="clear" w:color="auto" w:fill="auto"/>
        <w:tabs>
          <w:tab w:val="left" w:pos="360"/>
        </w:tabs>
        <w:spacing w:before="0" w:after="244" w:line="254" w:lineRule="exact"/>
        <w:ind w:left="400"/>
      </w:pPr>
      <w:r>
        <w:t xml:space="preserve">En el momento en que la Administración realice el acto formal </w:t>
      </w:r>
      <w:r>
        <w:t>de comprobación de conformidad de lo ejecutado con lo estipulado en el contrato, el contratista deberá haber expedido y entregado la correspondiente factura.</w:t>
      </w:r>
    </w:p>
    <w:p w:rsidR="00E771B7" w:rsidRDefault="004A3B16">
      <w:pPr>
        <w:pStyle w:val="Cuerpodeltexto20"/>
        <w:numPr>
          <w:ilvl w:val="0"/>
          <w:numId w:val="1"/>
        </w:numPr>
        <w:shd w:val="clear" w:color="auto" w:fill="auto"/>
        <w:tabs>
          <w:tab w:val="left" w:pos="360"/>
        </w:tabs>
        <w:spacing w:before="0" w:after="0" w:line="250" w:lineRule="exact"/>
        <w:ind w:left="400"/>
      </w:pPr>
      <w:r>
        <w:t xml:space="preserve">En el caso de que el contratista entregue la factura con posterioridad a la realización del acto </w:t>
      </w:r>
      <w:r>
        <w:t>formal de comprobación de conformidad de lo ejecutado con lo estipulado en el contrato, el plazo de sesenta días para realizar el pago se computará a partir de la fecha de recepción de dicha factura.</w:t>
      </w:r>
    </w:p>
    <w:sectPr w:rsidR="00E771B7">
      <w:footerReference w:type="default" r:id="rId7"/>
      <w:pgSz w:w="11900" w:h="16840"/>
      <w:pgMar w:top="1408" w:right="1372" w:bottom="1406"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B16" w:rsidRDefault="004A3B16">
      <w:r>
        <w:separator/>
      </w:r>
    </w:p>
  </w:endnote>
  <w:endnote w:type="continuationSeparator" w:id="0">
    <w:p w:rsidR="004A3B16" w:rsidRDefault="004A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B7" w:rsidRDefault="00EB37C0">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3759200</wp:posOffset>
              </wp:positionH>
              <wp:positionV relativeFrom="page">
                <wp:posOffset>10120630</wp:posOffset>
              </wp:positionV>
              <wp:extent cx="74295" cy="153035"/>
              <wp:effectExtent l="0"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1B7" w:rsidRDefault="004A3B16">
                          <w:pPr>
                            <w:pStyle w:val="Encabezamientoopiedepgina0"/>
                            <w:shd w:val="clear" w:color="auto" w:fill="auto"/>
                            <w:spacing w:line="240" w:lineRule="auto"/>
                          </w:pPr>
                          <w:r>
                            <w:fldChar w:fldCharType="begin"/>
                          </w:r>
                          <w:r>
                            <w:instrText xml:space="preserve"> PAGE \* MERGEFORMAT </w:instrText>
                          </w:r>
                          <w:r>
                            <w:fldChar w:fldCharType="separate"/>
                          </w:r>
                          <w:r w:rsidR="00EB37C0" w:rsidRPr="00EB37C0">
                            <w:rPr>
                              <w:rStyle w:val="Encabezamientoopiedepgina1"/>
                              <w:i/>
                              <w:iCs/>
                              <w:noProof/>
                            </w:rPr>
                            <w:t>1</w:t>
                          </w:r>
                          <w:r>
                            <w:rPr>
                              <w:rStyle w:val="Encabezamientoopiedepgina1"/>
                              <w:i/>
                              <w:i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6pt;margin-top:796.9pt;width:5.85pt;height:12.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" filled="f" stroked="f">
              <v:textbox style="mso-fit-shape-to-text:t" inset="0,0,0,0">
                <w:txbxContent>
                  <w:p w:rsidR="00E771B7" w:rsidRDefault="004A3B16">
                    <w:pPr>
                      <w:pStyle w:val="Encabezamientoopiedepgina0"/>
                      <w:shd w:val="clear" w:color="auto" w:fill="auto"/>
                      <w:spacing w:line="240" w:lineRule="auto"/>
                    </w:pPr>
                    <w:r>
                      <w:fldChar w:fldCharType="begin"/>
                    </w:r>
                    <w:r>
                      <w:instrText xml:space="preserve"> PAGE \* MERGEFORMAT </w:instrText>
                    </w:r>
                    <w:r>
                      <w:fldChar w:fldCharType="separate"/>
                    </w:r>
                    <w:r w:rsidR="00EB37C0" w:rsidRPr="00EB37C0">
                      <w:rPr>
                        <w:rStyle w:val="Encabezamientoopiedepgina1"/>
                        <w:i/>
                        <w:iCs/>
                        <w:noProof/>
                      </w:rPr>
                      <w:t>1</w:t>
                    </w:r>
                    <w:r>
                      <w:rPr>
                        <w:rStyle w:val="Encabezamientoopiedepgina1"/>
                        <w:i/>
                        <w:i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B16" w:rsidRDefault="004A3B16">
      <w:r>
        <w:separator/>
      </w:r>
    </w:p>
  </w:footnote>
  <w:footnote w:type="continuationSeparator" w:id="0">
    <w:p w:rsidR="004A3B16" w:rsidRDefault="004A3B16">
      <w:r>
        <w:continuationSeparator/>
      </w:r>
    </w:p>
  </w:footnote>
  <w:footnote w:id="1">
    <w:p w:rsidR="00E771B7" w:rsidRDefault="004A3B16">
      <w:pPr>
        <w:pStyle w:val="Notaalpie20"/>
        <w:shd w:val="clear" w:color="auto" w:fill="auto"/>
      </w:pPr>
      <w:r>
        <w:footnoteRef/>
      </w:r>
    </w:p>
    <w:p w:rsidR="00E771B7" w:rsidRDefault="004A3B16">
      <w:pPr>
        <w:pStyle w:val="Notaalpie0"/>
        <w:shd w:val="clear" w:color="auto" w:fill="auto"/>
        <w:ind w:firstLine="180"/>
      </w:pPr>
      <w:r>
        <w:rPr>
          <w:rStyle w:val="Notaalpie105ptoSincursiva"/>
        </w:rPr>
        <w:t xml:space="preserve">Sentencia del Tribunal Supremo de 20 de febrero de 2001, “...la </w:t>
      </w:r>
      <w:r>
        <w:t xml:space="preserve">fecha que se tiene en cuenta para iniciar el cómputo de los intereses de demora es la de emisión de las certificaciones de obra..." </w:t>
      </w:r>
      <w:r>
        <w:rPr>
          <w:rStyle w:val="Notaalpie105ptoSincursiva"/>
        </w:rPr>
        <w:t>Sentencia</w:t>
      </w:r>
      <w:r>
        <w:rPr>
          <w:rStyle w:val="Notaalpie105ptoSincursiva"/>
        </w:rPr>
        <w:t xml:space="preserve"> del Tribunal Superior de Justicia de Valencia de 30 de abril de 2004, </w:t>
      </w:r>
      <w:r>
        <w:t>“.la Administración cuenta con un mes para aceptar o rechazar el objeto suministrado de forma total y parcial..."</w:t>
      </w:r>
    </w:p>
    <w:p w:rsidR="00E771B7" w:rsidRDefault="004A3B16">
      <w:pPr>
        <w:pStyle w:val="Notaalpie0"/>
        <w:shd w:val="clear" w:color="auto" w:fill="auto"/>
        <w:spacing w:after="0"/>
        <w:jc w:val="both"/>
      </w:pPr>
      <w:r>
        <w:rPr>
          <w:rStyle w:val="Notaalpie105ptoSincursiva"/>
        </w:rPr>
        <w:t>Uría Menéndez. Guía práctica de la nueva Ley de Contratos del Sector Pú</w:t>
      </w:r>
      <w:r>
        <w:rPr>
          <w:rStyle w:val="Notaalpie105ptoSincursiva"/>
        </w:rPr>
        <w:t xml:space="preserve">blico. Página 207 y siguientes &lt;&lt;El pago del precio y el devengo de intereses&gt;&gt;“La </w:t>
      </w:r>
      <w:r>
        <w:t xml:space="preserve">Administración debe efectuar el pago del precio en el plazo de 60 días, contados desde la expedición del documento o certificación que acredite la realización total o </w:t>
      </w:r>
      <w:r>
        <w:t>parcial del contrato</w:t>
      </w:r>
      <w:r>
        <w:rPr>
          <w:rStyle w:val="Notaalpie105ptoSincursiva"/>
        </w:rPr>
        <w:t xml:space="preserve">... </w:t>
      </w:r>
      <w:r>
        <w:t>La regla general es la exigencia de un acto formal en el que la Administración manifieste la conformidad y aceptación de las prestaciones realizadas. Sin perjuicio de ello, parece razonable afirmar que, salvo que los pliegos estable</w:t>
      </w:r>
      <w:r>
        <w:t>zcan un plazo más amplio, la Administración tiene 1 mes para valorar si se ha cumplido correctamente el contrato, y proceder a la aceptación o rechazo de la prestación. La aceptación y conformidad con las prestaciones se infiere del silencio de la Administ</w:t>
      </w:r>
      <w:r>
        <w:t>ración una vez transcurrido 1 mes desde la recepción de la prestación, pues de lo contrario quedaría en manos de la Administración retrasar la fecha a partir de la cual debe realizarse el pago del precio del contrato y se inicia el devengo de intereses:</w:t>
      </w:r>
      <w:r>
        <w:rPr>
          <w:rStyle w:val="Notaalpie105ptoSincursiva"/>
        </w:rPr>
        <w:t>”</w:t>
      </w:r>
    </w:p>
  </w:footnote>
  <w:footnote w:id="2">
    <w:p w:rsidR="00E771B7" w:rsidRDefault="004A3B16">
      <w:pPr>
        <w:pStyle w:val="Notaalpie30"/>
        <w:shd w:val="clear" w:color="auto" w:fill="auto"/>
      </w:pPr>
      <w:r>
        <w:footnoteRef/>
      </w:r>
    </w:p>
    <w:p w:rsidR="00E771B7" w:rsidRDefault="004A3B16">
      <w:pPr>
        <w:pStyle w:val="Notaalpie0"/>
        <w:shd w:val="clear" w:color="auto" w:fill="auto"/>
        <w:spacing w:after="0"/>
        <w:ind w:firstLine="220"/>
        <w:jc w:val="both"/>
      </w:pPr>
      <w:r>
        <w:rPr>
          <w:rStyle w:val="Notaalpie105ptoSincursiva"/>
        </w:rPr>
        <w:t xml:space="preserve">STS de 12 de septiembre de 2008 </w:t>
      </w:r>
      <w:r>
        <w:t>“...siendo el "dies ad quem" aquel en que efectivamente se satisfaga el justiprecio por la Administración expropiante o beneficiario al interesado”</w:t>
      </w:r>
    </w:p>
    <w:p w:rsidR="00E771B7" w:rsidRDefault="004A3B16">
      <w:pPr>
        <w:pStyle w:val="Notaalpie0"/>
        <w:shd w:val="clear" w:color="auto" w:fill="auto"/>
        <w:spacing w:after="0"/>
        <w:jc w:val="both"/>
      </w:pPr>
      <w:r>
        <w:rPr>
          <w:rStyle w:val="Notaalpie105ptoSincursiva"/>
        </w:rPr>
        <w:t xml:space="preserve">STS de 16 de octubre de 1 998 “. </w:t>
      </w:r>
      <w:r>
        <w:t xml:space="preserve">viniendo constituido el término final por </w:t>
      </w:r>
      <w:r>
        <w:t>el día en que se hizo efectivo el pago".</w:t>
      </w:r>
    </w:p>
    <w:p w:rsidR="00E771B7" w:rsidRDefault="004A3B16">
      <w:pPr>
        <w:pStyle w:val="Notaalpie0"/>
        <w:shd w:val="clear" w:color="auto" w:fill="auto"/>
        <w:spacing w:after="0"/>
        <w:jc w:val="both"/>
      </w:pPr>
      <w:r>
        <w:rPr>
          <w:rStyle w:val="Notaalpie105ptoSincursiva"/>
        </w:rPr>
        <w:t xml:space="preserve">STS de 19 de diciembre de 1989 “. </w:t>
      </w:r>
      <w:r>
        <w:t>«dies ad quem», representado por el momento de pago".</w:t>
      </w:r>
    </w:p>
  </w:footnote>
  <w:footnote w:id="3">
    <w:p w:rsidR="00E771B7" w:rsidRDefault="004A3B16">
      <w:pPr>
        <w:pStyle w:val="Notaalpie0"/>
        <w:shd w:val="clear" w:color="auto" w:fill="auto"/>
        <w:spacing w:after="0"/>
        <w:jc w:val="both"/>
      </w:pPr>
      <w:r>
        <w:rPr>
          <w:rStyle w:val="Notaalpie105ptoSincursiva"/>
          <w:vertAlign w:val="superscript"/>
        </w:rPr>
        <w:footnoteRef/>
      </w:r>
      <w:r>
        <w:rPr>
          <w:rStyle w:val="Notaalpie105ptoSincursiva"/>
        </w:rPr>
        <w:t xml:space="preserve"> STS de 2 de diciembre de 2008 </w:t>
      </w:r>
      <w:r>
        <w:t xml:space="preserve">“.condenando al Ayuntamiento de Málaga al pago de dicha cantidad, más los intereses de demora, </w:t>
      </w:r>
      <w:r>
        <w:t>con anatocismo, a contar desde la fecha en que recayó la sentencia del Tribunal Supremo que condenó al Ayuntamiento”.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40DCB"/>
    <w:multiLevelType w:val="multilevel"/>
    <w:tmpl w:val="9C12C542"/>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8F3ECE"/>
    <w:multiLevelType w:val="multilevel"/>
    <w:tmpl w:val="3EA4739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B7"/>
    <w:rsid w:val="004A3B16"/>
    <w:rsid w:val="00E771B7"/>
    <w:rsid w:val="00EB37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1E47D"/>
  <w15:docId w15:val="{E0CBD88C-471E-4533-9AE8-73F557A0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2">
    <w:name w:val="Nota al pie (2)_"/>
    <w:basedOn w:val="Fuentedeprrafopredeter"/>
    <w:link w:val="Notaalpie20"/>
    <w:rPr>
      <w:rFonts w:ascii="Arial" w:eastAsia="Arial" w:hAnsi="Arial" w:cs="Arial"/>
      <w:b w:val="0"/>
      <w:bCs w:val="0"/>
      <w:i w:val="0"/>
      <w:iCs w:val="0"/>
      <w:smallCaps w:val="0"/>
      <w:strike w:val="0"/>
      <w:sz w:val="8"/>
      <w:szCs w:val="8"/>
      <w:u w:val="none"/>
    </w:rPr>
  </w:style>
  <w:style w:type="character" w:customStyle="1" w:styleId="Notaalpie">
    <w:name w:val="Nota al pie_"/>
    <w:basedOn w:val="Fuentedeprrafopredeter"/>
    <w:link w:val="Notaalpie0"/>
    <w:rPr>
      <w:rFonts w:ascii="Arial" w:eastAsia="Arial" w:hAnsi="Arial" w:cs="Arial"/>
      <w:b w:val="0"/>
      <w:bCs w:val="0"/>
      <w:i/>
      <w:iCs/>
      <w:smallCaps w:val="0"/>
      <w:strike w:val="0"/>
      <w:sz w:val="20"/>
      <w:szCs w:val="20"/>
      <w:u w:val="none"/>
    </w:rPr>
  </w:style>
  <w:style w:type="character" w:customStyle="1" w:styleId="Notaalpie105ptoSincursiva">
    <w:name w:val="Nota al pie + 10;5 pto;Sin cursiva"/>
    <w:basedOn w:val="Notaalpie"/>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Notaalpie3">
    <w:name w:val="Nota al pie (3)_"/>
    <w:basedOn w:val="Fuentedeprrafopredeter"/>
    <w:link w:val="Notaalpie30"/>
    <w:rPr>
      <w:rFonts w:ascii="Arial" w:eastAsia="Arial" w:hAnsi="Arial" w:cs="Arial"/>
      <w:b w:val="0"/>
      <w:bCs w:val="0"/>
      <w:i w:val="0"/>
      <w:iCs w:val="0"/>
      <w:smallCaps w:val="0"/>
      <w:strike w:val="0"/>
      <w:sz w:val="21"/>
      <w:szCs w:val="21"/>
      <w:u w:val="none"/>
    </w:rPr>
  </w:style>
  <w:style w:type="character" w:customStyle="1" w:styleId="Cuerpodeltexto3">
    <w:name w:val="Cuerpo del texto (3)_"/>
    <w:basedOn w:val="Fuentedeprrafopredeter"/>
    <w:link w:val="Cuerpodeltexto30"/>
    <w:rPr>
      <w:rFonts w:ascii="Arial" w:eastAsia="Arial" w:hAnsi="Arial" w:cs="Arial"/>
      <w:b/>
      <w:bCs/>
      <w:i w:val="0"/>
      <w:iCs w:val="0"/>
      <w:smallCaps w:val="0"/>
      <w:strike w:val="0"/>
      <w:sz w:val="22"/>
      <w:szCs w:val="22"/>
      <w:u w:val="none"/>
    </w:rPr>
  </w:style>
  <w:style w:type="character" w:customStyle="1" w:styleId="Encabezamientoopiedepgina">
    <w:name w:val="Encabezamiento o pie de página_"/>
    <w:basedOn w:val="Fuentedeprrafopredeter"/>
    <w:link w:val="Encabezamientoopiedepgina0"/>
    <w:rPr>
      <w:rFonts w:ascii="Arial" w:eastAsia="Arial" w:hAnsi="Arial" w:cs="Arial"/>
      <w:b w:val="0"/>
      <w:bCs w:val="0"/>
      <w:i/>
      <w:iCs/>
      <w:smallCaps w:val="0"/>
      <w:strike w:val="0"/>
      <w:sz w:val="21"/>
      <w:szCs w:val="21"/>
      <w:u w:val="none"/>
    </w:rPr>
  </w:style>
  <w:style w:type="character" w:customStyle="1" w:styleId="Encabezamientoopiedepgina1">
    <w:name w:val="Encabezamiento o pie de página"/>
    <w:basedOn w:val="Encabezamientoopiedepgina"/>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Cuerpodeltexto2">
    <w:name w:val="Cuerpo del texto (2)_"/>
    <w:basedOn w:val="Fuentedeprrafopredeter"/>
    <w:link w:val="Cuerpodeltexto20"/>
    <w:rPr>
      <w:rFonts w:ascii="Arial" w:eastAsia="Arial" w:hAnsi="Arial" w:cs="Arial"/>
      <w:b w:val="0"/>
      <w:bCs w:val="0"/>
      <w:i w:val="0"/>
      <w:iCs w:val="0"/>
      <w:smallCaps w:val="0"/>
      <w:strike w:val="0"/>
      <w:sz w:val="21"/>
      <w:szCs w:val="21"/>
      <w:u w:val="none"/>
    </w:rPr>
  </w:style>
  <w:style w:type="character" w:customStyle="1" w:styleId="Ttulo12">
    <w:name w:val="Título #1 (2)_"/>
    <w:basedOn w:val="Fuentedeprrafopredeter"/>
    <w:link w:val="Ttulo120"/>
    <w:rPr>
      <w:rFonts w:ascii="Arial" w:eastAsia="Arial" w:hAnsi="Arial" w:cs="Arial"/>
      <w:b/>
      <w:bCs/>
      <w:i w:val="0"/>
      <w:iCs w:val="0"/>
      <w:smallCaps w:val="0"/>
      <w:strike w:val="0"/>
      <w:sz w:val="20"/>
      <w:szCs w:val="20"/>
      <w:u w:val="none"/>
    </w:rPr>
  </w:style>
  <w:style w:type="character" w:customStyle="1" w:styleId="Cuerpodeltexto210ptoCursiva">
    <w:name w:val="Cuerpo del texto (2) + 10 pto;Cursiva"/>
    <w:basedOn w:val="Cuerpodeltexto2"/>
    <w:rPr>
      <w:rFonts w:ascii="Arial" w:eastAsia="Arial" w:hAnsi="Arial" w:cs="Arial"/>
      <w:b w:val="0"/>
      <w:bCs w:val="0"/>
      <w:i/>
      <w:iCs/>
      <w:smallCaps w:val="0"/>
      <w:strike w:val="0"/>
      <w:color w:val="000000"/>
      <w:spacing w:val="0"/>
      <w:w w:val="100"/>
      <w:position w:val="0"/>
      <w:sz w:val="20"/>
      <w:szCs w:val="20"/>
      <w:u w:val="none"/>
      <w:lang w:val="es-ES" w:eastAsia="es-ES" w:bidi="es-ES"/>
    </w:rPr>
  </w:style>
  <w:style w:type="character" w:customStyle="1" w:styleId="Cuerpodeltexto4">
    <w:name w:val="Cuerpo del texto (4)_"/>
    <w:basedOn w:val="Fuentedeprrafopredeter"/>
    <w:link w:val="Cuerpodeltexto40"/>
    <w:rPr>
      <w:rFonts w:ascii="Arial" w:eastAsia="Arial" w:hAnsi="Arial" w:cs="Arial"/>
      <w:b w:val="0"/>
      <w:bCs w:val="0"/>
      <w:i/>
      <w:iCs/>
      <w:smallCaps w:val="0"/>
      <w:strike w:val="0"/>
      <w:sz w:val="20"/>
      <w:szCs w:val="20"/>
      <w:u w:val="none"/>
    </w:rPr>
  </w:style>
  <w:style w:type="character" w:customStyle="1" w:styleId="Cuerpodeltexto4105ptoSincursiva">
    <w:name w:val="Cuerpo del texto (4) + 10;5 pto;Sin cursiva"/>
    <w:basedOn w:val="Cuerpodeltexto4"/>
    <w:rPr>
      <w:rFonts w:ascii="Arial" w:eastAsia="Arial" w:hAnsi="Arial" w:cs="Arial"/>
      <w:b w:val="0"/>
      <w:bCs w:val="0"/>
      <w:i/>
      <w:iCs/>
      <w:smallCaps w:val="0"/>
      <w:strike w:val="0"/>
      <w:color w:val="000000"/>
      <w:spacing w:val="0"/>
      <w:w w:val="100"/>
      <w:position w:val="0"/>
      <w:sz w:val="21"/>
      <w:szCs w:val="21"/>
      <w:u w:val="none"/>
      <w:lang w:val="es-ES" w:eastAsia="es-ES" w:bidi="es-ES"/>
    </w:rPr>
  </w:style>
  <w:style w:type="character" w:customStyle="1" w:styleId="Cuerpodeltexto41">
    <w:name w:val="Cuerpo del texto (4)"/>
    <w:basedOn w:val="Cuerpodeltexto4"/>
    <w:rPr>
      <w:rFonts w:ascii="Arial" w:eastAsia="Arial" w:hAnsi="Arial" w:cs="Arial"/>
      <w:b w:val="0"/>
      <w:bCs w:val="0"/>
      <w:i/>
      <w:iCs/>
      <w:smallCaps w:val="0"/>
      <w:strike w:val="0"/>
      <w:color w:val="000000"/>
      <w:spacing w:val="0"/>
      <w:w w:val="100"/>
      <w:position w:val="0"/>
      <w:sz w:val="20"/>
      <w:szCs w:val="20"/>
      <w:u w:val="single"/>
      <w:lang w:val="es-ES" w:eastAsia="es-ES" w:bidi="es-ES"/>
    </w:rPr>
  </w:style>
  <w:style w:type="character" w:customStyle="1" w:styleId="Ttulo1">
    <w:name w:val="Título #1_"/>
    <w:basedOn w:val="Fuentedeprrafopredeter"/>
    <w:link w:val="Ttulo10"/>
    <w:rPr>
      <w:rFonts w:ascii="Arial" w:eastAsia="Arial" w:hAnsi="Arial" w:cs="Arial"/>
      <w:b/>
      <w:bCs/>
      <w:i w:val="0"/>
      <w:iCs w:val="0"/>
      <w:smallCaps w:val="0"/>
      <w:strike w:val="0"/>
      <w:sz w:val="22"/>
      <w:szCs w:val="22"/>
      <w:u w:val="none"/>
    </w:rPr>
  </w:style>
  <w:style w:type="paragraph" w:customStyle="1" w:styleId="Notaalpie20">
    <w:name w:val="Nota al pie (2)"/>
    <w:basedOn w:val="Normal"/>
    <w:link w:val="Notaalpie2"/>
    <w:pPr>
      <w:shd w:val="clear" w:color="auto" w:fill="FFFFFF"/>
      <w:spacing w:line="90" w:lineRule="exact"/>
    </w:pPr>
    <w:rPr>
      <w:rFonts w:ascii="Arial" w:eastAsia="Arial" w:hAnsi="Arial" w:cs="Arial"/>
      <w:sz w:val="8"/>
      <w:szCs w:val="8"/>
    </w:rPr>
  </w:style>
  <w:style w:type="paragraph" w:customStyle="1" w:styleId="Notaalpie0">
    <w:name w:val="Nota al pie"/>
    <w:basedOn w:val="Normal"/>
    <w:link w:val="Notaalpie"/>
    <w:pPr>
      <w:shd w:val="clear" w:color="auto" w:fill="FFFFFF"/>
      <w:spacing w:after="240" w:line="226" w:lineRule="exact"/>
    </w:pPr>
    <w:rPr>
      <w:rFonts w:ascii="Arial" w:eastAsia="Arial" w:hAnsi="Arial" w:cs="Arial"/>
      <w:i/>
      <w:iCs/>
      <w:sz w:val="20"/>
      <w:szCs w:val="20"/>
    </w:rPr>
  </w:style>
  <w:style w:type="paragraph" w:customStyle="1" w:styleId="Notaalpie30">
    <w:name w:val="Nota al pie (3)"/>
    <w:basedOn w:val="Normal"/>
    <w:link w:val="Notaalpie3"/>
    <w:pPr>
      <w:shd w:val="clear" w:color="auto" w:fill="FFFFFF"/>
      <w:spacing w:line="234" w:lineRule="exact"/>
      <w:jc w:val="both"/>
    </w:pPr>
    <w:rPr>
      <w:rFonts w:ascii="Arial" w:eastAsia="Arial" w:hAnsi="Arial" w:cs="Arial"/>
      <w:sz w:val="21"/>
      <w:szCs w:val="21"/>
    </w:rPr>
  </w:style>
  <w:style w:type="paragraph" w:customStyle="1" w:styleId="Cuerpodeltexto30">
    <w:name w:val="Cuerpo del texto (3)"/>
    <w:basedOn w:val="Normal"/>
    <w:link w:val="Cuerpodeltexto3"/>
    <w:pPr>
      <w:shd w:val="clear" w:color="auto" w:fill="FFFFFF"/>
      <w:spacing w:after="240" w:line="250" w:lineRule="exact"/>
      <w:jc w:val="both"/>
    </w:pPr>
    <w:rPr>
      <w:rFonts w:ascii="Arial" w:eastAsia="Arial" w:hAnsi="Arial" w:cs="Arial"/>
      <w:b/>
      <w:bCs/>
      <w:sz w:val="22"/>
      <w:szCs w:val="22"/>
    </w:rPr>
  </w:style>
  <w:style w:type="paragraph" w:customStyle="1" w:styleId="Encabezamientoopiedepgina0">
    <w:name w:val="Encabezamiento o pie de página"/>
    <w:basedOn w:val="Normal"/>
    <w:link w:val="Encabezamientoopiedepgina"/>
    <w:pPr>
      <w:shd w:val="clear" w:color="auto" w:fill="FFFFFF"/>
      <w:spacing w:line="234" w:lineRule="exact"/>
    </w:pPr>
    <w:rPr>
      <w:rFonts w:ascii="Arial" w:eastAsia="Arial" w:hAnsi="Arial" w:cs="Arial"/>
      <w:i/>
      <w:iCs/>
      <w:sz w:val="21"/>
      <w:szCs w:val="21"/>
    </w:rPr>
  </w:style>
  <w:style w:type="paragraph" w:customStyle="1" w:styleId="Cuerpodeltexto20">
    <w:name w:val="Cuerpo del texto (2)"/>
    <w:basedOn w:val="Normal"/>
    <w:link w:val="Cuerpodeltexto2"/>
    <w:pPr>
      <w:shd w:val="clear" w:color="auto" w:fill="FFFFFF"/>
      <w:spacing w:before="240" w:after="240" w:line="240" w:lineRule="exact"/>
      <w:ind w:hanging="400"/>
      <w:jc w:val="both"/>
    </w:pPr>
    <w:rPr>
      <w:rFonts w:ascii="Arial" w:eastAsia="Arial" w:hAnsi="Arial" w:cs="Arial"/>
      <w:sz w:val="21"/>
      <w:szCs w:val="21"/>
    </w:rPr>
  </w:style>
  <w:style w:type="paragraph" w:customStyle="1" w:styleId="Ttulo120">
    <w:name w:val="Título #1 (2)"/>
    <w:basedOn w:val="Normal"/>
    <w:link w:val="Ttulo12"/>
    <w:pPr>
      <w:shd w:val="clear" w:color="auto" w:fill="FFFFFF"/>
      <w:spacing w:before="240" w:after="240" w:line="224" w:lineRule="exact"/>
      <w:jc w:val="center"/>
      <w:outlineLvl w:val="0"/>
    </w:pPr>
    <w:rPr>
      <w:rFonts w:ascii="Arial" w:eastAsia="Arial" w:hAnsi="Arial" w:cs="Arial"/>
      <w:b/>
      <w:bCs/>
      <w:sz w:val="20"/>
      <w:szCs w:val="20"/>
    </w:rPr>
  </w:style>
  <w:style w:type="paragraph" w:customStyle="1" w:styleId="Cuerpodeltexto40">
    <w:name w:val="Cuerpo del texto (4)"/>
    <w:basedOn w:val="Normal"/>
    <w:link w:val="Cuerpodeltexto4"/>
    <w:pPr>
      <w:shd w:val="clear" w:color="auto" w:fill="FFFFFF"/>
      <w:spacing w:before="240" w:line="240" w:lineRule="exact"/>
      <w:ind w:hanging="360"/>
      <w:jc w:val="both"/>
    </w:pPr>
    <w:rPr>
      <w:rFonts w:ascii="Arial" w:eastAsia="Arial" w:hAnsi="Arial" w:cs="Arial"/>
      <w:i/>
      <w:iCs/>
      <w:sz w:val="20"/>
      <w:szCs w:val="20"/>
    </w:rPr>
  </w:style>
  <w:style w:type="paragraph" w:customStyle="1" w:styleId="Ttulo10">
    <w:name w:val="Título #1"/>
    <w:basedOn w:val="Normal"/>
    <w:link w:val="Ttulo1"/>
    <w:pPr>
      <w:shd w:val="clear" w:color="auto" w:fill="FFFFFF"/>
      <w:spacing w:before="240" w:after="240" w:line="246" w:lineRule="exact"/>
      <w:jc w:val="center"/>
      <w:outlineLvl w:val="0"/>
    </w:pPr>
    <w:rPr>
      <w:rFonts w:ascii="Arial" w:eastAsia="Arial" w:hAnsi="Arial" w:cs="Arial"/>
      <w:b/>
      <w:bCs/>
      <w:sz w:val="22"/>
      <w:szCs w:val="22"/>
    </w:rPr>
  </w:style>
  <w:style w:type="paragraph" w:styleId="NormalWeb">
    <w:name w:val="Normal (Web)"/>
    <w:basedOn w:val="Normal"/>
    <w:uiPriority w:val="99"/>
    <w:semiHidden/>
    <w:unhideWhenUsed/>
    <w:rsid w:val="00EB37C0"/>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7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C4D9C-0471-48E3-9DCD-1B2EE2F2D27B}"/>
</file>

<file path=customXml/itemProps2.xml><?xml version="1.0" encoding="utf-8"?>
<ds:datastoreItem xmlns:ds="http://schemas.openxmlformats.org/officeDocument/2006/customXml" ds:itemID="{F04F8250-1866-4000-851C-7A3DC6EE2F66}"/>
</file>

<file path=customXml/itemProps3.xml><?xml version="1.0" encoding="utf-8"?>
<ds:datastoreItem xmlns:ds="http://schemas.openxmlformats.org/officeDocument/2006/customXml" ds:itemID="{428EAE84-6657-48D9-805A-4AAB08D07B3C}"/>
</file>

<file path=docProps/app.xml><?xml version="1.0" encoding="utf-8"?>
<Properties xmlns="http://schemas.openxmlformats.org/officeDocument/2006/extended-properties" xmlns:vt="http://schemas.openxmlformats.org/officeDocument/2006/docPropsVTypes">
  <Template>Normal.dotm</Template>
  <TotalTime>2</TotalTime>
  <Pages>5</Pages>
  <Words>2483</Words>
  <Characters>13659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CRESPO ASENJO,PILAR</cp:lastModifiedBy>
  <cp:revision>1</cp:revision>
  <dcterms:created xsi:type="dcterms:W3CDTF">2020-10-19T11:37:00Z</dcterms:created>
  <dcterms:modified xsi:type="dcterms:W3CDTF">2020-10-19T11:39:00Z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