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E4" w:rsidRDefault="00B028F9">
      <w:pPr>
        <w:pStyle w:val="Cuerpodeltexto30"/>
        <w:shd w:val="clear" w:color="auto" w:fill="auto"/>
        <w:spacing w:after="248"/>
        <w:ind w:firstLine="0"/>
        <w:rPr>
          <w:b/>
        </w:rPr>
      </w:pPr>
      <w:r w:rsidRPr="00FF1B2E">
        <w:rPr>
          <w:b/>
        </w:rPr>
        <w:t>INFORME DE LA INTERVENCIÓN GENERAL DE LA COMUNIDAD DE MADRID DE 26 DE FEBRERO DE 2009. CONTRATOS. PRECIO DEL CONTRATO DE OBRA. POSIBILIDAD DE INCLUIR PARTIDAS ALZADAS EN EL PRESUPUESTO CUANDO LA RETRIBUCIÓN SE EFECTÚA MEDIANTE PRECIOS UNITARIOS.</w:t>
      </w:r>
    </w:p>
    <w:p w:rsidR="00FF1B2E" w:rsidRDefault="00FF1B2E" w:rsidP="00FF1B2E">
      <w:pPr>
        <w:pStyle w:val="NormalWeb"/>
        <w:spacing w:before="0" w:beforeAutospacing="0" w:after="0" w:afterAutospacing="0"/>
        <w:rPr>
          <w:rFonts w:ascii="Arial" w:hAnsi="Arial" w:cs="Arial"/>
          <w:sz w:val="22"/>
          <w:szCs w:val="22"/>
        </w:rPr>
      </w:pPr>
      <w:r>
        <w:rPr>
          <w:rFonts w:ascii="Arial" w:hAnsi="Arial" w:cs="Arial"/>
          <w:b/>
          <w:bCs/>
          <w:sz w:val="22"/>
          <w:szCs w:val="22"/>
        </w:rPr>
        <w:t>Modalidad de informe: Informe general.</w:t>
      </w:r>
    </w:p>
    <w:p w:rsidR="00FF1B2E" w:rsidRDefault="00FF1B2E" w:rsidP="00FF1B2E">
      <w:pPr>
        <w:pStyle w:val="NormalWeb"/>
        <w:spacing w:before="0" w:beforeAutospacing="0" w:after="0" w:afterAutospacing="0"/>
        <w:rPr>
          <w:rFonts w:ascii="Arial" w:hAnsi="Arial" w:cs="Arial"/>
          <w:sz w:val="22"/>
          <w:szCs w:val="22"/>
        </w:rPr>
      </w:pPr>
      <w:r>
        <w:rPr>
          <w:rFonts w:ascii="Arial" w:hAnsi="Arial" w:cs="Arial"/>
          <w:b/>
          <w:bCs/>
          <w:sz w:val="22"/>
          <w:szCs w:val="22"/>
        </w:rPr>
        <w:t>Área temática: Contratación.</w:t>
      </w:r>
    </w:p>
    <w:p w:rsidR="00FF1B2E" w:rsidRDefault="00FF1B2E" w:rsidP="00FF1B2E">
      <w:pPr>
        <w:pStyle w:val="Cuerpodeltexto30"/>
        <w:shd w:val="clear" w:color="auto" w:fill="auto"/>
        <w:spacing w:after="248"/>
        <w:ind w:firstLine="0"/>
        <w:rPr>
          <w:b/>
        </w:rPr>
      </w:pPr>
      <w:r>
        <w:rPr>
          <w:b/>
          <w:bCs/>
          <w:sz w:val="22"/>
          <w:szCs w:val="22"/>
        </w:rPr>
        <w:t>Informe vigente.</w:t>
      </w:r>
    </w:p>
    <w:p w:rsidR="008F55E4" w:rsidRDefault="00B028F9">
      <w:pPr>
        <w:pStyle w:val="Cuerpodeltexto30"/>
        <w:shd w:val="clear" w:color="auto" w:fill="auto"/>
        <w:spacing w:after="232" w:line="240" w:lineRule="exact"/>
        <w:ind w:firstLine="0"/>
      </w:pPr>
      <w:bookmarkStart w:id="0" w:name="_GoBack"/>
      <w:bookmarkEnd w:id="0"/>
      <w:r>
        <w:t xml:space="preserve">Ante las </w:t>
      </w:r>
      <w:r>
        <w:t>diversas consultas planteadas, esta Intervención General expresa su criterio sobre la procedencia de incluir partidas alzadas en el presupuesto de obras cuando la valoración y abono de las mismas, se efectúa, con carácter general, mediante precios unitario</w:t>
      </w:r>
      <w:r>
        <w:t>s.</w:t>
      </w:r>
    </w:p>
    <w:p w:rsidR="008F55E4" w:rsidRDefault="00B028F9">
      <w:pPr>
        <w:pStyle w:val="Cuerpodeltexto30"/>
        <w:shd w:val="clear" w:color="auto" w:fill="auto"/>
        <w:ind w:firstLine="0"/>
      </w:pPr>
      <w:r>
        <w:t>La cuestión fundamental a dilucidar es la de si el precio del contrato y, por ende, el denominado presupuesto de ejecución material ha de estar compuesto únicamente por precios unitarios o por partidas alzadas, o si por el contrario puede estar integrad</w:t>
      </w:r>
      <w:r>
        <w:t>o por la combinación de ambos elementos. Asimismo, debe analizarse la forma de abono de las denominadas partidas alzadas, si la hubiere.</w:t>
      </w:r>
    </w:p>
    <w:p w:rsidR="008F55E4" w:rsidRDefault="00B028F9">
      <w:pPr>
        <w:pStyle w:val="Cuerpodeltexto30"/>
        <w:shd w:val="clear" w:color="auto" w:fill="auto"/>
        <w:ind w:firstLine="0"/>
      </w:pPr>
      <w:r>
        <w:t>El análisis de la cuestión que se plantea debe comenzar con el estudio del régimen jurídico del precio en los contratos</w:t>
      </w:r>
      <w:r>
        <w:t xml:space="preserve"> administrativos.</w:t>
      </w:r>
    </w:p>
    <w:p w:rsidR="008F55E4" w:rsidRDefault="00B028F9">
      <w:pPr>
        <w:pStyle w:val="Cuerpodeltexto30"/>
        <w:shd w:val="clear" w:color="auto" w:fill="auto"/>
        <w:ind w:firstLine="0"/>
      </w:pPr>
      <w:r>
        <w:t xml:space="preserve">La obligación de certeza del precio viene exigida por el artículo 1445 del Código Civil de 24 de julio de 1889, para los contratos de compraventa, y resulta aplicable con carácter general a todos aquellos contratos en los que se pretende </w:t>
      </w:r>
      <w:r>
        <w:t>la adquisición de una cosa mediante el pago del precio.</w:t>
      </w:r>
    </w:p>
    <w:p w:rsidR="008F55E4" w:rsidRDefault="00B028F9">
      <w:pPr>
        <w:pStyle w:val="Cuerpodeltexto30"/>
        <w:shd w:val="clear" w:color="auto" w:fill="auto"/>
        <w:ind w:firstLine="0"/>
      </w:pPr>
      <w:r>
        <w:t>Los contratos administrativos no escapan a la anterior obligación. Así, el Real Decreto Legislativo 2/2000, de 16 de junio, por el que se aprueba el Texto Refundido de la Ley de Contratos de las Admin</w:t>
      </w:r>
      <w:r>
        <w:t xml:space="preserve">istraciones Públicas (en adelante TRLCAP), establecía en su artículo 14.1 que “Los </w:t>
      </w:r>
      <w:r>
        <w:rPr>
          <w:rStyle w:val="Cuerpodeltexto311ptoCursiva"/>
        </w:rPr>
        <w:t>contratos tendrán siempre un precio cierto, que se expresará en moneda nacional, sin perjuicio de lo dispuesto en la disposición transitoria octava, y se abonará al contrati</w:t>
      </w:r>
      <w:r>
        <w:rPr>
          <w:rStyle w:val="Cuerpodeltexto311ptoCursiva"/>
        </w:rPr>
        <w:t>sta en función de la prestación realmente efectuada y de acuerdo con lo convenido”.</w:t>
      </w:r>
    </w:p>
    <w:p w:rsidR="008F55E4" w:rsidRDefault="00B028F9">
      <w:pPr>
        <w:pStyle w:val="Cuerpodeltexto20"/>
        <w:shd w:val="clear" w:color="auto" w:fill="auto"/>
        <w:spacing w:before="0"/>
        <w:ind w:firstLine="0"/>
      </w:pPr>
      <w:r>
        <w:rPr>
          <w:rStyle w:val="Cuerpodeltexto2105ptoSincursiva"/>
        </w:rPr>
        <w:t>La vigente Ley 30/2007, de 30 de octubre, de Contratos del Sector Público (en adelante LCSP), recoge la exigencia de certidumbre del precio, añadiendo que el mismo debe ser</w:t>
      </w:r>
      <w:r>
        <w:rPr>
          <w:rStyle w:val="Cuerpodeltexto2105ptoSincursiva"/>
        </w:rPr>
        <w:t xml:space="preserve"> adecuado para garantizar el efectivo cumplimiento del contrato, y debe atender al precio general del mercado. De esta forma, el artículo 75.1 de la LCSP dice que: </w:t>
      </w:r>
      <w:r>
        <w:t>“En los contratos del sector público, la retribución del contratista consistirá en un precio</w:t>
      </w:r>
      <w:r>
        <w:t xml:space="preserve"> cierto que deberá expresarse en euros, sin perjuicio de que su pago pueda hacerse mediante la entrega de otras contraprestaciones en los casos en que ésta u otras Leyes así lo prevean. Los órganos de contratación cuidarán de que el precio sea adecuado par</w:t>
      </w:r>
      <w:r>
        <w:t>a el efectivo cumplimiento del contrato mediante la correcta estimación de su importe, atendiendo al precio general de mercado, en el momento de fijar el presupuesto de licitación y la aplicación, en su caso, de las normas sobre ofertas con valores anormal</w:t>
      </w:r>
      <w:r>
        <w:t>es o desproporcionados”.</w:t>
      </w:r>
    </w:p>
    <w:p w:rsidR="008F55E4" w:rsidRDefault="00B028F9">
      <w:pPr>
        <w:pStyle w:val="Cuerpodeltexto20"/>
        <w:shd w:val="clear" w:color="auto" w:fill="auto"/>
        <w:spacing w:before="0" w:after="0"/>
        <w:ind w:firstLine="0"/>
      </w:pPr>
      <w:r>
        <w:rPr>
          <w:rStyle w:val="Cuerpodeltexto2105ptoSincursiva"/>
        </w:rPr>
        <w:t xml:space="preserve">En todo, la norma fundamental, que debe analizarse, para la resolución de la cuestión que se trata en este informe, es la contenida en el artículo 216 de la LCSP: </w:t>
      </w:r>
      <w:r>
        <w:t xml:space="preserve">“Cuando la naturaleza de la obra lo permita, se podrá establecer el </w:t>
      </w:r>
      <w:r>
        <w:t>sistema de retribución a tanto alzado, sin existencia de precios unitarios, de acuerdo con lo establecido en los apartados siguientes cuando el criterio de retribución se configure como de precio cerrado o en las circunstancias y condiciones que se determi</w:t>
      </w:r>
      <w:r>
        <w:t>nen en las normas de desarrollo de esta Ley para el resto de los casos”.</w:t>
      </w:r>
      <w:r>
        <w:rPr>
          <w:rStyle w:val="Cuerpodeltexto2105ptoSincursiva"/>
        </w:rPr>
        <w:t xml:space="preserve"> Como puede verse, la LCSP ha abandonado el criterio tradicional de la legislación del contrato de obras, donde la determinación del precio a tanto alzado sólo se admitía de manera exc</w:t>
      </w:r>
      <w:r>
        <w:rPr>
          <w:rStyle w:val="Cuerpodeltexto2105ptoSincursiva"/>
        </w:rPr>
        <w:t xml:space="preserve">epcional para los contratos de obras (el artículo 126 del TRLCAP decía que </w:t>
      </w:r>
      <w:r>
        <w:t>“</w:t>
      </w:r>
      <w:r>
        <w:rPr>
          <w:rStyle w:val="Cuerpodeltexto21"/>
          <w:i/>
          <w:iCs/>
        </w:rPr>
        <w:t>excepcionalmente,</w:t>
      </w:r>
      <w:r>
        <w:t xml:space="preserve"> cuando la naturaleza de la obra lo permita, se podrá establecer el sistema de retribución a tanto alzado, sin existencia de precios unitarios, en las circunstanci</w:t>
      </w:r>
      <w:r>
        <w:t>as y condiciones que reglamentariamente se determinen”.</w:t>
      </w:r>
    </w:p>
    <w:p w:rsidR="00FF1B2E" w:rsidRDefault="00FF1B2E">
      <w:pPr>
        <w:pStyle w:val="Cuerpodeltexto20"/>
        <w:shd w:val="clear" w:color="auto" w:fill="auto"/>
        <w:spacing w:before="0" w:after="0"/>
        <w:ind w:firstLine="0"/>
      </w:pPr>
    </w:p>
    <w:p w:rsidR="008F55E4" w:rsidRDefault="00B028F9">
      <w:pPr>
        <w:pStyle w:val="Cuerpodeltexto30"/>
        <w:shd w:val="clear" w:color="auto" w:fill="auto"/>
        <w:spacing w:after="260"/>
        <w:ind w:firstLine="0"/>
      </w:pPr>
      <w:r>
        <w:lastRenderedPageBreak/>
        <w:t xml:space="preserve">El Código Civil se refiere al concepto «precio alzado» con ocasión de la regulación del contrato de compra y venta (artículos 1445-1537); en concreto, el artículo 1471 del Código Civil establece que </w:t>
      </w:r>
      <w:r>
        <w:rPr>
          <w:rStyle w:val="Cuerpodeltexto311ptoCursiva"/>
        </w:rPr>
        <w:t>“</w:t>
      </w:r>
      <w:r>
        <w:rPr>
          <w:rStyle w:val="Cuerpodeltexto311ptoCursiva"/>
        </w:rPr>
        <w:t xml:space="preserve">En la venta de un inmueble, hecha por precio alzado y no a razón de un tanto por unidad de medida o número, no tendrá lugar el aumento o disminución del mismo, aunque resulte mayor o menor cabida o número de los expresados en el contrato”. </w:t>
      </w:r>
      <w:r>
        <w:t>Paralelamente, l</w:t>
      </w:r>
      <w:r>
        <w:t>a jurisprudencia civil ha abordado desde antiguo el concepto de «venta a precio alzado», sinónimo de «venta a cuerpo cierto». Así, establece la Sentencia del Tribunal Supremo de 26 de junio de 1956, mencionada en la de 29 de mayo de 2000 (RJ 2000, 3921), e</w:t>
      </w:r>
      <w:r>
        <w:t xml:space="preserve">ntre otras muchas, que </w:t>
      </w:r>
      <w:r>
        <w:rPr>
          <w:rStyle w:val="Cuerpodeltexto311ptoCursiva"/>
        </w:rPr>
        <w:t>“la venta a cuerpo cierto indudablemente se verifica cuando en el contrato no sólo no es precisado el precio singular por unidad de medida, sino que tampoco son indicadas las dimensiones globales del inmueble".</w:t>
      </w:r>
      <w:r>
        <w:t xml:space="preserve"> Igualmente, la Sentenc</w:t>
      </w:r>
      <w:r>
        <w:t xml:space="preserve">ia del Tribunal Supremo de 7 de diciembre de 2006 dice que </w:t>
      </w:r>
      <w:r>
        <w:rPr>
          <w:rStyle w:val="Cuerpodeltexto311ptoCursiva"/>
        </w:rPr>
        <w:t>“...habida cuenta que las viviendas vendidas lo fueron como cuerpo cierto y por precio alzado, y no a razón de un tanto por unidad de medida o número, de manera que, conforme a lo previsto en el se</w:t>
      </w:r>
      <w:r>
        <w:rPr>
          <w:rStyle w:val="Cuerpodeltexto311ptoCursiva"/>
        </w:rPr>
        <w:t>ñalado artículo (1471</w:t>
      </w:r>
      <w:r>
        <w:t xml:space="preserve"> del Código Civil), </w:t>
      </w:r>
      <w:r>
        <w:rPr>
          <w:rStyle w:val="Cuerpodeltexto311ptoCursiva"/>
        </w:rPr>
        <w:t>no ha de tener lugar el aumento o disminución del precio, aunque resulte mayor o menor cabida o número de los expresados en el contrato”.</w:t>
      </w:r>
      <w:r>
        <w:t xml:space="preserve"> Y, en definitiva, es profusa la doctrina jurisprudencial que se refiere a la </w:t>
      </w:r>
      <w:r>
        <w:t xml:space="preserve">venta a precio alzado (25 febrero y 24 abril 1997, 25 julio 1998, 18 junio 1999, 21 julio y 5 diciembre 2000 y 31 enero 2001), estableciendo que en los supuestos de venta a precio alzado la diferencia de cabida del objeto comprado resulta irrelevante, por </w:t>
      </w:r>
      <w:r>
        <w:t>lo que ninguna trascendencia económica derivado de ello puede tener para el vendedor.</w:t>
      </w:r>
    </w:p>
    <w:p w:rsidR="008F55E4" w:rsidRDefault="00B028F9">
      <w:pPr>
        <w:pStyle w:val="Cuerpodeltexto20"/>
        <w:shd w:val="clear" w:color="auto" w:fill="auto"/>
        <w:spacing w:before="0" w:after="260"/>
        <w:ind w:firstLine="0"/>
      </w:pPr>
      <w:r>
        <w:rPr>
          <w:rStyle w:val="Cuerpodeltexto2105ptoSincursiva"/>
        </w:rPr>
        <w:t>En desarrollo del artículo 126 del TRLCAP el artículo 120.1 (vigente en tanto en cuanto no se oponga a la LCSP) del Real Decreto 1098/2001, de 12 de octubre, por el que s</w:t>
      </w:r>
      <w:r>
        <w:rPr>
          <w:rStyle w:val="Cuerpodeltexto2105ptoSincursiva"/>
        </w:rPr>
        <w:t>e aprueba el Reglamento de la Ley de Contratos de las Administraciones Públicos (en adelante RLCAP), dispone que “</w:t>
      </w:r>
      <w:r>
        <w:t>Excepcionalmente en los contratos de obras podrá utilizarse el sistema de retribución a tanto alzado, previa justificación de su necesidad por</w:t>
      </w:r>
      <w:r>
        <w:t xml:space="preserve"> el órgano de contratación, cuando no puedan establecerse precios unitarios para partidas que sumen más del 80 % del importe del presupuesto”.</w:t>
      </w:r>
    </w:p>
    <w:p w:rsidR="008F55E4" w:rsidRDefault="00B028F9" w:rsidP="00FF1B2E">
      <w:pPr>
        <w:pStyle w:val="Cuerpodeltexto20"/>
        <w:shd w:val="clear" w:color="auto" w:fill="auto"/>
        <w:spacing w:before="0" w:after="0"/>
        <w:ind w:firstLine="0"/>
      </w:pPr>
      <w:r>
        <w:rPr>
          <w:rStyle w:val="Cuerpodeltexto2105ptoSincursiva"/>
        </w:rPr>
        <w:t>A su vez, el artículo 127 del RLCAP, en relación con la memoria que debe acompañar a los proyectos de obra establ</w:t>
      </w:r>
      <w:r>
        <w:rPr>
          <w:rStyle w:val="Cuerpodeltexto2105ptoSincursiva"/>
        </w:rPr>
        <w:t xml:space="preserve">ece que: </w:t>
      </w:r>
      <w:r>
        <w:t xml:space="preserve">“Serán factores a considerar en la memoria los económicos, sociales, administrativos y estéticos, así como las justificaciones de la solución adoptada en sus aspectos técnico funcional y económico y de las características de todas las unidades de </w:t>
      </w:r>
      <w:r>
        <w:t>obra proyectadas. Se indicarán en ella los antecedentes y situaciones previas de las obras, métodos de cálculo y ensayos efectuados, cuyos detalles y desarrollo se incluirán en anexos separados. También figurarán en otros anexos: el estudio de los material</w:t>
      </w:r>
      <w:r>
        <w:t xml:space="preserve">es a emplear y los ensayos realizados con los mismos, la justificación del cálculo de los precios adoptados, </w:t>
      </w:r>
      <w:r>
        <w:rPr>
          <w:rStyle w:val="Cuerpodeltexto21"/>
          <w:i/>
          <w:iCs/>
        </w:rPr>
        <w:t xml:space="preserve">las </w:t>
      </w:r>
      <w:r>
        <w:t>bases fijadas para la valoración de las unidades de obra y de las partidas alzadas propuestas</w:t>
      </w:r>
      <w:r w:rsidR="00FF1B2E">
        <w:t xml:space="preserve"> </w:t>
      </w:r>
      <w:r>
        <w:rPr>
          <w:rStyle w:val="Cuerpodeltexto21"/>
          <w:i/>
          <w:iCs/>
        </w:rPr>
        <w:t>y el presupuesto para conocimiento de la Administ</w:t>
      </w:r>
      <w:r>
        <w:rPr>
          <w:rStyle w:val="Cuerpodeltexto21"/>
          <w:i/>
          <w:iCs/>
        </w:rPr>
        <w:t>ración</w:t>
      </w:r>
      <w:r>
        <w:t xml:space="preserve"> obtenido por la suma de los gastos correspondientes al estudio y elaboración del proyecto, cuando procedan, del presupuesto de las obras y del importe previsible de las expropiaciones necesarias y de restablecimiento de servicios, derechos reales y </w:t>
      </w:r>
      <w:r>
        <w:t>servidumbres afectados, en su caso.”</w:t>
      </w:r>
    </w:p>
    <w:p w:rsidR="00FF1B2E" w:rsidRDefault="00FF1B2E" w:rsidP="00FF1B2E">
      <w:pPr>
        <w:pStyle w:val="Cuerpodeltexto20"/>
        <w:shd w:val="clear" w:color="auto" w:fill="auto"/>
        <w:spacing w:before="0" w:after="0"/>
        <w:ind w:firstLine="0"/>
      </w:pPr>
    </w:p>
    <w:p w:rsidR="008F55E4" w:rsidRDefault="00B028F9">
      <w:pPr>
        <w:pStyle w:val="Cuerpodeltexto30"/>
        <w:shd w:val="clear" w:color="auto" w:fill="auto"/>
        <w:spacing w:after="260" w:line="234" w:lineRule="exact"/>
        <w:ind w:firstLine="0"/>
      </w:pPr>
      <w:r>
        <w:t>De lo hasta aquí expuesto se infiere que:</w:t>
      </w:r>
    </w:p>
    <w:p w:rsidR="008F55E4" w:rsidRDefault="00B028F9">
      <w:pPr>
        <w:pStyle w:val="Cuerpodeltexto30"/>
        <w:numPr>
          <w:ilvl w:val="0"/>
          <w:numId w:val="1"/>
        </w:numPr>
        <w:shd w:val="clear" w:color="auto" w:fill="auto"/>
        <w:tabs>
          <w:tab w:val="left" w:pos="760"/>
        </w:tabs>
        <w:spacing w:after="0" w:line="234" w:lineRule="exact"/>
        <w:ind w:left="760"/>
        <w:jc w:val="left"/>
      </w:pPr>
      <w:r>
        <w:t>La forma ordinaria de retribución de las obras es por precios unitarios.</w:t>
      </w:r>
    </w:p>
    <w:p w:rsidR="008F55E4" w:rsidRDefault="00B028F9">
      <w:pPr>
        <w:pStyle w:val="Cuerpodeltexto30"/>
        <w:numPr>
          <w:ilvl w:val="0"/>
          <w:numId w:val="1"/>
        </w:numPr>
        <w:shd w:val="clear" w:color="auto" w:fill="auto"/>
        <w:tabs>
          <w:tab w:val="left" w:pos="760"/>
        </w:tabs>
        <w:spacing w:after="264" w:line="254" w:lineRule="exact"/>
        <w:ind w:left="760"/>
        <w:jc w:val="left"/>
      </w:pPr>
      <w:r>
        <w:t xml:space="preserve">Ello no obsta para que en la retribución de estas obras se incluyan en el presupuesto partidas alzadas, </w:t>
      </w:r>
      <w:r>
        <w:t>bien de abono íntegro, bien a justificar.</w:t>
      </w:r>
    </w:p>
    <w:p w:rsidR="008F55E4" w:rsidRDefault="00B028F9" w:rsidP="00FF1B2E">
      <w:pPr>
        <w:pStyle w:val="Cuerpodeltexto30"/>
        <w:shd w:val="clear" w:color="auto" w:fill="auto"/>
        <w:spacing w:after="0"/>
        <w:ind w:firstLine="0"/>
      </w:pPr>
      <w:r>
        <w:t>La necesidad de valorar ambos elementos para la determinación del presupuesto de una obra es una cuestión avalada por la jurisprudencia desde antiguo: para ello, resulta explicativa la Sentencia de 13 de abril de 1</w:t>
      </w:r>
      <w:r>
        <w:t xml:space="preserve">981 del Tribunal Supremo que señala: </w:t>
      </w:r>
      <w:r>
        <w:rPr>
          <w:rStyle w:val="Cuerpodeltexto311ptoCursiva"/>
        </w:rPr>
        <w:t>“Que tanto la jurisprudencia como la doctrina científica admiten que el contrato de obras es sin discusión la figura contractual predominante en el área jurídico-administrativa y que de conformidad con el art. 55 del Re</w:t>
      </w:r>
      <w:r>
        <w:rPr>
          <w:rStyle w:val="Cuerpodeltexto311ptoCursiva"/>
        </w:rPr>
        <w:t xml:space="preserve">glamento de Contratación del Estado (R. C. E.) (RCL 1968\209, 483 y NDL 7370) es aquél </w:t>
      </w:r>
      <w:r>
        <w:rPr>
          <w:rStyle w:val="Cuerpodeltexto311ptoCursiva"/>
        </w:rPr>
        <w:lastRenderedPageBreak/>
        <w:t>que tiene por objeto la construcción, reforma, reparación, conservación o demolición de un bien inmueble o la realización de trabajos que modifiquen la forma o sustancia</w:t>
      </w:r>
      <w:r>
        <w:rPr>
          <w:rStyle w:val="Cuerpodeltexto311ptoCursiva"/>
        </w:rPr>
        <w:t xml:space="preserve"> del suelo o del subsuelo por cuenta de la Administración a cambio de un precio, siendo notas características de los mismos, cada una de ellas a cargo de los sujetos intervinientes en el contrato, -una de las cuales es la Administración-, el resultado u ob</w:t>
      </w:r>
      <w:r>
        <w:rPr>
          <w:rStyle w:val="Cuerpodeltexto311ptoCursiva"/>
        </w:rPr>
        <w:t>ra realizada y el precio fijo o alzado que se paga por ella, circunstancia ésta recogida en los textos legales como se pone de manifiesto en el art. 46 de la Ley de Contratación del Estado (L. C. E.) (RCL 1944\274 y NDL 7232) al establecer que «la ejecució</w:t>
      </w:r>
      <w:r>
        <w:rPr>
          <w:rStyle w:val="Cuerpodeltexto311ptoCursiva"/>
        </w:rPr>
        <w:t>n del contrato se realizará a riesgo y ventura del contratista», a su vez el art. 57 del Reglamento de Contratación de las Corporaciones Locales (R. C. C. L.) (RCL 1953\1054 y NDL 22515) dispone que «los contratos en que intervengan las Corporaciones Local</w:t>
      </w:r>
      <w:r>
        <w:rPr>
          <w:rStyle w:val="Cuerpodeltexto311ptoCursiva"/>
        </w:rPr>
        <w:t>es se entenderán siempre convenidos a riesgo y ventura por el contratista, sin que ésta pueda solicitar la alteración del precio o indemnización ...»; y en consideración a este requisito del precio alzado, que es la prestación que la Administración debe en</w:t>
      </w:r>
      <w:r>
        <w:rPr>
          <w:rStyle w:val="Cuerpodeltexto311ptoCursiva"/>
        </w:rPr>
        <w:t xml:space="preserve"> el contrato, conviene precisar que es excepcional que se exprese en un precio único global por el conjunto de la obra, y a que lo normal es que se contrate de acuerdo con el sistema de precios unitarios o por unidades de</w:t>
      </w:r>
      <w:r w:rsidR="00FF1B2E">
        <w:rPr>
          <w:rStyle w:val="Cuerpodeltexto311ptoCursiva"/>
        </w:rPr>
        <w:t xml:space="preserve"> </w:t>
      </w:r>
      <w:r>
        <w:rPr>
          <w:rStyle w:val="Cuerpodeltexto21"/>
        </w:rPr>
        <w:t>obras</w:t>
      </w:r>
      <w:r>
        <w:t xml:space="preserve"> -art. 22, 4, L. C. E. arts. </w:t>
      </w:r>
      <w:r>
        <w:t>63 y 67 R. C. E.)</w:t>
      </w:r>
      <w:r>
        <w:rPr>
          <w:rStyle w:val="Cuerpodeltexto21"/>
        </w:rPr>
        <w:t xml:space="preserve">, que consisten en asignar un precio separado </w:t>
      </w:r>
      <w:r>
        <w:t>a cada una de las unidades de obra en que se descompone el provecto, de modo que el</w:t>
      </w:r>
      <w:r w:rsidR="00FF1B2E">
        <w:t xml:space="preserve"> </w:t>
      </w:r>
      <w:r>
        <w:t>presupuesto se forma aplicando esos precios al conjunto de unidades de obra que el</w:t>
      </w:r>
      <w:r w:rsidR="00FF1B2E">
        <w:t xml:space="preserve"> </w:t>
      </w:r>
      <w:r>
        <w:rPr>
          <w:rStyle w:val="Cuerpodeltexto21"/>
        </w:rPr>
        <w:t>proyecto prevé</w:t>
      </w:r>
      <w:r>
        <w:t xml:space="preserve"> (art. 68 de</w:t>
      </w:r>
      <w:r>
        <w:t xml:space="preserve">l R. C. E.), </w:t>
      </w:r>
      <w:r>
        <w:rPr>
          <w:rStyle w:val="Cuerpodeltexto21"/>
        </w:rPr>
        <w:t>más las partidas globales</w:t>
      </w:r>
      <w:r>
        <w:t>...”</w:t>
      </w:r>
    </w:p>
    <w:p w:rsidR="00FF1B2E" w:rsidRDefault="00FF1B2E" w:rsidP="00FF1B2E">
      <w:pPr>
        <w:pStyle w:val="Cuerpodeltexto30"/>
        <w:shd w:val="clear" w:color="auto" w:fill="auto"/>
        <w:spacing w:after="0"/>
        <w:ind w:firstLine="0"/>
      </w:pPr>
    </w:p>
    <w:p w:rsidR="008F55E4" w:rsidRDefault="00B028F9">
      <w:pPr>
        <w:pStyle w:val="Cuerpodeltexto30"/>
        <w:shd w:val="clear" w:color="auto" w:fill="auto"/>
        <w:spacing w:after="248" w:line="234" w:lineRule="exact"/>
        <w:ind w:firstLine="0"/>
      </w:pPr>
      <w:r>
        <w:t>E</w:t>
      </w:r>
      <w:r>
        <w:t>n el mismo sentido puede citarse otras sentencias de Tribunales Superiores de Justicia:</w:t>
      </w:r>
    </w:p>
    <w:p w:rsidR="008F55E4" w:rsidRDefault="00B028F9">
      <w:pPr>
        <w:pStyle w:val="Cuerpodeltexto20"/>
        <w:numPr>
          <w:ilvl w:val="0"/>
          <w:numId w:val="1"/>
        </w:numPr>
        <w:shd w:val="clear" w:color="auto" w:fill="auto"/>
        <w:tabs>
          <w:tab w:val="left" w:pos="350"/>
        </w:tabs>
        <w:spacing w:before="0" w:after="256"/>
        <w:ind w:left="400"/>
      </w:pPr>
      <w:r>
        <w:rPr>
          <w:rStyle w:val="Cuerpodeltexto2105ptoSincursiva"/>
        </w:rPr>
        <w:t xml:space="preserve">Sentencia del Tribunal Superior de Justicia de Madrid núm. 1365/2005, de 18 de noviembre "... </w:t>
      </w:r>
      <w:r>
        <w:t>se distingue entre partidas al</w:t>
      </w:r>
      <w:r>
        <w:t>zadas de abono íntegro, que se hará tan pronto se compruebe que se han efectuado los trabajos, con el resto de partidas, que se abonan según el número de unidades que las integran, unidades que no son otra cosa que mensualidades de trabajos prestados, de f</w:t>
      </w:r>
      <w:r>
        <w:t>orma que la «medición» que sí existe, no es otra cosa que el número de meses necesarios para los trabajos correspondientes a cada partida”</w:t>
      </w:r>
    </w:p>
    <w:p w:rsidR="008F55E4" w:rsidRDefault="00B028F9">
      <w:pPr>
        <w:pStyle w:val="Cuerpodeltexto20"/>
        <w:numPr>
          <w:ilvl w:val="0"/>
          <w:numId w:val="1"/>
        </w:numPr>
        <w:shd w:val="clear" w:color="auto" w:fill="auto"/>
        <w:tabs>
          <w:tab w:val="left" w:pos="350"/>
        </w:tabs>
        <w:spacing w:before="0" w:after="264" w:line="254" w:lineRule="exact"/>
        <w:ind w:left="400"/>
      </w:pPr>
      <w:r>
        <w:rPr>
          <w:rStyle w:val="Cuerpodeltexto2105ptoSincursiva"/>
        </w:rPr>
        <w:t xml:space="preserve">Sentencia del Tribunal Superior de Justicia de Cataluña núm. 911/2004, de 2 de julio </w:t>
      </w:r>
      <w:r>
        <w:t xml:space="preserve">“.el presupuesto de ejecución </w:t>
      </w:r>
      <w:r>
        <w:t>material resulta de la suma de los productos del número de cada unidad de obra por su precio unitario y las partidas alzadas...”</w:t>
      </w:r>
    </w:p>
    <w:p w:rsidR="008F55E4" w:rsidRDefault="00B028F9">
      <w:pPr>
        <w:pStyle w:val="Cuerpodeltexto20"/>
        <w:shd w:val="clear" w:color="auto" w:fill="auto"/>
        <w:spacing w:before="0" w:after="256"/>
        <w:ind w:firstLine="0"/>
      </w:pPr>
      <w:r>
        <w:rPr>
          <w:rStyle w:val="Cuerpodeltexto2105ptoSincursiva"/>
        </w:rPr>
        <w:t>Sentencia del Tribunal Superior de Justicia de Madrid núm. 960/2003, de 23 de septiembre “</w:t>
      </w:r>
      <w:r>
        <w:t>. El presupuesto para la aplicación y</w:t>
      </w:r>
      <w:r>
        <w:t xml:space="preserve"> ejecución del estudio de seguridad y salud deberá cuantificar el conjunto de gastos previstos, tanto por lo que se refiere a la suma total como a la valoración unitaria de elementos, con referencia al cuadro de precios sobre el que se calcula. Sólo podrán</w:t>
      </w:r>
      <w:r>
        <w:t xml:space="preserve"> figurar partidas alzadas en los casos de elementos u operaciones de difícil previsión.”</w:t>
      </w:r>
    </w:p>
    <w:p w:rsidR="008F55E4" w:rsidRDefault="00B028F9">
      <w:pPr>
        <w:pStyle w:val="Cuerpodeltexto30"/>
        <w:shd w:val="clear" w:color="auto" w:fill="auto"/>
        <w:spacing w:after="276" w:line="254" w:lineRule="exact"/>
        <w:ind w:firstLine="0"/>
      </w:pPr>
      <w:r>
        <w:t>Con base en lo expuesto en las anteriores consideraciones esta Intervención General formula la siguiente</w:t>
      </w:r>
    </w:p>
    <w:p w:rsidR="008F55E4" w:rsidRDefault="00B028F9">
      <w:pPr>
        <w:pStyle w:val="Cuerpodeltexto30"/>
        <w:shd w:val="clear" w:color="auto" w:fill="auto"/>
        <w:spacing w:after="244" w:line="234" w:lineRule="exact"/>
        <w:ind w:firstLine="0"/>
        <w:jc w:val="center"/>
      </w:pPr>
      <w:r>
        <w:t>CONCLUSIÓN</w:t>
      </w:r>
    </w:p>
    <w:p w:rsidR="008F55E4" w:rsidRDefault="00B028F9">
      <w:pPr>
        <w:pStyle w:val="Cuerpodeltexto30"/>
        <w:shd w:val="clear" w:color="auto" w:fill="auto"/>
        <w:spacing w:after="260" w:line="254" w:lineRule="exact"/>
        <w:ind w:firstLine="0"/>
      </w:pPr>
      <w:r>
        <w:t>La retribución al contratista en los contratos de o</w:t>
      </w:r>
      <w:r>
        <w:t>bras puede ser bien por precios unitarios de forma ordinaria bien a tanto alzado:</w:t>
      </w:r>
    </w:p>
    <w:p w:rsidR="008F55E4" w:rsidRDefault="00B028F9">
      <w:pPr>
        <w:pStyle w:val="Cuerpodeltexto30"/>
        <w:shd w:val="clear" w:color="auto" w:fill="auto"/>
        <w:spacing w:after="264" w:line="254" w:lineRule="exact"/>
        <w:ind w:left="760"/>
      </w:pPr>
      <w:r>
        <w:t xml:space="preserve">I. Cuando la retribución se efectúa por precios unitarios se permite incluir partidas alzadas, que por su forma de abono se clasifican en partidas alzadas de abono íntegro o </w:t>
      </w:r>
      <w:r>
        <w:t>a justificar, lo que posibilita que concurra en un expediente el que la retribución al contratista sea por precios unitarios por unidad de obra, con partidas alzadas a justificar o de abono íntegro.</w:t>
      </w:r>
    </w:p>
    <w:p w:rsidR="008F55E4" w:rsidRDefault="00B028F9">
      <w:pPr>
        <w:pStyle w:val="Cuerpodeltexto30"/>
        <w:shd w:val="clear" w:color="auto" w:fill="auto"/>
        <w:spacing w:after="0"/>
        <w:ind w:left="760"/>
      </w:pPr>
      <w:r>
        <w:lastRenderedPageBreak/>
        <w:t>II. Si bien, la retribución de las obras a tanto alzado n</w:t>
      </w:r>
      <w:r>
        <w:t>o se considera nominalmente como excepcional, su utilización se podrá efectuar cuando no puedan establecerse precios unitarios para partidas que sumen más del 80 % del importe del presupuesto.</w:t>
      </w:r>
    </w:p>
    <w:sectPr w:rsidR="008F55E4">
      <w:footerReference w:type="default" r:id="rId7"/>
      <w:pgSz w:w="11900" w:h="16840"/>
      <w:pgMar w:top="1410" w:right="1254" w:bottom="1484" w:left="13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F9" w:rsidRDefault="00B028F9">
      <w:r>
        <w:separator/>
      </w:r>
    </w:p>
  </w:endnote>
  <w:endnote w:type="continuationSeparator" w:id="0">
    <w:p w:rsidR="00B028F9" w:rsidRDefault="00B0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E4" w:rsidRDefault="00FF1B2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3796030</wp:posOffset>
              </wp:positionH>
              <wp:positionV relativeFrom="page">
                <wp:posOffset>10121900</wp:posOffset>
              </wp:positionV>
              <wp:extent cx="74295" cy="153035"/>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5E4" w:rsidRDefault="00B028F9">
                          <w:pPr>
                            <w:pStyle w:val="Encabezamientoopiedepgina0"/>
                            <w:shd w:val="clear" w:color="auto" w:fill="auto"/>
                            <w:spacing w:line="240" w:lineRule="auto"/>
                          </w:pPr>
                          <w:r>
                            <w:fldChar w:fldCharType="begin"/>
                          </w:r>
                          <w:r>
                            <w:instrText xml:space="preserve"> PAGE \* MERGEFORMAT </w:instrText>
                          </w:r>
                          <w:r>
                            <w:fldChar w:fldCharType="separate"/>
                          </w:r>
                          <w:r w:rsidR="00FF1B2E" w:rsidRPr="00FF1B2E">
                            <w:rPr>
                              <w:rStyle w:val="Encabezamientoopiedepgina1"/>
                              <w:i/>
                              <w:iCs/>
                              <w:noProof/>
                            </w:rPr>
                            <w:t>1</w:t>
                          </w:r>
                          <w:r>
                            <w:rPr>
                              <w:rStyle w:val="Encabezamientoopiedepgina1"/>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9pt;margin-top:797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" filled="f" stroked="f">
              <v:textbox style="mso-fit-shape-to-text:t" inset="0,0,0,0">
                <w:txbxContent>
                  <w:p w:rsidR="008F55E4" w:rsidRDefault="00B028F9">
                    <w:pPr>
                      <w:pStyle w:val="Encabezamientoopiedepgina0"/>
                      <w:shd w:val="clear" w:color="auto" w:fill="auto"/>
                      <w:spacing w:line="240" w:lineRule="auto"/>
                    </w:pPr>
                    <w:r>
                      <w:fldChar w:fldCharType="begin"/>
                    </w:r>
                    <w:r>
                      <w:instrText xml:space="preserve"> PAGE \* MERGEFORMAT </w:instrText>
                    </w:r>
                    <w:r>
                      <w:fldChar w:fldCharType="separate"/>
                    </w:r>
                    <w:r w:rsidR="00FF1B2E" w:rsidRPr="00FF1B2E">
                      <w:rPr>
                        <w:rStyle w:val="Encabezamientoopiedepgina1"/>
                        <w:i/>
                        <w:iCs/>
                        <w:noProof/>
                      </w:rPr>
                      <w:t>1</w:t>
                    </w:r>
                    <w:r>
                      <w:rPr>
                        <w:rStyle w:val="Encabezamientoopiedepgina1"/>
                        <w:i/>
                        <w:i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F9" w:rsidRDefault="00B028F9"/>
  </w:footnote>
  <w:footnote w:type="continuationSeparator" w:id="0">
    <w:p w:rsidR="00B028F9" w:rsidRDefault="00B028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92AE8"/>
    <w:multiLevelType w:val="multilevel"/>
    <w:tmpl w:val="97B6B4B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E4"/>
    <w:rsid w:val="008F55E4"/>
    <w:rsid w:val="00B028F9"/>
    <w:rsid w:val="00FF1B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ADC66"/>
  <w15:docId w15:val="{A874850E-ED82-43CE-B546-E3AE7C5C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rPr>
      <w:rFonts w:ascii="Arial" w:eastAsia="Arial" w:hAnsi="Arial" w:cs="Arial"/>
      <w:b w:val="0"/>
      <w:bCs w:val="0"/>
      <w:i w:val="0"/>
      <w:iCs w:val="0"/>
      <w:smallCaps w:val="0"/>
      <w:strike w:val="0"/>
      <w:sz w:val="21"/>
      <w:szCs w:val="21"/>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iCs/>
      <w:smallCaps w:val="0"/>
      <w:strike w:val="0"/>
      <w:sz w:val="21"/>
      <w:szCs w:val="21"/>
      <w:u w:val="none"/>
    </w:rPr>
  </w:style>
  <w:style w:type="character" w:customStyle="1" w:styleId="Encabezamientoopiedepgina1">
    <w:name w:val="Encabezamiento o pie de página"/>
    <w:basedOn w:val="Encabezamientoopiedepgina"/>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Cuerpodeltexto311ptoCursiva">
    <w:name w:val="Cuerpo del texto (3) + 11 pto;Cursiva"/>
    <w:basedOn w:val="Cuerpodeltexto3"/>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iCs/>
      <w:smallCaps w:val="0"/>
      <w:strike w:val="0"/>
      <w:sz w:val="22"/>
      <w:szCs w:val="22"/>
      <w:u w:val="none"/>
    </w:rPr>
  </w:style>
  <w:style w:type="character" w:customStyle="1" w:styleId="Cuerpodeltexto2105ptoSincursiva">
    <w:name w:val="Cuerpo del texto (2) + 10;5 pto;Sin cursiva"/>
    <w:basedOn w:val="Cuerpodeltexto2"/>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Cuerpodeltexto21">
    <w:name w:val="Cuerpo del texto (2)"/>
    <w:basedOn w:val="Cuerpodeltexto2"/>
    <w:rPr>
      <w:rFonts w:ascii="Arial" w:eastAsia="Arial" w:hAnsi="Arial" w:cs="Arial"/>
      <w:b w:val="0"/>
      <w:bCs w:val="0"/>
      <w:i/>
      <w:iCs/>
      <w:smallCaps w:val="0"/>
      <w:strike w:val="0"/>
      <w:color w:val="000000"/>
      <w:spacing w:val="0"/>
      <w:w w:val="100"/>
      <w:position w:val="0"/>
      <w:sz w:val="22"/>
      <w:szCs w:val="22"/>
      <w:u w:val="single"/>
      <w:lang w:val="es-ES" w:eastAsia="es-ES" w:bidi="es-ES"/>
    </w:rPr>
  </w:style>
  <w:style w:type="paragraph" w:customStyle="1" w:styleId="Cuerpodeltexto30">
    <w:name w:val="Cuerpo del texto (3)"/>
    <w:basedOn w:val="Normal"/>
    <w:link w:val="Cuerpodeltexto3"/>
    <w:pPr>
      <w:shd w:val="clear" w:color="auto" w:fill="FFFFFF"/>
      <w:spacing w:after="240" w:line="250" w:lineRule="exact"/>
      <w:ind w:hanging="360"/>
      <w:jc w:val="both"/>
    </w:pPr>
    <w:rPr>
      <w:rFonts w:ascii="Arial" w:eastAsia="Arial" w:hAnsi="Arial" w:cs="Arial"/>
      <w:sz w:val="21"/>
      <w:szCs w:val="21"/>
    </w:rPr>
  </w:style>
  <w:style w:type="paragraph" w:customStyle="1" w:styleId="Encabezamientoopiedepgina0">
    <w:name w:val="Encabezamiento o pie de página"/>
    <w:basedOn w:val="Normal"/>
    <w:link w:val="Encabezamientoopiedepgina"/>
    <w:pPr>
      <w:shd w:val="clear" w:color="auto" w:fill="FFFFFF"/>
      <w:spacing w:line="234" w:lineRule="exact"/>
    </w:pPr>
    <w:rPr>
      <w:rFonts w:ascii="Arial" w:eastAsia="Arial" w:hAnsi="Arial" w:cs="Arial"/>
      <w:i/>
      <w:iCs/>
      <w:sz w:val="21"/>
      <w:szCs w:val="21"/>
    </w:rPr>
  </w:style>
  <w:style w:type="paragraph" w:customStyle="1" w:styleId="Cuerpodeltexto20">
    <w:name w:val="Cuerpo del texto (2)"/>
    <w:basedOn w:val="Normal"/>
    <w:link w:val="Cuerpodeltexto2"/>
    <w:pPr>
      <w:shd w:val="clear" w:color="auto" w:fill="FFFFFF"/>
      <w:spacing w:before="240" w:after="240" w:line="250" w:lineRule="exact"/>
      <w:ind w:hanging="400"/>
      <w:jc w:val="both"/>
    </w:pPr>
    <w:rPr>
      <w:rFonts w:ascii="Arial" w:eastAsia="Arial" w:hAnsi="Arial" w:cs="Arial"/>
      <w:i/>
      <w:iCs/>
      <w:sz w:val="22"/>
      <w:szCs w:val="22"/>
    </w:rPr>
  </w:style>
  <w:style w:type="paragraph" w:styleId="NormalWeb">
    <w:name w:val="Normal (Web)"/>
    <w:basedOn w:val="Normal"/>
    <w:uiPriority w:val="99"/>
    <w:semiHidden/>
    <w:unhideWhenUsed/>
    <w:rsid w:val="00FF1B2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36A9B-C8E9-49CA-9957-C47414B66F0B}"/>
</file>

<file path=customXml/itemProps2.xml><?xml version="1.0" encoding="utf-8"?>
<ds:datastoreItem xmlns:ds="http://schemas.openxmlformats.org/officeDocument/2006/customXml" ds:itemID="{22101E4D-A40B-46DD-B3B2-CA729627B564}"/>
</file>

<file path=customXml/itemProps3.xml><?xml version="1.0" encoding="utf-8"?>
<ds:datastoreItem xmlns:ds="http://schemas.openxmlformats.org/officeDocument/2006/customXml" ds:itemID="{B4370E6D-77A4-4D88-AF99-C9D81A2B43FA}"/>
</file>

<file path=docProps/app.xml><?xml version="1.0" encoding="utf-8"?>
<Properties xmlns="http://schemas.openxmlformats.org/officeDocument/2006/extended-properties" xmlns:vt="http://schemas.openxmlformats.org/officeDocument/2006/docPropsVTypes">
  <Template>Normal.dotm</Template>
  <TotalTime>2</TotalTime>
  <Pages>4</Pages>
  <Words>1893</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1</cp:revision>
  <dcterms:created xsi:type="dcterms:W3CDTF">2020-10-19T11:41:00Z</dcterms:created>
  <dcterms:modified xsi:type="dcterms:W3CDTF">2020-10-19T11:43:00Z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