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E29" w:rsidRDefault="0080591B">
      <w:pPr>
        <w:pStyle w:val="Cuerpodeltexto30"/>
        <w:shd w:val="clear" w:color="auto" w:fill="auto"/>
      </w:pPr>
      <w:r>
        <w:t>INFORME DE LA INTERVENCIÓN GENERAL DE LA COMUNIDAD DE MADRID DE 17 DE ENERO DE 2008. OBLIGACIONES TRIBUTARIAS Y DE SEGURIDAD SOCIAL. CERTIFICADOS PARA ACREDITAR HALLARSE AL CORRIENTE DE TALES OBLIGACIONES.</w:t>
      </w:r>
    </w:p>
    <w:p w:rsidR="00E87648" w:rsidRDefault="00E87648" w:rsidP="00E87648">
      <w:pPr>
        <w:pStyle w:val="NormalWeb"/>
        <w:spacing w:before="0" w:beforeAutospacing="0" w:after="0" w:afterAutospacing="0"/>
        <w:rPr>
          <w:rFonts w:ascii="Arial" w:hAnsi="Arial" w:cs="Arial"/>
          <w:sz w:val="22"/>
          <w:szCs w:val="22"/>
        </w:rPr>
      </w:pPr>
      <w:r>
        <w:rPr>
          <w:rFonts w:ascii="Arial" w:hAnsi="Arial" w:cs="Arial"/>
          <w:b/>
          <w:bCs/>
          <w:sz w:val="22"/>
          <w:szCs w:val="22"/>
        </w:rPr>
        <w:t>Modalidad de informe: Consulta.</w:t>
      </w:r>
    </w:p>
    <w:p w:rsidR="00E87648" w:rsidRDefault="00E87648" w:rsidP="00E87648">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Área temática: Contratación. Subvenciones. </w:t>
      </w:r>
    </w:p>
    <w:p w:rsidR="00E87648" w:rsidRDefault="00E87648" w:rsidP="00E87648">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E87648" w:rsidRDefault="00E87648">
      <w:pPr>
        <w:pStyle w:val="Cuerpodeltexto30"/>
        <w:shd w:val="clear" w:color="auto" w:fill="auto"/>
      </w:pPr>
    </w:p>
    <w:p w:rsidR="00672E29" w:rsidRDefault="0080591B">
      <w:pPr>
        <w:pStyle w:val="Cuerpodeltexto20"/>
        <w:shd w:val="clear" w:color="auto" w:fill="auto"/>
        <w:spacing w:before="0"/>
        <w:ind w:firstLine="0"/>
      </w:pPr>
      <w:r>
        <w:t>Se plantea consulta a esta Intervención General sobre los efectos de las diferentes modalidades de certificados que, para la acreditación de hallarse al corriente de las obligaciones tributarias o de Seguridad Social, son presentados en el ámbito de las subvenciones públicas, una vez en vigor el Real Decreto 887/2006, de 21 de julio, por el que se aprueba el Reglamento de la Ley 38/2003, de 17 de noviembre, General de Subvenciones.</w:t>
      </w:r>
    </w:p>
    <w:p w:rsidR="00672E29" w:rsidRDefault="0080591B">
      <w:pPr>
        <w:pStyle w:val="Cuerpodeltexto20"/>
        <w:shd w:val="clear" w:color="auto" w:fill="auto"/>
        <w:spacing w:before="0"/>
        <w:ind w:firstLine="0"/>
      </w:pPr>
      <w:r>
        <w:t>De conformidad con lo dispuesto en la Ley 9/1990, de 8 de noviembre, Reguladora de la Hacienda de la Comunidad de Madrid, así como en el Decreto 45/1997, de 20 de marzo, por el que se desarrolla el Régimen de Control Interno y Contable ejercido por la Intervención General de la Comunidad de Madrid, la fiscalización previa es la facultad que corresponde a la Intervención de examinar, antes de que se dicte la correspondiente resolución, todo acto, documento o expediente susceptible de producir derechos u obligaciones de contenido económico. Teniendo en consideración que el examen de los certificados referidos en el párrafo anterior incide de forma directa sobre esta función y con el objeto de coordinar y unificar el criterio respecto de los mismos, se emite el siguiente informe.</w:t>
      </w:r>
    </w:p>
    <w:p w:rsidR="00672E29" w:rsidRDefault="0080591B">
      <w:pPr>
        <w:pStyle w:val="Cuerpodeltexto20"/>
        <w:shd w:val="clear" w:color="auto" w:fill="auto"/>
        <w:spacing w:before="0"/>
        <w:ind w:firstLine="0"/>
      </w:pPr>
      <w:r>
        <w:t>Detalladamente, los casos que motivan el presente informe son aquellos, en el ámbito subvencional, en los que para la acreditación de hallarse al corriente de las obligaciones tributarias o de Seguridad Social se aportan certificados que no precisan los efectos a los que se expiden o que son expedidos a los solos efectos previstos en el Real Decreto 2/2000, de 16 de junio, por el que se aprueba el Texto Refundido de la Ley de Contratos de las Administraciones Públicas. De contrario, también se están presentando, en el ámbito contractual, certificados que no precisan los efectos a los que se expiden o que son expedidos a los solos efectos previstos en la Ley 38/2003, General de Subvenciones.</w:t>
      </w:r>
    </w:p>
    <w:p w:rsidR="00672E29" w:rsidRDefault="0080591B">
      <w:pPr>
        <w:pStyle w:val="Cuerpodeltexto20"/>
        <w:shd w:val="clear" w:color="auto" w:fill="auto"/>
        <w:spacing w:before="0" w:after="263"/>
        <w:ind w:firstLine="0"/>
      </w:pPr>
      <w:r>
        <w:t>Establecido el objeto del informe y la problemática que pretende afrontar, se realizan las siguientes consideraciones:</w:t>
      </w:r>
    </w:p>
    <w:p w:rsidR="00672E29" w:rsidRDefault="0080591B">
      <w:pPr>
        <w:pStyle w:val="Ttulo10"/>
        <w:keepNext/>
        <w:keepLines/>
        <w:shd w:val="clear" w:color="auto" w:fill="auto"/>
        <w:spacing w:before="0"/>
      </w:pPr>
      <w:bookmarkStart w:id="0" w:name="bookmark0"/>
      <w:r>
        <w:t>I</w:t>
      </w:r>
      <w:bookmarkEnd w:id="0"/>
    </w:p>
    <w:p w:rsidR="00672E29" w:rsidRDefault="0080591B">
      <w:pPr>
        <w:pStyle w:val="Ttulo10"/>
        <w:keepNext/>
        <w:keepLines/>
        <w:shd w:val="clear" w:color="auto" w:fill="auto"/>
        <w:spacing w:before="0" w:after="257"/>
      </w:pPr>
      <w:bookmarkStart w:id="1" w:name="bookmark1"/>
      <w:r>
        <w:t>Régimen jurídico</w:t>
      </w:r>
      <w:bookmarkEnd w:id="1"/>
    </w:p>
    <w:p w:rsidR="00672E29" w:rsidRDefault="0080591B">
      <w:pPr>
        <w:pStyle w:val="Cuerpodeltexto20"/>
        <w:shd w:val="clear" w:color="auto" w:fill="auto"/>
        <w:spacing w:before="0" w:after="279"/>
        <w:ind w:firstLine="0"/>
      </w:pPr>
      <w:r>
        <w:t xml:space="preserve">En lo que se refiere al </w:t>
      </w:r>
      <w:r>
        <w:rPr>
          <w:rStyle w:val="Cuerpodeltexto2Negrita"/>
        </w:rPr>
        <w:t>ámbito contractual</w:t>
      </w:r>
      <w:r>
        <w:t>, se debe comenzar exponiendo que no hallarse al corriente en el cumplimiento de las obligaciones tributarias o de Seguridad Social impuestas por las disposiciones vigentes, constituye una prohibición para contratar con la Administración, relacionada en el artículo 20.f) (básico) del Real Decreto Legislativo 2/2000, de 16 junio, por el que se aprueba el Texto Refundido de la Ley de Contratos de las Administraciones Públicas. El artículo 13</w:t>
      </w:r>
      <w:r>
        <w:rPr>
          <w:vertAlign w:val="superscript"/>
        </w:rPr>
        <w:footnoteReference w:id="1"/>
      </w:r>
      <w:r>
        <w:t xml:space="preserve"> del Real Decreto 1098/2001 </w:t>
      </w:r>
      <w:r>
        <w:lastRenderedPageBreak/>
        <w:t xml:space="preserve">de 12 de octubre, por el que se aprueba el Reglamento General de la Ley de Contratos, concreta las circunstancias que deben reunir las empresas para entender que se encuentran al corriente en el cumplimiento de sus </w:t>
      </w:r>
      <w:r>
        <w:rPr>
          <w:rStyle w:val="Cuerpodeltexto21"/>
        </w:rPr>
        <w:t>obligaciones tributarias</w:t>
      </w:r>
      <w:r>
        <w:t>, que son:</w:t>
      </w:r>
    </w:p>
    <w:p w:rsidR="00672E29" w:rsidRDefault="0080591B">
      <w:pPr>
        <w:pStyle w:val="Cuerpodeltexto40"/>
        <w:numPr>
          <w:ilvl w:val="0"/>
          <w:numId w:val="1"/>
        </w:numPr>
        <w:shd w:val="clear" w:color="auto" w:fill="auto"/>
        <w:tabs>
          <w:tab w:val="left" w:pos="764"/>
        </w:tabs>
        <w:spacing w:before="0"/>
        <w:ind w:left="760"/>
      </w:pPr>
      <w:r>
        <w:t>Estar dadas de alta en el Impuesto sobre Actividades Económicas, en el epígrafe correspondiente al objeto del contrato, siempre que ejerzan actividades sujetas a este impuesto, en relación con las actividades que vengan realizando a la fecha de presentación de las proposiciones o de las solicitudes de participación en los procedimientos restringidos, que les faculte para su ejercicio en el ámbito territorial en que las ejercen.</w:t>
      </w:r>
    </w:p>
    <w:p w:rsidR="00672E29" w:rsidRDefault="0080591B">
      <w:pPr>
        <w:pStyle w:val="Cuerpodeltexto40"/>
        <w:numPr>
          <w:ilvl w:val="0"/>
          <w:numId w:val="1"/>
        </w:numPr>
        <w:shd w:val="clear" w:color="auto" w:fill="auto"/>
        <w:tabs>
          <w:tab w:val="left" w:pos="764"/>
        </w:tabs>
        <w:spacing w:before="0"/>
        <w:ind w:left="760"/>
      </w:pPr>
      <w:r>
        <w:t>Haber presentado, si estuvieran obligadas, las declaraciones por el Impuesto sobre la Renta de las Personas Físicas, el Impuesto sobre la Renta de no Residentes o el Impuesto sobre Sociedades, según se trate de personas o entidades sujetas a alguno de estos impuestos, así como las correspondientes declaraciones por pagos fraccionados, ingresos a cuenta y retenciones que en cada caso procedan.</w:t>
      </w:r>
    </w:p>
    <w:p w:rsidR="00672E29" w:rsidRDefault="0080591B">
      <w:pPr>
        <w:pStyle w:val="Cuerpodeltexto40"/>
        <w:numPr>
          <w:ilvl w:val="0"/>
          <w:numId w:val="1"/>
        </w:numPr>
        <w:shd w:val="clear" w:color="auto" w:fill="auto"/>
        <w:tabs>
          <w:tab w:val="left" w:pos="764"/>
        </w:tabs>
        <w:spacing w:before="0"/>
        <w:ind w:left="760"/>
      </w:pPr>
      <w:r>
        <w:t>Haber presentado, si estuvieran obligadas, las declaraciones periódicas por el Impuesto sobre el Valor Añadido, así como la declaración resumen anual.</w:t>
      </w:r>
    </w:p>
    <w:p w:rsidR="00672E29" w:rsidRDefault="0080591B">
      <w:pPr>
        <w:pStyle w:val="Cuerpodeltexto40"/>
        <w:numPr>
          <w:ilvl w:val="0"/>
          <w:numId w:val="1"/>
        </w:numPr>
        <w:shd w:val="clear" w:color="auto" w:fill="auto"/>
        <w:tabs>
          <w:tab w:val="left" w:pos="764"/>
        </w:tabs>
        <w:spacing w:before="0"/>
        <w:ind w:left="760"/>
      </w:pPr>
      <w:r>
        <w:t>No tener deudas de naturaleza tributaria con el Estado en período ejecutivo o, en el caso de contribuyentes contra los que no proceda la utilización de la vía apremio, deudas no atendidas en período voluntario.</w:t>
      </w:r>
    </w:p>
    <w:p w:rsidR="00672E29" w:rsidRDefault="0080591B">
      <w:pPr>
        <w:pStyle w:val="Cuerpodeltexto40"/>
        <w:numPr>
          <w:ilvl w:val="0"/>
          <w:numId w:val="1"/>
        </w:numPr>
        <w:shd w:val="clear" w:color="auto" w:fill="auto"/>
        <w:tabs>
          <w:tab w:val="left" w:pos="764"/>
        </w:tabs>
        <w:spacing w:before="0" w:after="237"/>
        <w:ind w:left="760"/>
      </w:pPr>
      <w:r>
        <w:t>Además, cuando el órgano de contratación dependa de una Comunidad Autónoma o de una Entidad local, que no tengan deudas de naturaleza tributaria con la respectiva Administración autonómica o local, en las mismas condiciones fijadas en el párrafo d).</w:t>
      </w:r>
    </w:p>
    <w:p w:rsidR="00672E29" w:rsidRDefault="0080591B">
      <w:pPr>
        <w:pStyle w:val="Cuerpodeltexto20"/>
        <w:shd w:val="clear" w:color="auto" w:fill="auto"/>
        <w:spacing w:before="0" w:after="283" w:line="254" w:lineRule="exact"/>
        <w:ind w:firstLine="0"/>
      </w:pPr>
      <w:r>
        <w:t xml:space="preserve">En lo que se refiere a las </w:t>
      </w:r>
      <w:r>
        <w:rPr>
          <w:rStyle w:val="Cuerpodeltexto21"/>
        </w:rPr>
        <w:t>obligaciones con la Seguridad Social</w:t>
      </w:r>
      <w:r>
        <w:t xml:space="preserve"> el artículo 14 del Real Decreto 1098/2001, considera que las empresas están al corriente de éstas obligaciones cuando reúnen los siguientes requisitos:</w:t>
      </w:r>
    </w:p>
    <w:p w:rsidR="00672E29" w:rsidRDefault="0080591B">
      <w:pPr>
        <w:pStyle w:val="Cuerpodeltexto40"/>
        <w:numPr>
          <w:ilvl w:val="0"/>
          <w:numId w:val="2"/>
        </w:numPr>
        <w:shd w:val="clear" w:color="auto" w:fill="auto"/>
        <w:tabs>
          <w:tab w:val="left" w:pos="764"/>
        </w:tabs>
        <w:spacing w:before="0"/>
        <w:ind w:left="760"/>
      </w:pPr>
      <w:r>
        <w:t>Estar inscritas en el sistema de la Seguridad Social y, en su caso, si se tratare de un empresario individual, afiliado y en alta en el régimen que corresponda por razón de la actividad.</w:t>
      </w:r>
    </w:p>
    <w:p w:rsidR="00672E29" w:rsidRDefault="0080591B">
      <w:pPr>
        <w:pStyle w:val="Cuerpodeltexto40"/>
        <w:numPr>
          <w:ilvl w:val="0"/>
          <w:numId w:val="2"/>
        </w:numPr>
        <w:shd w:val="clear" w:color="auto" w:fill="auto"/>
        <w:tabs>
          <w:tab w:val="left" w:pos="764"/>
        </w:tabs>
        <w:spacing w:before="0"/>
        <w:ind w:left="760"/>
      </w:pPr>
      <w:r>
        <w:t>Haber afiliado, en su caso, y haber dado de alta, a los trabajadores que presten servicios a las mismas.</w:t>
      </w:r>
    </w:p>
    <w:p w:rsidR="00672E29" w:rsidRDefault="0080591B">
      <w:pPr>
        <w:pStyle w:val="Cuerpodeltexto40"/>
        <w:numPr>
          <w:ilvl w:val="0"/>
          <w:numId w:val="2"/>
        </w:numPr>
        <w:shd w:val="clear" w:color="auto" w:fill="auto"/>
        <w:tabs>
          <w:tab w:val="left" w:pos="764"/>
        </w:tabs>
        <w:spacing w:before="0"/>
        <w:ind w:left="760"/>
      </w:pPr>
      <w:r>
        <w:t>Haber presentado los documentos de cotización correspondientes a las cuotas de Seguridad Social y, si procediese, de los conceptos de recaudación conjunta con las mismas, así como de las asimiladas a aquéllas a efectos recaudatorios, correspondientes a los doce meses anteriores a la fecha de solicitud de la certificación.</w:t>
      </w:r>
    </w:p>
    <w:p w:rsidR="00672E29" w:rsidRDefault="0080591B">
      <w:pPr>
        <w:pStyle w:val="Cuerpodeltexto40"/>
        <w:numPr>
          <w:ilvl w:val="0"/>
          <w:numId w:val="2"/>
        </w:numPr>
        <w:shd w:val="clear" w:color="auto" w:fill="auto"/>
        <w:tabs>
          <w:tab w:val="left" w:pos="764"/>
        </w:tabs>
        <w:spacing w:before="0" w:after="241"/>
        <w:ind w:left="760"/>
      </w:pPr>
      <w:r>
        <w:t>Estar al corriente en el pago de las cuotas o de otras deudas con la Seguridad Social</w:t>
      </w:r>
    </w:p>
    <w:p w:rsidR="00672E29" w:rsidRDefault="0080591B">
      <w:pPr>
        <w:pStyle w:val="Cuerpodeltexto20"/>
        <w:shd w:val="clear" w:color="auto" w:fill="auto"/>
        <w:spacing w:before="0"/>
        <w:ind w:firstLine="0"/>
      </w:pPr>
      <w:r>
        <w:t>A continuación, el artículo 15 del Real Decreto 1098/2001, dispone que las circunstancias expresadas en los artículos 13 y 14 se acreditarán mediante certificación administrativa expedida por el órgano competente (excepto la relativa al Impuesto de Actividades Económicas cuya acreditación se efectuará mediante la presentación del alta, referida al ejercicio corriente, o del último recibo del IAE, completado con una declaración responsable de no haberse dado de baja en la matrícula del citado impuesto).</w:t>
      </w:r>
    </w:p>
    <w:p w:rsidR="00672E29" w:rsidRDefault="0080591B">
      <w:pPr>
        <w:pStyle w:val="Cuerpodeltexto20"/>
        <w:shd w:val="clear" w:color="auto" w:fill="auto"/>
        <w:spacing w:before="0" w:after="0"/>
        <w:ind w:firstLine="0"/>
        <w:rPr>
          <w:rStyle w:val="Cuerpodeltexto2Negrita0"/>
        </w:rPr>
      </w:pPr>
      <w:r>
        <w:t xml:space="preserve">Las certificaciones pueden ser positivas cuando se cumplan todos los requisitos indicados en los artículos 13 y 14 del Reglamento o negativas, en caso contrario. En este punto, interesa en particular lo dispuesto en el artículo 16.1 del Reglamento de la Ley de Contratos, según el cual “Las </w:t>
      </w:r>
      <w:r>
        <w:rPr>
          <w:rStyle w:val="Cuerpodeltexto2Cursiva"/>
        </w:rPr>
        <w:t>certificaciones se expedirán a los efectos exclusivos que en las mismas se hagan constar</w:t>
      </w:r>
      <w:r>
        <w:rPr>
          <w:rStyle w:val="Cuerpodeltexto2Negrita0"/>
        </w:rPr>
        <w:t>..."</w:t>
      </w:r>
      <w:r>
        <w:rPr>
          <w:rStyle w:val="Cuerpodeltexto2Negrita0"/>
          <w:vertAlign w:val="superscript"/>
        </w:rPr>
        <w:footnoteReference w:id="2"/>
      </w:r>
    </w:p>
    <w:p w:rsidR="00E87648" w:rsidRDefault="00E87648">
      <w:pPr>
        <w:pStyle w:val="Cuerpodeltexto20"/>
        <w:shd w:val="clear" w:color="auto" w:fill="auto"/>
        <w:spacing w:before="0" w:after="0"/>
        <w:ind w:firstLine="0"/>
      </w:pPr>
    </w:p>
    <w:p w:rsidR="00C07888" w:rsidRDefault="00C07888">
      <w:pPr>
        <w:pStyle w:val="Cuerpodeltexto20"/>
        <w:shd w:val="clear" w:color="auto" w:fill="auto"/>
        <w:spacing w:before="0"/>
        <w:ind w:firstLine="0"/>
      </w:pPr>
    </w:p>
    <w:p w:rsidR="00672E29" w:rsidRDefault="0080591B">
      <w:pPr>
        <w:pStyle w:val="Cuerpodeltexto20"/>
        <w:shd w:val="clear" w:color="auto" w:fill="auto"/>
        <w:spacing w:before="0"/>
        <w:ind w:firstLine="0"/>
      </w:pPr>
      <w:bookmarkStart w:id="2" w:name="_GoBack"/>
      <w:bookmarkEnd w:id="2"/>
      <w:r>
        <w:t xml:space="preserve">En el </w:t>
      </w:r>
      <w:r>
        <w:rPr>
          <w:rStyle w:val="Cuerpodeltexto2Negrita"/>
        </w:rPr>
        <w:t>ámbito subvencional</w:t>
      </w:r>
      <w:r>
        <w:t xml:space="preserve">, la Ley 38/2003, de 17 de noviembre, establece en su artículo 13 (básico), apartado 2.e) que no podrán obtener la condición de beneficiario o entidad colaboradora de las subvenciones reguladas en esta Ley las personas o entidades que no se hallen al corriente en el cumplimiento de las obligaciones tributarias o frente a la Seguridad Social impuestas por las disposiciones vigentes. En el mismo sentido, el artículo 8.e) de la Ley 2/1995, de 5 de marzo, de Subvenciones de la Comunidad de Madrid, establece la obligación del beneficiario de </w:t>
      </w:r>
      <w:r>
        <w:rPr>
          <w:rStyle w:val="Cuerpodeltexto245ptoCursiva"/>
        </w:rPr>
        <w:t>“</w:t>
      </w:r>
      <w:r>
        <w:rPr>
          <w:rStyle w:val="Cuerpodeltexto2Cursiva"/>
        </w:rPr>
        <w:t>hallarse, con carácter previo al cobro de la subvención, al corriente de sus obligaciones con la Seguridad Social, no tener deudas en período ejecutivo de pago con la Comunidad de Madrid, salvo que las mismas estén debidamente garantizadas, ni tener deudas de carácter tributario con otras Administraciones Públicas”</w:t>
      </w:r>
      <w:r>
        <w:rPr>
          <w:rStyle w:val="Cuerpodeltexto245ptoCursiva"/>
        </w:rPr>
        <w:t>.</w:t>
      </w:r>
    </w:p>
    <w:p w:rsidR="00672E29" w:rsidRDefault="0080591B">
      <w:pPr>
        <w:pStyle w:val="Cuerpodeltexto20"/>
        <w:shd w:val="clear" w:color="auto" w:fill="auto"/>
        <w:spacing w:before="0" w:after="279"/>
        <w:ind w:firstLine="0"/>
      </w:pPr>
      <w:r>
        <w:t xml:space="preserve">Los artículos 18 y 19 (ambos de carácter básico) del Real Decreto 887/2006, de 21 de julio, por el que se aprueba el Reglamento de la Ley 38/2003, de 17 de noviembre, General de Subvenciones, enumeran los requisitos que deben cumplir los beneficiarios o entidades colaboradoras para entender que se encuentran al corriente respectivamente de sus obligaciones tributarias y de Seguridad Social. El citado artículo 18 entiende que los beneficiarios se encuentran al corriente de las </w:t>
      </w:r>
      <w:r>
        <w:rPr>
          <w:rStyle w:val="Cuerpodeltexto21"/>
        </w:rPr>
        <w:t>obligaciones tributarias</w:t>
      </w:r>
      <w:r>
        <w:t xml:space="preserve"> cuando cumplan los siguientes requisitos:</w:t>
      </w:r>
    </w:p>
    <w:p w:rsidR="00672E29" w:rsidRDefault="0080591B">
      <w:pPr>
        <w:pStyle w:val="Cuerpodeltexto40"/>
        <w:numPr>
          <w:ilvl w:val="0"/>
          <w:numId w:val="3"/>
        </w:numPr>
        <w:shd w:val="clear" w:color="auto" w:fill="auto"/>
        <w:tabs>
          <w:tab w:val="left" w:pos="758"/>
        </w:tabs>
        <w:spacing w:before="0"/>
        <w:ind w:left="760"/>
      </w:pPr>
      <w:r>
        <w:t>Haber presentado las autoliquidaciones que correspondan por el Impuesto sobre la Renta de las Personas Físicas, el Impuesto sobre Sociedades o el Impuesto sobre la Renta de no Residentes.</w:t>
      </w:r>
    </w:p>
    <w:p w:rsidR="00672E29" w:rsidRDefault="0080591B">
      <w:pPr>
        <w:pStyle w:val="Cuerpodeltexto40"/>
        <w:numPr>
          <w:ilvl w:val="0"/>
          <w:numId w:val="3"/>
        </w:numPr>
        <w:shd w:val="clear" w:color="auto" w:fill="auto"/>
        <w:tabs>
          <w:tab w:val="left" w:pos="758"/>
        </w:tabs>
        <w:spacing w:before="0"/>
        <w:ind w:left="760"/>
      </w:pPr>
      <w:r>
        <w:t>Haber presentado las autoliquidaciones y la declaración resumen anual correspondientes a las obligaciones tributarias de realizar pagos a cuenta.</w:t>
      </w:r>
    </w:p>
    <w:p w:rsidR="00672E29" w:rsidRDefault="0080591B">
      <w:pPr>
        <w:pStyle w:val="Cuerpodeltexto40"/>
        <w:numPr>
          <w:ilvl w:val="0"/>
          <w:numId w:val="3"/>
        </w:numPr>
        <w:shd w:val="clear" w:color="auto" w:fill="auto"/>
        <w:tabs>
          <w:tab w:val="left" w:pos="758"/>
        </w:tabs>
        <w:spacing w:before="0"/>
        <w:ind w:left="760"/>
      </w:pPr>
      <w:r>
        <w:t>Haber presentado las autoliquidaciones, la declaración resumen anual y, en su caso, las declaraciones recapitulativas de operaciones intracomunitarias del Impuesto sobre el Valor Añadido.</w:t>
      </w:r>
    </w:p>
    <w:p w:rsidR="00672E29" w:rsidRDefault="0080591B">
      <w:pPr>
        <w:pStyle w:val="Cuerpodeltexto40"/>
        <w:numPr>
          <w:ilvl w:val="0"/>
          <w:numId w:val="3"/>
        </w:numPr>
        <w:shd w:val="clear" w:color="auto" w:fill="auto"/>
        <w:tabs>
          <w:tab w:val="left" w:pos="758"/>
        </w:tabs>
        <w:spacing w:before="0"/>
        <w:ind w:left="760"/>
      </w:pPr>
      <w:r>
        <w:t>Haber presentado las declaraciones exigidas con carácter general en cumplimiento de la obligación de suministro de información regulada en los artículos 93 y 94 de la Ley 58/2003, de 17 de diciembre, General Tributaria, durante el periodo en que resulten exigibles de acuerdo con el artículo 70 de dicha Ley.</w:t>
      </w:r>
    </w:p>
    <w:p w:rsidR="00672E29" w:rsidRDefault="0080591B">
      <w:pPr>
        <w:pStyle w:val="Cuerpodeltexto40"/>
        <w:numPr>
          <w:ilvl w:val="0"/>
          <w:numId w:val="3"/>
        </w:numPr>
        <w:shd w:val="clear" w:color="auto" w:fill="auto"/>
        <w:tabs>
          <w:tab w:val="left" w:pos="758"/>
        </w:tabs>
        <w:spacing w:before="0"/>
        <w:ind w:left="760"/>
      </w:pPr>
      <w:r>
        <w:t>No mantener con el Estado deudas o sanciones tributarias en periodo ejecutivo, salvo que se trate de deudas o sanciones tributarias que se encuentren aplazadas, fraccionadas o cuya ejecución estuviese suspendida.</w:t>
      </w:r>
    </w:p>
    <w:p w:rsidR="00672E29" w:rsidRDefault="0080591B">
      <w:pPr>
        <w:pStyle w:val="Cuerpodeltexto40"/>
        <w:numPr>
          <w:ilvl w:val="0"/>
          <w:numId w:val="3"/>
        </w:numPr>
        <w:shd w:val="clear" w:color="auto" w:fill="auto"/>
        <w:tabs>
          <w:tab w:val="left" w:pos="758"/>
        </w:tabs>
        <w:spacing w:before="0"/>
        <w:ind w:left="760"/>
      </w:pPr>
      <w:r>
        <w:t>Además, cuando el órgano concedente de la subvención dependa de una Comunidad Autónoma o de una Entidad local, que no tengan deudas o sanciones de naturaleza tributaria con la respectiva Administración autonómica o local, en las condiciones fijadas por la correspondiente Administración.</w:t>
      </w:r>
    </w:p>
    <w:p w:rsidR="00672E29" w:rsidRDefault="0080591B">
      <w:pPr>
        <w:pStyle w:val="Cuerpodeltexto40"/>
        <w:numPr>
          <w:ilvl w:val="0"/>
          <w:numId w:val="3"/>
        </w:numPr>
        <w:shd w:val="clear" w:color="auto" w:fill="auto"/>
        <w:tabs>
          <w:tab w:val="left" w:pos="758"/>
        </w:tabs>
        <w:spacing w:before="0" w:after="241"/>
        <w:ind w:left="760"/>
      </w:pPr>
      <w:r>
        <w:t>No tener pendientes de ingreso responsabilidades civiles derivadas de delito contra la Hacienda Pública declaradas por sentencia firme.</w:t>
      </w:r>
    </w:p>
    <w:p w:rsidR="00672E29" w:rsidRDefault="0080591B">
      <w:pPr>
        <w:pStyle w:val="Cuerpodeltexto50"/>
        <w:shd w:val="clear" w:color="auto" w:fill="auto"/>
        <w:spacing w:before="0"/>
      </w:pPr>
      <w:r>
        <w:rPr>
          <w:rStyle w:val="Cuerpodeltexto5Sincursiva"/>
        </w:rPr>
        <w:t>Por su parte, el artículo 19 del Real Decreto 887/2006, establece que “...</w:t>
      </w:r>
      <w:r>
        <w:t xml:space="preserve">se considerará que los beneficiarios o las entidades colaboradoras se encuentran al corriente en el cumplimiento de sus </w:t>
      </w:r>
      <w:r>
        <w:rPr>
          <w:rStyle w:val="Cuerpodeltexto51"/>
          <w:i/>
          <w:iCs/>
        </w:rPr>
        <w:t>obligaciones con la Seguridad Social,</w:t>
      </w:r>
      <w:r>
        <w:t xml:space="preserve"> cuando no tengan deudas por cuotas o conceptos de recaudación conjunta con las mismas, o las derivadas del incumplimiento de dichas obligaciones de cotización o cualesquiera otras deudas con la Seguridad Social de naturaleza pública.”</w:t>
      </w:r>
    </w:p>
    <w:p w:rsidR="00672E29" w:rsidRDefault="0080591B">
      <w:pPr>
        <w:pStyle w:val="Cuerpodeltexto20"/>
        <w:shd w:val="clear" w:color="auto" w:fill="auto"/>
        <w:spacing w:before="0"/>
        <w:ind w:firstLine="0"/>
      </w:pPr>
      <w:r>
        <w:t xml:space="preserve">En relación con la acreditación del cumplimiento de las obligaciones tributarias, con la Seguridad Social y la residencia fiscal, de acuerdo con el artículo 22 de Reglamento de la Ley 38/2003, de carácter básico, esta acreditación se realizará mediante la certificación expedida por el órgano competente. Finalmente, el artículo 23.1 del Reglamento de la Ley General de Subvenciones, básico como el artículo 22, respecto de los </w:t>
      </w:r>
      <w:r>
        <w:rPr>
          <w:rStyle w:val="Cuerpodeltexto2Negrita0"/>
        </w:rPr>
        <w:t xml:space="preserve">efectos </w:t>
      </w:r>
      <w:r>
        <w:t xml:space="preserve">de las certificaciones, establece que: </w:t>
      </w:r>
      <w:r>
        <w:rPr>
          <w:rStyle w:val="Cuerpodeltexto245ptoCursiva"/>
        </w:rPr>
        <w:t>“</w:t>
      </w:r>
      <w:r>
        <w:rPr>
          <w:rStyle w:val="Cuerpodeltexto2Cursiva"/>
        </w:rPr>
        <w:t>1. Las certificaciones se expedirán a los efectos exclusivos que en las mismas se hagan constar, no originarán derechos ni expectativas de derechos a favor de los solicitantes ni de terceros, no producirán el efecto de interrumpir o suspender los plazos de prescripción, ni servirán de medio de notificación de los procedimientos a que pudieran hacer referencia.”</w:t>
      </w:r>
    </w:p>
    <w:p w:rsidR="00672E29" w:rsidRDefault="0080591B">
      <w:pPr>
        <w:pStyle w:val="Cuerpodeltexto20"/>
        <w:shd w:val="clear" w:color="auto" w:fill="auto"/>
        <w:spacing w:before="0" w:after="263"/>
        <w:ind w:firstLine="0"/>
      </w:pPr>
      <w:r>
        <w:t>De lo hasta aquí expuesto se pueden extraer dos conclusiones: la primera determina que el contenido material de las certificaciones expedidas para acreditar el cumplimiento de las obligaciones tributarias o de Seguridad Social, ya sea a efectos de contratación administrativa o a efectos de subvenciones públicas, presentan supuestos análogos (tanto la normativa contractual como la subvencional exigen haber presentado la declaración de IRPF, renta de no residentes o impuesto de sociedades, las declaraciones por pagos a cuenta, las declaraciones periódicas por el IVA, así como la declaración resumen anual, no tener deudas de naturaleza tributaria en período ejecutivo); la segunda se refiere a que tanto el Real Decreto 1098/2001, como el Real Decreto 887/2006, establecen que las certificaciones se expedirán a los efectos exclusivos que en las mismas se hagan constar. Por tanto, debe resolverse la cuestión de si ha de seguirse el tenor literal de la norma o si, por el contrario, debe interpretarse ésta en el sentido de entender que su finalidad es garantizar que no resulten beneficiarios de subvenciones públicas o adjudicatarios de contratos públicos quienes no se encuentran al corriente en sus obligaciones tributarias y de Seguridad Social, con independencia del modelo de certificado aportado en el expediente correspondiente.</w:t>
      </w:r>
    </w:p>
    <w:p w:rsidR="00672E29" w:rsidRDefault="0080591B">
      <w:pPr>
        <w:pStyle w:val="Ttulo10"/>
        <w:keepNext/>
        <w:keepLines/>
        <w:shd w:val="clear" w:color="auto" w:fill="auto"/>
        <w:spacing w:before="0"/>
      </w:pPr>
      <w:bookmarkStart w:id="3" w:name="bookmark2"/>
      <w:r>
        <w:t>II</w:t>
      </w:r>
      <w:bookmarkEnd w:id="3"/>
    </w:p>
    <w:p w:rsidR="00672E29" w:rsidRDefault="0080591B">
      <w:pPr>
        <w:pStyle w:val="Ttulo10"/>
        <w:keepNext/>
        <w:keepLines/>
        <w:shd w:val="clear" w:color="auto" w:fill="auto"/>
        <w:spacing w:before="0" w:after="253"/>
      </w:pPr>
      <w:bookmarkStart w:id="4" w:name="bookmark3"/>
      <w:r>
        <w:t>Modalidades de Certificados</w:t>
      </w:r>
      <w:bookmarkEnd w:id="4"/>
    </w:p>
    <w:p w:rsidR="00672E29" w:rsidRDefault="0080591B">
      <w:pPr>
        <w:pStyle w:val="Cuerpodeltexto20"/>
        <w:shd w:val="clear" w:color="auto" w:fill="auto"/>
        <w:spacing w:before="0" w:after="0" w:line="254" w:lineRule="exact"/>
        <w:ind w:firstLine="0"/>
      </w:pPr>
      <w:r>
        <w:t>En este punto, corresponde exponer las modalidades de certificados que son</w:t>
      </w:r>
      <w:r w:rsidR="00E87648">
        <w:t xml:space="preserve"> </w:t>
      </w:r>
      <w:r>
        <w:t>expedidos por la Agencia Tributaria y por la Tesorería General de la Seguridad Social.</w:t>
      </w:r>
    </w:p>
    <w:p w:rsidR="00E87648" w:rsidRDefault="00E87648">
      <w:pPr>
        <w:pStyle w:val="Cuerpodeltexto20"/>
        <w:shd w:val="clear" w:color="auto" w:fill="auto"/>
        <w:spacing w:before="0" w:after="0" w:line="254" w:lineRule="exact"/>
        <w:ind w:firstLine="0"/>
      </w:pPr>
    </w:p>
    <w:p w:rsidR="00672E29" w:rsidRDefault="0080591B">
      <w:pPr>
        <w:pStyle w:val="Cuerpodeltexto20"/>
        <w:shd w:val="clear" w:color="auto" w:fill="auto"/>
        <w:spacing w:before="0" w:after="264" w:line="254" w:lineRule="exact"/>
        <w:ind w:firstLine="0"/>
      </w:pPr>
      <w:r>
        <w:t>La Agencia Tributaria expide dos certificados diferentes:</w:t>
      </w:r>
    </w:p>
    <w:p w:rsidR="00672E29" w:rsidRDefault="0080591B">
      <w:pPr>
        <w:pStyle w:val="Cuerpodeltexto20"/>
        <w:numPr>
          <w:ilvl w:val="0"/>
          <w:numId w:val="4"/>
        </w:numPr>
        <w:shd w:val="clear" w:color="auto" w:fill="auto"/>
        <w:tabs>
          <w:tab w:val="left" w:pos="770"/>
        </w:tabs>
        <w:spacing w:before="0" w:after="0"/>
        <w:ind w:left="760" w:hanging="340"/>
      </w:pPr>
      <w:r>
        <w:t>Certificados acreditativos de encontrarse al corriente de las obligaciones tributarias, expedidos a efectos de participar en procedimientos de licitación, con cita expresa del artículo 20.f) del Real Decreto Legislativo 2/2000, de 16 de junio, Texto Refundido de la Ley de Contratos de las Administraciones Públicas, y de los artículos 13 y 15 del Real Decreto 1098/2001, por el que se aprueba el Reglamento de esta Ley.</w:t>
      </w:r>
    </w:p>
    <w:p w:rsidR="00672E29" w:rsidRDefault="0080591B">
      <w:pPr>
        <w:pStyle w:val="Cuerpodeltexto20"/>
        <w:numPr>
          <w:ilvl w:val="0"/>
          <w:numId w:val="4"/>
        </w:numPr>
        <w:shd w:val="clear" w:color="auto" w:fill="auto"/>
        <w:tabs>
          <w:tab w:val="left" w:pos="770"/>
        </w:tabs>
        <w:spacing w:before="0" w:after="263"/>
        <w:ind w:left="760" w:hanging="340"/>
      </w:pPr>
      <w:r>
        <w:t>Certificados acreditativos de encontrarse al corriente de las obligaciones tributarias de conformidad con lo establecido en las letras a), b), c), d), e) y g) del apartado 1 del Real Decreto 887/2006, de 21 de julio, por el que se aprueba el Reglamento de la Ley 38/2003, de 17 de noviembre, General de Subvenciones, expedidos a los efectos exclusivos de procedimientos de subvenciones.</w:t>
      </w:r>
    </w:p>
    <w:p w:rsidR="00672E29" w:rsidRDefault="0080591B">
      <w:pPr>
        <w:pStyle w:val="Cuerpodeltexto20"/>
        <w:shd w:val="clear" w:color="auto" w:fill="auto"/>
        <w:spacing w:before="0" w:after="257" w:line="246" w:lineRule="exact"/>
        <w:ind w:firstLine="0"/>
      </w:pPr>
      <w:r>
        <w:t>En el caso de la Tesorería General de la Seguridad Social existen:</w:t>
      </w:r>
    </w:p>
    <w:p w:rsidR="00672E29" w:rsidRDefault="0080591B">
      <w:pPr>
        <w:pStyle w:val="Cuerpodeltexto20"/>
        <w:numPr>
          <w:ilvl w:val="0"/>
          <w:numId w:val="4"/>
        </w:numPr>
        <w:shd w:val="clear" w:color="auto" w:fill="auto"/>
        <w:tabs>
          <w:tab w:val="left" w:pos="770"/>
        </w:tabs>
        <w:spacing w:before="0" w:after="0"/>
        <w:ind w:left="760" w:hanging="340"/>
      </w:pPr>
      <w:r>
        <w:t>Certificados en los que consta que el solicitante no tiene pendiente de ingreso ninguna reclamación por deudas ya vencidas con la Seguridad Social, expedidos a los solos efectos de lo establecido en el apartado f) del artículo 20 del Real Decreto Legislativo 2/2000, de 16 de junio.</w:t>
      </w:r>
    </w:p>
    <w:p w:rsidR="00672E29" w:rsidRDefault="0080591B">
      <w:pPr>
        <w:pStyle w:val="Cuerpodeltexto20"/>
        <w:numPr>
          <w:ilvl w:val="0"/>
          <w:numId w:val="4"/>
        </w:numPr>
        <w:shd w:val="clear" w:color="auto" w:fill="auto"/>
        <w:tabs>
          <w:tab w:val="left" w:pos="770"/>
        </w:tabs>
        <w:spacing w:before="0" w:after="0"/>
        <w:ind w:left="760" w:hanging="340"/>
      </w:pPr>
      <w:r>
        <w:t>Certificados en los que consta que el solicitante no tiene pendiente de ingreso ninguna reclamación por deudas ya vencidas con la Seguridad Social, expedidos a los solos efectos de lo establecido en el apartado e) del artículo 13.2 de la Ley 38/2003, de 17 de noviembre, General de Subvenciones.</w:t>
      </w:r>
    </w:p>
    <w:p w:rsidR="00672E29" w:rsidRDefault="0080591B">
      <w:pPr>
        <w:pStyle w:val="Cuerpodeltexto20"/>
        <w:numPr>
          <w:ilvl w:val="0"/>
          <w:numId w:val="4"/>
        </w:numPr>
        <w:shd w:val="clear" w:color="auto" w:fill="auto"/>
        <w:tabs>
          <w:tab w:val="left" w:pos="770"/>
        </w:tabs>
        <w:spacing w:before="0" w:after="0"/>
        <w:ind w:left="760" w:hanging="340"/>
      </w:pPr>
      <w:r>
        <w:t>Certificados expedidos por la Tesorería General de la Seguridad Social en los que consta que el solicitante no tiene pendiente de ingreso ninguna reclamación por deudas ya vencidas con la Seguridad Social, en los que no se expresa los efectos a los que se expide.</w:t>
      </w:r>
    </w:p>
    <w:p w:rsidR="00041BB3" w:rsidRDefault="00041BB3" w:rsidP="00041BB3">
      <w:pPr>
        <w:pStyle w:val="Cuerpodeltexto20"/>
        <w:shd w:val="clear" w:color="auto" w:fill="auto"/>
        <w:tabs>
          <w:tab w:val="left" w:pos="770"/>
        </w:tabs>
        <w:spacing w:before="0" w:after="0"/>
        <w:ind w:left="760" w:firstLine="0"/>
      </w:pPr>
    </w:p>
    <w:p w:rsidR="00672E29" w:rsidRDefault="0080591B">
      <w:pPr>
        <w:pStyle w:val="Ttulo10"/>
        <w:keepNext/>
        <w:keepLines/>
        <w:shd w:val="clear" w:color="auto" w:fill="auto"/>
        <w:spacing w:before="0"/>
      </w:pPr>
      <w:bookmarkStart w:id="5" w:name="bookmark4"/>
      <w:r>
        <w:t>III</w:t>
      </w:r>
      <w:bookmarkEnd w:id="5"/>
    </w:p>
    <w:p w:rsidR="00672E29" w:rsidRDefault="0080591B">
      <w:pPr>
        <w:pStyle w:val="Ttulo10"/>
        <w:keepNext/>
        <w:keepLines/>
        <w:shd w:val="clear" w:color="auto" w:fill="auto"/>
        <w:spacing w:before="0" w:after="253"/>
      </w:pPr>
      <w:bookmarkStart w:id="6" w:name="bookmark5"/>
      <w:r>
        <w:t>Efectos de los Certificados</w:t>
      </w:r>
      <w:bookmarkEnd w:id="6"/>
    </w:p>
    <w:p w:rsidR="00672E29" w:rsidRDefault="0080591B">
      <w:pPr>
        <w:pStyle w:val="Cuerpodeltexto20"/>
        <w:shd w:val="clear" w:color="auto" w:fill="auto"/>
        <w:spacing w:before="0" w:after="264" w:line="254" w:lineRule="exact"/>
        <w:ind w:firstLine="0"/>
      </w:pPr>
      <w:r>
        <w:t>Respecto de la admisión de estos certificados, en procedimientos de licitación o de subvenciones, como medio de acreditar la obligación de hallarse al corriente de las obligaciones tributarias y de Seguridad Social, se significa que:</w:t>
      </w:r>
    </w:p>
    <w:p w:rsidR="00672E29" w:rsidRDefault="0080591B">
      <w:pPr>
        <w:pStyle w:val="Cuerpodeltexto20"/>
        <w:shd w:val="clear" w:color="auto" w:fill="auto"/>
        <w:spacing w:before="0"/>
        <w:ind w:firstLine="0"/>
      </w:pPr>
      <w:r>
        <w:t xml:space="preserve">Como se ha expuesto anteriormente, las normas de aplicación actualmente vigentes son claras y contundentes sobre esta particular, resultando de aplicación el </w:t>
      </w:r>
      <w:proofErr w:type="spellStart"/>
      <w:r>
        <w:t>brocardo</w:t>
      </w:r>
      <w:proofErr w:type="spellEnd"/>
      <w:r>
        <w:t xml:space="preserve"> </w:t>
      </w:r>
      <w:r>
        <w:rPr>
          <w:rStyle w:val="Cuerpodeltexto2Cursiva"/>
        </w:rPr>
        <w:t xml:space="preserve">in </w:t>
      </w:r>
      <w:proofErr w:type="spellStart"/>
      <w:r>
        <w:rPr>
          <w:rStyle w:val="Cuerpodeltexto2Cursiva"/>
        </w:rPr>
        <w:t>Claris</w:t>
      </w:r>
      <w:proofErr w:type="spellEnd"/>
      <w:r>
        <w:rPr>
          <w:rStyle w:val="Cuerpodeltexto2Cursiva"/>
        </w:rPr>
        <w:t xml:space="preserve"> non </w:t>
      </w:r>
      <w:proofErr w:type="spellStart"/>
      <w:r>
        <w:rPr>
          <w:rStyle w:val="Cuerpodeltexto2Cursiva"/>
        </w:rPr>
        <w:t>fit</w:t>
      </w:r>
      <w:proofErr w:type="spellEnd"/>
      <w:r>
        <w:rPr>
          <w:rStyle w:val="Cuerpodeltexto2Cursiva"/>
        </w:rPr>
        <w:t xml:space="preserve"> </w:t>
      </w:r>
      <w:proofErr w:type="spellStart"/>
      <w:proofErr w:type="gramStart"/>
      <w:r>
        <w:rPr>
          <w:rStyle w:val="Cuerpodeltexto2Cursiva"/>
        </w:rPr>
        <w:t>interpreta</w:t>
      </w:r>
      <w:r w:rsidR="00E87648">
        <w:rPr>
          <w:rStyle w:val="Cuerpodeltexto2Cursiva"/>
        </w:rPr>
        <w:t>ti</w:t>
      </w:r>
      <w:r>
        <w:rPr>
          <w:rStyle w:val="Cuerpodeltexto2Cursiva"/>
        </w:rPr>
        <w:t>o</w:t>
      </w:r>
      <w:proofErr w:type="spellEnd"/>
      <w:r>
        <w:rPr>
          <w:rStyle w:val="Cuerpodeltexto245ptoCursiva"/>
        </w:rPr>
        <w:t>.</w:t>
      </w:r>
      <w:r w:rsidR="00EB6796">
        <w:t>.</w:t>
      </w:r>
      <w:proofErr w:type="gramEnd"/>
      <w:r w:rsidR="00EB6796">
        <w:t xml:space="preserve"> </w:t>
      </w:r>
      <w:r>
        <w:t>Así, de conformidad con el artículo 16.1 del Real Decreto 1098/2001, los certificados expedidos a efectos de contratación administrativa sólo pueden hacerse valer en este ámbito, y de conformidad con el artículo 23 del Real Decreto 887/2006, los certificados expedidos a los efectos de subvenciones sólo son eficaces en el ámbito subvencional. Por tanto, aprobado y vigente el Real Decreto 887/2006, se ha completado la regulación en lo que se refiere a certificados de obligaciones tributarias y de Seguridad Social, de forma que no cabe admitir en un procedimiento de subvenciones un certificado expedido a los efectos de contratación administrativa, ni, al contrario, cabe admitir en una licitación pública un certificado expedido a los efectos previstos en la Ley General de Subvenciones.</w:t>
      </w:r>
    </w:p>
    <w:p w:rsidR="00672E29" w:rsidRDefault="0080591B">
      <w:pPr>
        <w:pStyle w:val="Cuerpodeltexto20"/>
        <w:shd w:val="clear" w:color="auto" w:fill="auto"/>
        <w:spacing w:before="0"/>
        <w:ind w:firstLine="0"/>
      </w:pPr>
      <w:r>
        <w:t>De esta forma, queda dentro de la esfera propia de quien participe en un procedimiento de licitación o de quien aspire a ser beneficiario o entidad colaboradora de una subvención, el actuar con la necesaria diligencia para que el correspondiente certificado sea expedido a los efectos que procedan.</w:t>
      </w:r>
    </w:p>
    <w:p w:rsidR="00672E29" w:rsidRDefault="0080591B">
      <w:pPr>
        <w:pStyle w:val="Cuerpodeltexto20"/>
        <w:shd w:val="clear" w:color="auto" w:fill="auto"/>
        <w:spacing w:before="0"/>
        <w:ind w:firstLine="0"/>
      </w:pPr>
      <w:r>
        <w:t xml:space="preserve">Finalmente, resta determinar el ámbito en que pueden hacerse valer aquellos certificados que no precisan los efectos a los que se expiden. Como se ha expuesto en la consideración segunda, se ha observado la existencia de determinados certificados expedidos por la Tesorería General de la Seguridad Social en los que no se expresa los efectos a los que se expide. Tanto en este supuesto como en el caso que se aportase, si </w:t>
      </w:r>
      <w:proofErr w:type="spellStart"/>
      <w:r>
        <w:t>lo</w:t>
      </w:r>
      <w:proofErr w:type="spellEnd"/>
      <w:r>
        <w:t xml:space="preserve"> hubiere, un certificado expedido por la Agencia Tributaria que no concretase los efectos para los que se expide, la solución ha de ser la misma: donde el órgano certificante no discrimine, el órgano adjudicatario o el órgano concedente (y, de la misma forma, la Intervención) no deben discriminar. Por tanto, con independencia de que lo deseable sea que los certificados expresen los efectos para los que se expiden, aquellos certificados de la Tesorería General de la Seguridad Social en los que consta que el solicitante no tiene pendiente de ingreso ninguna reclamación por deudas ya vencidas con la Seguridad Social, sin precisar los efectos a los que se expiden, al igual que aquellos certificados de la Agencia Tributaria acreditativos de que el solicitante se encuentra al corriente de las obligaciones tributarias, expedidos sin precisar los efectos a los que se expiden, si los hubiere, deben producir efectos tanto en el ámbito de licitaciones públicas como en el ámbito de procedimientos de subvenciones.</w:t>
      </w:r>
    </w:p>
    <w:p w:rsidR="00672E29" w:rsidRDefault="0080591B">
      <w:pPr>
        <w:pStyle w:val="Cuerpodeltexto20"/>
        <w:shd w:val="clear" w:color="auto" w:fill="auto"/>
        <w:spacing w:before="0"/>
        <w:ind w:firstLine="0"/>
      </w:pPr>
      <w:r>
        <w:t>Asimismo, se debe subrayar que los certificados expedidos en ámbitos diferentes a los que se han examinado en el cuerpo de este informe (contratos y subvenciones) únicamente producirán efectos en el ámbito para el que se expidan (por ejemplo, los efectos de los certificados de situación de cotización expedidos consecuencia de lo dispuesto en el artículo 42 del Estatuto de los Trabajadores, se circunscriben al ámbito de la subcontratación de obras y de servicios con el objeto de delimitar el alcance de la responsabilidad de la empresa principal y las empresas contratistas, no acreditando el cumplimiento de las obligaciones de la Seguridad Social por parte de solicitantes de subvenciones o licitadores de contratos</w:t>
      </w:r>
      <w:r>
        <w:rPr>
          <w:vertAlign w:val="superscript"/>
        </w:rPr>
        <w:footnoteReference w:id="3"/>
      </w:r>
      <w:r>
        <w:t>).</w:t>
      </w:r>
    </w:p>
    <w:p w:rsidR="00672E29" w:rsidRDefault="0080591B">
      <w:pPr>
        <w:pStyle w:val="Cuerpodeltexto20"/>
        <w:shd w:val="clear" w:color="auto" w:fill="auto"/>
        <w:spacing w:before="0" w:after="263"/>
        <w:ind w:firstLine="0"/>
      </w:pPr>
      <w:r>
        <w:t xml:space="preserve">En definitiva, las normas de aplicación a la cuestión objeto de este informe -Real Decreto 1098/2001 y Real Decreto 887/2006- establecen que el cumplimiento de las obligaciones tributarias y de Seguridad Social, deben ser acreditadas mediante certificación administrativa expedida por el órgano competente (salvo la acreditación de alta en el Impuesto de Actividades Económicas, cuya acreditación se efectuará mediante la presentación del alta, referida al ejercicio corriente, o del último recibo del Impuesto de Actividades Económicas completado con una declaración responsable de no haberse dado de baja en la matrícula del citado impuesto). En el caso de que dichas certificaciones no precisen los efectos a los que se expiden, deberán ser admitidas tanto en procedimientos </w:t>
      </w:r>
      <w:proofErr w:type="spellStart"/>
      <w:r>
        <w:t>subvencionales</w:t>
      </w:r>
      <w:proofErr w:type="spellEnd"/>
      <w:r>
        <w:t xml:space="preserve"> y de contratación, mientras que si precisan los efectos a los que se expiden sólo deberán ser admitidas en el correspondiente ámbito.</w:t>
      </w:r>
    </w:p>
    <w:p w:rsidR="00672E29" w:rsidRDefault="0080591B">
      <w:pPr>
        <w:pStyle w:val="Ttulo10"/>
        <w:keepNext/>
        <w:keepLines/>
        <w:shd w:val="clear" w:color="auto" w:fill="auto"/>
        <w:spacing w:before="0" w:after="257"/>
      </w:pPr>
      <w:bookmarkStart w:id="7" w:name="bookmark6"/>
      <w:r>
        <w:t>CONCLUSIONES</w:t>
      </w:r>
      <w:bookmarkEnd w:id="7"/>
    </w:p>
    <w:p w:rsidR="00672E29" w:rsidRDefault="0080591B">
      <w:pPr>
        <w:pStyle w:val="Cuerpodeltexto20"/>
        <w:numPr>
          <w:ilvl w:val="0"/>
          <w:numId w:val="4"/>
        </w:numPr>
        <w:shd w:val="clear" w:color="auto" w:fill="auto"/>
        <w:tabs>
          <w:tab w:val="left" w:pos="760"/>
        </w:tabs>
        <w:spacing w:before="0" w:after="0"/>
        <w:ind w:left="760"/>
      </w:pPr>
      <w:r>
        <w:t>En el ámbito de las subvenciones públicas y de la contratación administrativa el cumplimiento de las obligaciones tributarias y de Seguridad Social deben ser acreditadas mediante certificación administrativa expedida por el órgano competente.</w:t>
      </w:r>
    </w:p>
    <w:p w:rsidR="00041BB3" w:rsidRDefault="00041BB3" w:rsidP="00041BB3">
      <w:pPr>
        <w:pStyle w:val="Cuerpodeltexto20"/>
        <w:shd w:val="clear" w:color="auto" w:fill="auto"/>
        <w:tabs>
          <w:tab w:val="left" w:pos="760"/>
        </w:tabs>
        <w:spacing w:before="0" w:after="0"/>
        <w:ind w:left="400" w:firstLine="0"/>
      </w:pPr>
    </w:p>
    <w:p w:rsidR="00672E29" w:rsidRDefault="0080591B">
      <w:pPr>
        <w:pStyle w:val="Cuerpodeltexto20"/>
        <w:numPr>
          <w:ilvl w:val="0"/>
          <w:numId w:val="4"/>
        </w:numPr>
        <w:shd w:val="clear" w:color="auto" w:fill="auto"/>
        <w:tabs>
          <w:tab w:val="left" w:pos="760"/>
        </w:tabs>
        <w:spacing w:before="0" w:after="0"/>
        <w:ind w:left="760"/>
      </w:pPr>
      <w:r>
        <w:t>Las certificaciones sólo surtirán efectos en el ámbito para el que se expidan.</w:t>
      </w:r>
    </w:p>
    <w:p w:rsidR="00041BB3" w:rsidRDefault="00041BB3" w:rsidP="00041BB3">
      <w:pPr>
        <w:pStyle w:val="Prrafodelista"/>
      </w:pPr>
    </w:p>
    <w:p w:rsidR="00672E29" w:rsidRDefault="0080591B">
      <w:pPr>
        <w:pStyle w:val="Cuerpodeltexto20"/>
        <w:numPr>
          <w:ilvl w:val="0"/>
          <w:numId w:val="4"/>
        </w:numPr>
        <w:shd w:val="clear" w:color="auto" w:fill="auto"/>
        <w:tabs>
          <w:tab w:val="left" w:pos="760"/>
        </w:tabs>
        <w:spacing w:before="0" w:after="0"/>
        <w:ind w:left="760"/>
      </w:pPr>
      <w:r>
        <w:t>Las certificaciones que no precisen los efectos para los que se expiden deberán ser admitidas en el ámbito de la contratación pública y en el de las subvenciones.</w:t>
      </w:r>
    </w:p>
    <w:sectPr w:rsidR="00672E29">
      <w:footerReference w:type="default" r:id="rId10"/>
      <w:pgSz w:w="11900" w:h="16840"/>
      <w:pgMar w:top="1378" w:right="1656" w:bottom="1388" w:left="166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91B" w:rsidRDefault="0080591B">
      <w:r>
        <w:separator/>
      </w:r>
    </w:p>
  </w:endnote>
  <w:endnote w:type="continuationSeparator" w:id="0">
    <w:p w:rsidR="0080591B" w:rsidRDefault="0080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E29" w:rsidRDefault="00041BB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3758565</wp:posOffset>
              </wp:positionH>
              <wp:positionV relativeFrom="page">
                <wp:posOffset>10107930</wp:posOffset>
              </wp:positionV>
              <wp:extent cx="70485" cy="160655"/>
              <wp:effectExtent l="0" t="1905" r="254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E29" w:rsidRDefault="0080591B">
                          <w:pPr>
                            <w:pStyle w:val="Encabezamientoopiedepgina0"/>
                            <w:shd w:val="clear" w:color="auto" w:fill="auto"/>
                            <w:spacing w:line="240" w:lineRule="auto"/>
                          </w:pPr>
                          <w:r>
                            <w:fldChar w:fldCharType="begin"/>
                          </w:r>
                          <w:r>
                            <w:instrText xml:space="preserve"> PAGE \* MERGEFORMAT </w:instrText>
                          </w:r>
                          <w:r>
                            <w:fldChar w:fldCharType="separate"/>
                          </w:r>
                          <w:r w:rsidR="00C07888" w:rsidRPr="00C07888">
                            <w:rPr>
                              <w:rStyle w:val="Encabezamientoopiedepgina1"/>
                              <w:noProof/>
                            </w:rPr>
                            <w:t>6</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95pt;margin-top:795.9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" filled="f" stroked="f">
              <v:textbox style="mso-fit-shape-to-text:t" inset="0,0,0,0">
                <w:txbxContent>
                  <w:p w:rsidR="00672E29" w:rsidRDefault="0080591B">
                    <w:pPr>
                      <w:pStyle w:val="Encabezamientoopiedepgina0"/>
                      <w:shd w:val="clear" w:color="auto" w:fill="auto"/>
                      <w:spacing w:line="240" w:lineRule="auto"/>
                    </w:pPr>
                    <w:r>
                      <w:fldChar w:fldCharType="begin"/>
                    </w:r>
                    <w:r>
                      <w:instrText xml:space="preserve"> PAGE \* MERGEFORMAT </w:instrText>
                    </w:r>
                    <w:r>
                      <w:fldChar w:fldCharType="separate"/>
                    </w:r>
                    <w:r w:rsidR="00C07888" w:rsidRPr="00C07888">
                      <w:rPr>
                        <w:rStyle w:val="Encabezamientoopiedepgina1"/>
                        <w:noProof/>
                      </w:rPr>
                      <w:t>6</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91B" w:rsidRDefault="0080591B">
      <w:r>
        <w:separator/>
      </w:r>
    </w:p>
  </w:footnote>
  <w:footnote w:type="continuationSeparator" w:id="0">
    <w:p w:rsidR="0080591B" w:rsidRDefault="0080591B">
      <w:r>
        <w:continuationSeparator/>
      </w:r>
    </w:p>
  </w:footnote>
  <w:footnote w:id="1">
    <w:p w:rsidR="00672E29" w:rsidRDefault="0080591B">
      <w:pPr>
        <w:pStyle w:val="Notaalpie20"/>
        <w:shd w:val="clear" w:color="auto" w:fill="auto"/>
      </w:pPr>
      <w:r>
        <w:footnoteRef/>
      </w:r>
    </w:p>
    <w:p w:rsidR="00672E29" w:rsidRDefault="0080591B">
      <w:pPr>
        <w:pStyle w:val="Notaalpie0"/>
        <w:shd w:val="clear" w:color="auto" w:fill="auto"/>
        <w:ind w:firstLine="200"/>
      </w:pPr>
      <w:r>
        <w:t xml:space="preserve">Los artículos 13, 14, 15 y 16 del Real Decreto 1098/2001, tienen carácter básico, salvo el artículo 13.1, párrafo e). Tampoco tiene carácter básico el inciso del artículo 15.3 </w:t>
      </w:r>
      <w:r>
        <w:rPr>
          <w:rStyle w:val="NotaalpieCursiva"/>
        </w:rPr>
        <w:t>“...quedando en la sede de dicho órgano a disposición del solicitante".</w:t>
      </w:r>
    </w:p>
    <w:p w:rsidR="00672E29" w:rsidRDefault="0080591B">
      <w:pPr>
        <w:pStyle w:val="Notaalpie0"/>
        <w:shd w:val="clear" w:color="auto" w:fill="auto"/>
      </w:pPr>
      <w:r>
        <w:t>Por su parte, la Ley 30/2007, de 30 de octubre, de Contratos del Sector Público (de próxima entrada en vigor), mantiene, en esta materia, la misma regulación que el TRLCAP, al establecer en su artículo 49.1.e) que no podrán contratar con el sector público quienes no se hallen al corriente en el cumplimiento de sus obligaciones tributarias o de Seguridad Social impuestas por las disposiciones vigentes.</w:t>
      </w:r>
    </w:p>
  </w:footnote>
  <w:footnote w:id="2">
    <w:p w:rsidR="00672E29" w:rsidRDefault="0080591B">
      <w:pPr>
        <w:pStyle w:val="Notaalpie0"/>
        <w:shd w:val="clear" w:color="auto" w:fill="auto"/>
        <w:spacing w:line="230" w:lineRule="exact"/>
      </w:pPr>
      <w:r>
        <w:rPr>
          <w:vertAlign w:val="superscript"/>
        </w:rPr>
        <w:footnoteRef/>
      </w:r>
      <w:r>
        <w:t xml:space="preserve"> La Ley 30/2007, de 30 de octubre, de Contratos del Sector Público, en su artículo 62, prevé como formas de acreditar la no incursión en prohibición de contratar el testimonio judicial o certificación administrativa, según los casos.</w:t>
      </w:r>
    </w:p>
  </w:footnote>
  <w:footnote w:id="3">
    <w:p w:rsidR="00672E29" w:rsidRDefault="0080591B">
      <w:pPr>
        <w:pStyle w:val="Notaalpie20"/>
        <w:shd w:val="clear" w:color="auto" w:fill="auto"/>
        <w:jc w:val="left"/>
      </w:pPr>
      <w:r>
        <w:footnoteRef/>
      </w:r>
    </w:p>
    <w:p w:rsidR="00672E29" w:rsidRDefault="00E87648">
      <w:pPr>
        <w:pStyle w:val="Notaalpie0"/>
        <w:shd w:val="clear" w:color="auto" w:fill="auto"/>
        <w:spacing w:line="224" w:lineRule="exact"/>
        <w:ind w:left="160"/>
        <w:jc w:val="left"/>
      </w:pPr>
      <w:r>
        <w:t>Véase</w:t>
      </w:r>
      <w:r w:rsidR="0080591B">
        <w:t xml:space="preserve"> Informe de la Intervención General de la Comunidad de Madrid de 10/9/2007.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CEC"/>
    <w:multiLevelType w:val="multilevel"/>
    <w:tmpl w:val="F678E7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21D78"/>
    <w:multiLevelType w:val="multilevel"/>
    <w:tmpl w:val="6BF86A7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27C6E"/>
    <w:multiLevelType w:val="multilevel"/>
    <w:tmpl w:val="AE848B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04C0E"/>
    <w:multiLevelType w:val="multilevel"/>
    <w:tmpl w:val="0900AB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29"/>
    <w:rsid w:val="00041BB3"/>
    <w:rsid w:val="00672E29"/>
    <w:rsid w:val="0080591B"/>
    <w:rsid w:val="00C07888"/>
    <w:rsid w:val="00E87648"/>
    <w:rsid w:val="00EB6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654F07"/>
  <w15:docId w15:val="{2D9EB4D7-7E1D-4C52-8094-A04AF4D8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2">
    <w:name w:val="Nota al pie (2)_"/>
    <w:basedOn w:val="Fuentedeprrafopredeter"/>
    <w:link w:val="Notaalpie20"/>
    <w:rPr>
      <w:rFonts w:ascii="Arial" w:eastAsia="Arial" w:hAnsi="Arial" w:cs="Arial"/>
      <w:b w:val="0"/>
      <w:bCs w:val="0"/>
      <w:i w:val="0"/>
      <w:iCs w:val="0"/>
      <w:smallCaps w:val="0"/>
      <w:strike w:val="0"/>
      <w:sz w:val="12"/>
      <w:szCs w:val="12"/>
      <w:u w:val="none"/>
    </w:rPr>
  </w:style>
  <w:style w:type="character" w:customStyle="1" w:styleId="Notaalpie">
    <w:name w:val="Nota al pie_"/>
    <w:basedOn w:val="Fuentedeprrafopredeter"/>
    <w:link w:val="Notaalpie0"/>
    <w:rPr>
      <w:rFonts w:ascii="Arial" w:eastAsia="Arial" w:hAnsi="Arial" w:cs="Arial"/>
      <w:b w:val="0"/>
      <w:bCs w:val="0"/>
      <w:i w:val="0"/>
      <w:iCs w:val="0"/>
      <w:smallCaps w:val="0"/>
      <w:strike w:val="0"/>
      <w:sz w:val="20"/>
      <w:szCs w:val="20"/>
      <w:u w:val="none"/>
    </w:rPr>
  </w:style>
  <w:style w:type="character" w:customStyle="1" w:styleId="NotaalpieCursiva">
    <w:name w:val="Nota al pie + Cursiva"/>
    <w:basedOn w:val="Notaalpie"/>
    <w:rPr>
      <w:rFonts w:ascii="Arial" w:eastAsia="Arial" w:hAnsi="Arial" w:cs="Arial"/>
      <w:b w:val="0"/>
      <w:bCs w:val="0"/>
      <w:i/>
      <w:iCs/>
      <w:smallCaps w:val="0"/>
      <w:strike w:val="0"/>
      <w:color w:val="000000"/>
      <w:spacing w:val="0"/>
      <w:w w:val="100"/>
      <w:position w:val="0"/>
      <w:sz w:val="20"/>
      <w:szCs w:val="20"/>
      <w:u w:val="none"/>
      <w:lang w:val="es-ES" w:eastAsia="es-ES" w:bidi="es-ES"/>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Cuerpodeltexto2Negrita">
    <w:name w:val="Cuerpo del texto (2) + Negrita"/>
    <w:basedOn w:val="Cuerpodeltexto2"/>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1">
    <w:name w:val="Cuerpo del texto (2)"/>
    <w:basedOn w:val="Cuerpodeltexto2"/>
    <w:rPr>
      <w:rFonts w:ascii="Arial" w:eastAsia="Arial" w:hAnsi="Arial" w:cs="Arial"/>
      <w:b w:val="0"/>
      <w:bCs w:val="0"/>
      <w:i w:val="0"/>
      <w:iCs w:val="0"/>
      <w:smallCaps w:val="0"/>
      <w:strike w:val="0"/>
      <w:color w:val="000000"/>
      <w:spacing w:val="0"/>
      <w:w w:val="100"/>
      <w:position w:val="0"/>
      <w:sz w:val="22"/>
      <w:szCs w:val="22"/>
      <w:u w:val="single"/>
      <w:lang w:val="es-ES" w:eastAsia="es-ES" w:bidi="es-ES"/>
    </w:rPr>
  </w:style>
  <w:style w:type="character" w:customStyle="1" w:styleId="Cuerpodeltexto4">
    <w:name w:val="Cuerpo del texto (4)_"/>
    <w:basedOn w:val="Fuentedeprrafopredeter"/>
    <w:link w:val="Cuerpodeltexto40"/>
    <w:rPr>
      <w:rFonts w:ascii="Arial" w:eastAsia="Arial" w:hAnsi="Arial" w:cs="Arial"/>
      <w:b w:val="0"/>
      <w:bCs w:val="0"/>
      <w:i w:val="0"/>
      <w:iCs w:val="0"/>
      <w:smallCaps w:val="0"/>
      <w:strike w:val="0"/>
      <w:sz w:val="20"/>
      <w:szCs w:val="20"/>
      <w:u w:val="none"/>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Negrita0">
    <w:name w:val="Cuerpo del texto (2) + Negrita"/>
    <w:basedOn w:val="Cuerpodeltexto2"/>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Cuerpodeltexto245ptoCursiva">
    <w:name w:val="Cuerpo del texto (2) + 4;5 pto;Cursiva"/>
    <w:basedOn w:val="Cuerpodeltexto2"/>
    <w:rPr>
      <w:rFonts w:ascii="Arial" w:eastAsia="Arial" w:hAnsi="Arial" w:cs="Arial"/>
      <w:b w:val="0"/>
      <w:bCs w:val="0"/>
      <w:i/>
      <w:iCs/>
      <w:smallCaps w:val="0"/>
      <w:strike w:val="0"/>
      <w:color w:val="000000"/>
      <w:spacing w:val="0"/>
      <w:w w:val="100"/>
      <w:position w:val="0"/>
      <w:sz w:val="9"/>
      <w:szCs w:val="9"/>
      <w:u w:val="none"/>
      <w:lang w:val="es-ES" w:eastAsia="es-ES" w:bidi="es-ES"/>
    </w:rPr>
  </w:style>
  <w:style w:type="character" w:customStyle="1" w:styleId="Cuerpodeltexto5">
    <w:name w:val="Cuerpo del texto (5)_"/>
    <w:basedOn w:val="Fuentedeprrafopredeter"/>
    <w:link w:val="Cuerpodeltexto50"/>
    <w:rPr>
      <w:rFonts w:ascii="Arial" w:eastAsia="Arial" w:hAnsi="Arial" w:cs="Arial"/>
      <w:b w:val="0"/>
      <w:bCs w:val="0"/>
      <w:i/>
      <w:iCs/>
      <w:smallCaps w:val="0"/>
      <w:strike w:val="0"/>
      <w:sz w:val="22"/>
      <w:szCs w:val="22"/>
      <w:u w:val="none"/>
    </w:rPr>
  </w:style>
  <w:style w:type="character" w:customStyle="1" w:styleId="Cuerpodeltexto5Sincursiva">
    <w:name w:val="Cuerpo del texto (5) + Sin cursiva"/>
    <w:basedOn w:val="Cuerpodeltexto5"/>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51">
    <w:name w:val="Cuerpo del texto (5)"/>
    <w:basedOn w:val="Cuerpodeltexto5"/>
    <w:rPr>
      <w:rFonts w:ascii="Arial" w:eastAsia="Arial" w:hAnsi="Arial" w:cs="Arial"/>
      <w:b w:val="0"/>
      <w:bCs w:val="0"/>
      <w:i/>
      <w:iCs/>
      <w:smallCaps w:val="0"/>
      <w:strike w:val="0"/>
      <w:color w:val="000000"/>
      <w:spacing w:val="0"/>
      <w:w w:val="100"/>
      <w:position w:val="0"/>
      <w:sz w:val="22"/>
      <w:szCs w:val="22"/>
      <w:u w:val="single"/>
      <w:lang w:val="es-ES" w:eastAsia="es-ES" w:bidi="es-ES"/>
    </w:rPr>
  </w:style>
  <w:style w:type="paragraph" w:customStyle="1" w:styleId="Notaalpie20">
    <w:name w:val="Nota al pie (2)"/>
    <w:basedOn w:val="Normal"/>
    <w:link w:val="Notaalpie2"/>
    <w:pPr>
      <w:shd w:val="clear" w:color="auto" w:fill="FFFFFF"/>
      <w:spacing w:line="134" w:lineRule="exact"/>
      <w:jc w:val="both"/>
    </w:pPr>
    <w:rPr>
      <w:rFonts w:ascii="Arial" w:eastAsia="Arial" w:hAnsi="Arial" w:cs="Arial"/>
      <w:sz w:val="12"/>
      <w:szCs w:val="12"/>
    </w:rPr>
  </w:style>
  <w:style w:type="paragraph" w:customStyle="1" w:styleId="Notaalpie0">
    <w:name w:val="Nota al pie"/>
    <w:basedOn w:val="Normal"/>
    <w:link w:val="Notaalpie"/>
    <w:pPr>
      <w:shd w:val="clear" w:color="auto" w:fill="FFFFFF"/>
      <w:spacing w:line="226" w:lineRule="exact"/>
      <w:jc w:val="both"/>
    </w:pPr>
    <w:rPr>
      <w:rFonts w:ascii="Arial" w:eastAsia="Arial" w:hAnsi="Arial" w:cs="Arial"/>
      <w:sz w:val="20"/>
      <w:szCs w:val="20"/>
    </w:rPr>
  </w:style>
  <w:style w:type="paragraph" w:customStyle="1" w:styleId="Cuerpodeltexto30">
    <w:name w:val="Cuerpo del texto (3)"/>
    <w:basedOn w:val="Normal"/>
    <w:link w:val="Cuerpodeltexto3"/>
    <w:pPr>
      <w:shd w:val="clear" w:color="auto" w:fill="FFFFFF"/>
      <w:spacing w:after="26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44" w:lineRule="exact"/>
    </w:pPr>
    <w:rPr>
      <w:rFonts w:ascii="Times New Roman" w:eastAsia="Times New Roman" w:hAnsi="Times New Roman" w:cs="Times New Roman"/>
      <w:sz w:val="22"/>
      <w:szCs w:val="22"/>
    </w:rPr>
  </w:style>
  <w:style w:type="paragraph" w:customStyle="1" w:styleId="Cuerpodeltexto20">
    <w:name w:val="Cuerpo del texto (2)"/>
    <w:basedOn w:val="Normal"/>
    <w:link w:val="Cuerpodeltexto2"/>
    <w:pPr>
      <w:shd w:val="clear" w:color="auto" w:fill="FFFFFF"/>
      <w:spacing w:before="260" w:after="260" w:line="250" w:lineRule="exact"/>
      <w:ind w:hanging="360"/>
      <w:jc w:val="both"/>
    </w:pPr>
    <w:rPr>
      <w:rFonts w:ascii="Arial" w:eastAsia="Arial" w:hAnsi="Arial" w:cs="Arial"/>
      <w:sz w:val="22"/>
      <w:szCs w:val="22"/>
    </w:rPr>
  </w:style>
  <w:style w:type="paragraph" w:customStyle="1" w:styleId="Ttulo10">
    <w:name w:val="Título #1"/>
    <w:basedOn w:val="Normal"/>
    <w:link w:val="Ttulo1"/>
    <w:pPr>
      <w:shd w:val="clear" w:color="auto" w:fill="FFFFFF"/>
      <w:spacing w:before="260" w:line="246" w:lineRule="exact"/>
      <w:jc w:val="center"/>
      <w:outlineLvl w:val="0"/>
    </w:pPr>
    <w:rPr>
      <w:rFonts w:ascii="Arial" w:eastAsia="Arial" w:hAnsi="Arial" w:cs="Arial"/>
      <w:b/>
      <w:bCs/>
      <w:sz w:val="22"/>
      <w:szCs w:val="22"/>
    </w:rPr>
  </w:style>
  <w:style w:type="paragraph" w:customStyle="1" w:styleId="Cuerpodeltexto40">
    <w:name w:val="Cuerpo del texto (4)"/>
    <w:basedOn w:val="Normal"/>
    <w:link w:val="Cuerpodeltexto4"/>
    <w:pPr>
      <w:shd w:val="clear" w:color="auto" w:fill="FFFFFF"/>
      <w:spacing w:before="260" w:line="226" w:lineRule="exact"/>
      <w:ind w:hanging="360"/>
      <w:jc w:val="both"/>
    </w:pPr>
    <w:rPr>
      <w:rFonts w:ascii="Arial" w:eastAsia="Arial" w:hAnsi="Arial" w:cs="Arial"/>
      <w:sz w:val="20"/>
      <w:szCs w:val="20"/>
    </w:rPr>
  </w:style>
  <w:style w:type="paragraph" w:customStyle="1" w:styleId="Cuerpodeltexto50">
    <w:name w:val="Cuerpo del texto (5)"/>
    <w:basedOn w:val="Normal"/>
    <w:link w:val="Cuerpodeltexto5"/>
    <w:pPr>
      <w:shd w:val="clear" w:color="auto" w:fill="FFFFFF"/>
      <w:spacing w:before="260" w:after="260" w:line="250" w:lineRule="exact"/>
      <w:jc w:val="both"/>
    </w:pPr>
    <w:rPr>
      <w:rFonts w:ascii="Arial" w:eastAsia="Arial" w:hAnsi="Arial" w:cs="Arial"/>
      <w:i/>
      <w:iCs/>
      <w:sz w:val="22"/>
      <w:szCs w:val="22"/>
    </w:rPr>
  </w:style>
  <w:style w:type="paragraph" w:styleId="Prrafodelista">
    <w:name w:val="List Paragraph"/>
    <w:basedOn w:val="Normal"/>
    <w:uiPriority w:val="34"/>
    <w:qFormat/>
    <w:rsid w:val="00041BB3"/>
    <w:pPr>
      <w:ind w:left="720"/>
      <w:contextualSpacing/>
    </w:pPr>
  </w:style>
  <w:style w:type="paragraph" w:styleId="NormalWeb">
    <w:name w:val="Normal (Web)"/>
    <w:basedOn w:val="Normal"/>
    <w:uiPriority w:val="99"/>
    <w:semiHidden/>
    <w:unhideWhenUsed/>
    <w:rsid w:val="00E87648"/>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95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5004F-3769-43D9-A957-54950C74461E}">
  <ds:schemaRefs>
    <ds:schemaRef ds:uri="http://schemas.microsoft.com/sharepoint/v3/contenttype/forms"/>
  </ds:schemaRefs>
</ds:datastoreItem>
</file>

<file path=customXml/itemProps2.xml><?xml version="1.0" encoding="utf-8"?>
<ds:datastoreItem xmlns:ds="http://schemas.openxmlformats.org/officeDocument/2006/customXml" ds:itemID="{53E84789-5CDF-4CFD-A7B9-24A318CF7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F64E4-48B2-4C4D-9AD6-9D8D9F4077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2931</Words>
  <Characters>16125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3</cp:revision>
  <dcterms:created xsi:type="dcterms:W3CDTF">2020-11-30T10:37:00Z</dcterms:created>
  <dcterms:modified xsi:type="dcterms:W3CDTF">2020-12-01T12:49:00Z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