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7E3" w:rsidRDefault="00095AEA">
      <w:pPr>
        <w:pStyle w:val="Cuerpodeltexto30"/>
        <w:shd w:val="clear" w:color="auto" w:fill="auto"/>
        <w:rPr>
          <w:rStyle w:val="Cuerpodeltexto3Sinnegrita"/>
        </w:rPr>
      </w:pPr>
      <w:r>
        <w:t>INFORME DE LA INTERVENCIÓN GENERAL DE LA COMUNIDAD DE MADRID DE 26 DE JULIO DE 2007. CONTRATACIÓN. ABONO DE LA REVISIÓN DE PRECIOS CUANDO CONCURREN LOS REQUISITOS PARA SU APLICACIÓN EN UNA FECHA QUE NO COINCIDA CON EL INICIO DEL MES</w:t>
      </w:r>
      <w:r>
        <w:rPr>
          <w:rStyle w:val="Cuerpodeltexto3Sinnegrita"/>
        </w:rPr>
        <w:t>.</w:t>
      </w:r>
    </w:p>
    <w:p w:rsidR="006F414F" w:rsidRDefault="006F414F" w:rsidP="006F414F">
      <w:pPr>
        <w:pStyle w:val="NormalWeb"/>
        <w:spacing w:before="0" w:beforeAutospacing="0" w:after="0" w:afterAutospacing="0"/>
        <w:rPr>
          <w:rFonts w:ascii="Arial" w:hAnsi="Arial" w:cs="Arial"/>
          <w:sz w:val="22"/>
          <w:szCs w:val="22"/>
        </w:rPr>
      </w:pPr>
      <w:r>
        <w:rPr>
          <w:rFonts w:ascii="Arial" w:hAnsi="Arial" w:cs="Arial"/>
          <w:b/>
          <w:bCs/>
          <w:sz w:val="22"/>
          <w:szCs w:val="22"/>
        </w:rPr>
        <w:t>Modalidad de informe: Consulta.</w:t>
      </w:r>
    </w:p>
    <w:p w:rsidR="006F414F" w:rsidRDefault="006F414F" w:rsidP="006F414F">
      <w:pPr>
        <w:pStyle w:val="NormalWeb"/>
        <w:spacing w:before="0" w:beforeAutospacing="0" w:after="0" w:afterAutospacing="0"/>
        <w:rPr>
          <w:rFonts w:ascii="Arial" w:hAnsi="Arial" w:cs="Arial"/>
          <w:sz w:val="22"/>
          <w:szCs w:val="22"/>
        </w:rPr>
      </w:pPr>
      <w:r>
        <w:rPr>
          <w:rFonts w:ascii="Arial" w:hAnsi="Arial" w:cs="Arial"/>
          <w:b/>
          <w:bCs/>
          <w:sz w:val="22"/>
          <w:szCs w:val="22"/>
        </w:rPr>
        <w:t>Área temática: Contratación.</w:t>
      </w:r>
    </w:p>
    <w:p w:rsidR="006F414F" w:rsidRDefault="006F414F" w:rsidP="006F414F">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6F414F" w:rsidRDefault="006F414F">
      <w:pPr>
        <w:pStyle w:val="Cuerpodeltexto20"/>
        <w:shd w:val="clear" w:color="auto" w:fill="auto"/>
        <w:spacing w:before="0"/>
        <w:ind w:firstLine="0"/>
      </w:pPr>
    </w:p>
    <w:p w:rsidR="008B37E3" w:rsidRDefault="00095AEA">
      <w:pPr>
        <w:pStyle w:val="Cuerpodeltexto20"/>
        <w:shd w:val="clear" w:color="auto" w:fill="auto"/>
        <w:spacing w:before="0"/>
        <w:ind w:firstLine="0"/>
      </w:pPr>
      <w:r>
        <w:t>Se ha consultado a esta Intervención General la tramitación procedente de la revisión de precios en los contratos de obras, cuando la concurrencia de los requisitos para su aplicación no coincide con el inicio del mes natural. A tal efecto, se efectúan las siguientes precisiones:</w:t>
      </w:r>
    </w:p>
    <w:p w:rsidR="008B37E3" w:rsidRDefault="00095AEA">
      <w:pPr>
        <w:pStyle w:val="Cuerpodeltexto20"/>
        <w:shd w:val="clear" w:color="auto" w:fill="auto"/>
        <w:spacing w:before="0"/>
        <w:ind w:firstLine="0"/>
      </w:pPr>
      <w:r>
        <w:t xml:space="preserve">Las revisiones de precios son </w:t>
      </w:r>
      <w:r>
        <w:rPr>
          <w:rStyle w:val="Cuerpodeltexto2Cursiva"/>
        </w:rPr>
        <w:t>cláusulas de estabilización</w:t>
      </w:r>
      <w:r>
        <w:t xml:space="preserve"> que existen en los contratos y tienen por objeto que la prestación dineraria a favor del contratista no se vea disminuida como consecuencia de la inflación. Constituyen un clásico mecanismo de adecuación monetaria del precio al contrato en cada momento. Su razón estriba en actualizar el precio de adjudicación respecto al del pago, no teniéndose en cuenta la referencia a la fecha de la oferta del contratista, sino la de finalización del plazo de presentación de plicas.</w:t>
      </w:r>
    </w:p>
    <w:p w:rsidR="008B37E3" w:rsidRDefault="00095AEA">
      <w:pPr>
        <w:pStyle w:val="Cuerpodeltexto20"/>
        <w:shd w:val="clear" w:color="auto" w:fill="auto"/>
        <w:spacing w:before="0"/>
        <w:ind w:firstLine="0"/>
      </w:pPr>
      <w:r>
        <w:t xml:space="preserve">En la Ley de Contratos de las Administraciones Públicas (LCAP) la revisión de precios se produce </w:t>
      </w:r>
      <w:r>
        <w:rPr>
          <w:rStyle w:val="Cuerpodeltexto2Cursiva"/>
        </w:rPr>
        <w:t xml:space="preserve">ex </w:t>
      </w:r>
      <w:proofErr w:type="spellStart"/>
      <w:r>
        <w:rPr>
          <w:rStyle w:val="Cuerpodeltexto2Cursiva"/>
        </w:rPr>
        <w:t>lege</w:t>
      </w:r>
      <w:proofErr w:type="spellEnd"/>
      <w:r>
        <w:rPr>
          <w:rStyle w:val="Cuerpodeltexto2Cursiva"/>
        </w:rPr>
        <w:t>,</w:t>
      </w:r>
      <w:r>
        <w:t xml:space="preserve"> salvo exclusión en resolución motivada de la misma, que ha de constar en los Pliegos de Cláusulas Administrativas Particulares (PCAP).</w:t>
      </w:r>
    </w:p>
    <w:p w:rsidR="008B37E3" w:rsidRDefault="00095AEA">
      <w:pPr>
        <w:pStyle w:val="Cuerpodeltexto20"/>
        <w:shd w:val="clear" w:color="auto" w:fill="auto"/>
        <w:spacing w:before="0" w:after="356"/>
        <w:ind w:firstLine="0"/>
      </w:pPr>
      <w:r>
        <w:t>La revisión de Precios se extiende a todo tipo de contratos regulados en la Ley, salvo a los menores y los contratos cuyo pago se concierte mediante el sistema de arrendamiento financiero o de arrendamiento con opción de compra.</w:t>
      </w:r>
    </w:p>
    <w:p w:rsidR="008B37E3" w:rsidRDefault="00095AEA">
      <w:pPr>
        <w:pStyle w:val="Cuerpodeltexto20"/>
        <w:shd w:val="clear" w:color="auto" w:fill="auto"/>
        <w:spacing w:before="0" w:after="367" w:line="254" w:lineRule="exact"/>
        <w:ind w:firstLine="0"/>
      </w:pPr>
      <w:r>
        <w:t>Para que pueda producirse la revisión de precios en los contratos de obras, deben concurrir los siguientes requisitos (artículo 103 de la LCAP):</w:t>
      </w:r>
    </w:p>
    <w:p w:rsidR="008B37E3" w:rsidRDefault="00095AEA">
      <w:pPr>
        <w:pStyle w:val="Cuerpodeltexto20"/>
        <w:numPr>
          <w:ilvl w:val="0"/>
          <w:numId w:val="1"/>
        </w:numPr>
        <w:shd w:val="clear" w:color="auto" w:fill="auto"/>
        <w:tabs>
          <w:tab w:val="left" w:pos="1466"/>
        </w:tabs>
        <w:spacing w:before="0" w:after="353" w:line="246" w:lineRule="exact"/>
        <w:ind w:left="1460"/>
        <w:jc w:val="left"/>
      </w:pPr>
      <w:r>
        <w:t>Que la revisión esté prevista en los PCAP, donde constará la fórmula aplicable.</w:t>
      </w:r>
    </w:p>
    <w:p w:rsidR="008B37E3" w:rsidRDefault="00095AEA">
      <w:pPr>
        <w:pStyle w:val="Cuerpodeltexto20"/>
        <w:numPr>
          <w:ilvl w:val="0"/>
          <w:numId w:val="1"/>
        </w:numPr>
        <w:shd w:val="clear" w:color="auto" w:fill="auto"/>
        <w:tabs>
          <w:tab w:val="left" w:pos="1466"/>
        </w:tabs>
        <w:spacing w:before="0" w:after="107" w:line="254" w:lineRule="exact"/>
        <w:ind w:left="1460"/>
        <w:jc w:val="left"/>
      </w:pPr>
      <w:r>
        <w:t>Que se haya certificado sin revisión, al menos, obra por importe del 20% del presupuesto vigente.</w:t>
      </w:r>
    </w:p>
    <w:p w:rsidR="008B37E3" w:rsidRDefault="00095AEA">
      <w:pPr>
        <w:pStyle w:val="Cuerpodeltexto20"/>
        <w:numPr>
          <w:ilvl w:val="0"/>
          <w:numId w:val="1"/>
        </w:numPr>
        <w:shd w:val="clear" w:color="auto" w:fill="auto"/>
        <w:tabs>
          <w:tab w:val="left" w:pos="1466"/>
        </w:tabs>
        <w:spacing w:before="0" w:after="93" w:line="246" w:lineRule="exact"/>
        <w:ind w:left="1460"/>
        <w:jc w:val="left"/>
      </w:pPr>
      <w:r>
        <w:t>Que haya transcurrido un año desde su adjudicación.</w:t>
      </w:r>
    </w:p>
    <w:p w:rsidR="008B37E3" w:rsidRDefault="00095AEA">
      <w:pPr>
        <w:pStyle w:val="Cuerpodeltexto20"/>
        <w:numPr>
          <w:ilvl w:val="0"/>
          <w:numId w:val="1"/>
        </w:numPr>
        <w:shd w:val="clear" w:color="auto" w:fill="auto"/>
        <w:tabs>
          <w:tab w:val="left" w:pos="1466"/>
        </w:tabs>
        <w:spacing w:before="0" w:after="440" w:line="254" w:lineRule="exact"/>
        <w:ind w:left="1460"/>
        <w:jc w:val="left"/>
      </w:pPr>
      <w:r>
        <w:t>De tal manera que ni el porcentaje del 20% ni el primer año de ejecución, contado desde su adjudicación, pueden ser objeto de revisión.</w:t>
      </w:r>
    </w:p>
    <w:p w:rsidR="008B37E3" w:rsidRDefault="00095AEA">
      <w:pPr>
        <w:pStyle w:val="Cuerpodeltexto20"/>
        <w:shd w:val="clear" w:color="auto" w:fill="auto"/>
        <w:spacing w:before="0" w:after="364" w:line="254" w:lineRule="exact"/>
        <w:ind w:firstLine="0"/>
      </w:pPr>
      <w:r>
        <w:t xml:space="preserve">En relación con el pago de las revisiones de precios, el artículo 108 de la LCAP dispone que </w:t>
      </w:r>
      <w:r w:rsidR="005D2FBA">
        <w:t>“</w:t>
      </w:r>
      <w:r w:rsidRPr="00A14920">
        <w:rPr>
          <w:i/>
        </w:rPr>
        <w:t>El importe de las revisiones que procedan se hará efectivo mediante el abono o descuento correspondiente en las certificaciones o pagos parciales o, excepcionalmente, en la liquidación del contrato, cuando no hayan podido incluirse en dichas certificaciones o pagos parciales</w:t>
      </w:r>
      <w:r w:rsidR="005D2FBA">
        <w:t>”</w:t>
      </w:r>
      <w:r w:rsidR="00A14920">
        <w:t>.</w:t>
      </w:r>
      <w:bookmarkStart w:id="0" w:name="_GoBack"/>
      <w:bookmarkEnd w:id="0"/>
    </w:p>
    <w:p w:rsidR="008B37E3" w:rsidRDefault="00095AEA">
      <w:pPr>
        <w:pStyle w:val="Cuerpodeltexto20"/>
        <w:shd w:val="clear" w:color="auto" w:fill="auto"/>
        <w:spacing w:before="0" w:after="0"/>
        <w:ind w:firstLine="0"/>
      </w:pPr>
      <w:r>
        <w:t xml:space="preserve">Podría darse el supuesto de que el cumplimiento del requisito del transcurso de un año desde la adjudicación del contrato, una vez ejecutado el 20 % de su importe, no coincidiera con el mes completo en el que se expida la certificación de obra, suscitándose la duda de cómo actuar a la </w:t>
      </w:r>
      <w:r>
        <w:lastRenderedPageBreak/>
        <w:t>hora de realizar la correspondiente certificación de obra para su pago, pues en el mismo periodo de tiempo mensual confluirían dos situaciones: unos días sin derecho a revisión (antes del cumplimiento del plazo de un año desde su adjudicación) y otros con derecho a revisión (a partir del momento en que sí se cumplió aquélla condición).</w:t>
      </w:r>
    </w:p>
    <w:p w:rsidR="00062EAA" w:rsidRDefault="00062EAA">
      <w:pPr>
        <w:pStyle w:val="Cuerpodeltexto20"/>
        <w:shd w:val="clear" w:color="auto" w:fill="auto"/>
        <w:spacing w:before="0" w:after="0"/>
        <w:ind w:firstLine="0"/>
      </w:pPr>
    </w:p>
    <w:p w:rsidR="008B37E3" w:rsidRDefault="00095AEA">
      <w:pPr>
        <w:pStyle w:val="Cuerpodeltexto20"/>
        <w:shd w:val="clear" w:color="auto" w:fill="auto"/>
        <w:spacing w:before="0" w:after="356"/>
        <w:ind w:firstLine="0"/>
      </w:pPr>
      <w:r>
        <w:t>Teniendo en cuenta que el artículo 108 citado establece que el pago de la revisión de precios se practicará en las certificaciones ordinarias, y, excepcionalmente, en la final, y, expidiéndose las certificaciones de obra con carácter mensual -según dispone el artículo 145 de la LCAP-, este Centro Fiscal adoptó el criterio sentado en el informe de fecha 30 de septiembre de 2002 "Práctica sobre la tramitación de los expedientes de gasto correspondientes al presupuesto adicional por revisión de precios”. Así, a efectos del abono por revisión de precios, en el mes en que suceda el supuesto comentado, se tramitarán dos relaciones valoradas: una correspondiente a la obra ejecutada sin derecho a revisión de precios y otra, incluyendo la revisión de precios, ambas dentro de la misma certificación mensual de obra.</w:t>
      </w:r>
    </w:p>
    <w:p w:rsidR="008B37E3" w:rsidRDefault="00095AEA">
      <w:pPr>
        <w:pStyle w:val="Cuerpodeltexto20"/>
        <w:shd w:val="clear" w:color="auto" w:fill="auto"/>
        <w:spacing w:before="0" w:after="364" w:line="254" w:lineRule="exact"/>
        <w:ind w:firstLine="0"/>
      </w:pPr>
      <w:r>
        <w:t>En contestación a otras posibles soluciones que se han planteado en relación con el tema, pasamos a dar nuestra opinión:</w:t>
      </w:r>
    </w:p>
    <w:p w:rsidR="008B37E3" w:rsidRDefault="00095AEA" w:rsidP="00062EAA">
      <w:pPr>
        <w:pStyle w:val="Cuerpodeltexto20"/>
        <w:numPr>
          <w:ilvl w:val="0"/>
          <w:numId w:val="2"/>
        </w:numPr>
        <w:shd w:val="clear" w:color="auto" w:fill="auto"/>
        <w:tabs>
          <w:tab w:val="left" w:pos="1014"/>
        </w:tabs>
        <w:spacing w:before="0"/>
        <w:ind w:firstLine="760"/>
      </w:pPr>
      <w:r>
        <w:t>-</w:t>
      </w:r>
      <w:r>
        <w:tab/>
        <w:t>Aplicar, en base al principio de eficiencia, una regla proporcional que ponga en</w:t>
      </w:r>
      <w:r w:rsidR="00062EAA">
        <w:t xml:space="preserve"> </w:t>
      </w:r>
      <w:r>
        <w:t xml:space="preserve">relación la obra ejecutada en el mes en que se cumpla el año desde su adjudicación con respecto a los días del mes con derecho a revisión de precios. Se considera no procedente, porque además de que no está contemplado en la </w:t>
      </w:r>
      <w:r w:rsidR="00062EAA">
        <w:t>LCAP</w:t>
      </w:r>
      <w:r w:rsidRPr="00062EAA">
        <w:rPr>
          <w:smallCaps/>
        </w:rPr>
        <w:t>,</w:t>
      </w:r>
      <w:r>
        <w:t xml:space="preserve"> su aplicación puede dar lugar a grandes distorsiones, pues la ejecución de las obras y, con ello, su importe, no suele ser regular a lo largo de un determinado período de tiempo y, por lo tanto, el importe de la revisión de precios se desvincularía de la obra realmente ejecutada incumpliendo lo dispuesto en el artículo 106 de la LCAP que establece que el coeficiente resultante de la fórmula de revisión de precios se aplicará sobre el "precio líquido de la prestación realizada” y no sobre el promedio temporal de la prestación estimada.</w:t>
      </w:r>
    </w:p>
    <w:p w:rsidR="008B37E3" w:rsidRDefault="00095AEA">
      <w:pPr>
        <w:pStyle w:val="Cuerpodeltexto20"/>
        <w:numPr>
          <w:ilvl w:val="0"/>
          <w:numId w:val="2"/>
        </w:numPr>
        <w:shd w:val="clear" w:color="auto" w:fill="auto"/>
        <w:tabs>
          <w:tab w:val="left" w:pos="1014"/>
        </w:tabs>
        <w:spacing w:before="0"/>
        <w:ind w:firstLine="760"/>
      </w:pPr>
      <w:r>
        <w:t>- Aplicar la revisión de precios en el mes en que concurre el requisito de cumplimiento del año desde la adjudicación de la obra, con independencia del día concreto. En este caso, se generaría un incremento del gasto público sin existir ninguna base legal que lo respaldara, por lo que, en aplicación del principio de economía en la ejecución del gasto público, tal supuesto no debería admitirse. Aún más se generaría un sobrecoste para la Hacienda Pública, que daría lugar a pagos indebidos incurriendo en el supuesto de responsabilidades a que se refiere la Ley de Hacienda de la Comunidad de Madrid por infracción del artículo 130.1.d)</w:t>
      </w:r>
    </w:p>
    <w:p w:rsidR="00DF4462" w:rsidRDefault="00DF4462">
      <w:pPr>
        <w:pStyle w:val="Cuerpodeltexto20"/>
        <w:shd w:val="clear" w:color="auto" w:fill="auto"/>
        <w:spacing w:before="0" w:after="0"/>
        <w:ind w:firstLine="0"/>
      </w:pPr>
    </w:p>
    <w:p w:rsidR="008B37E3" w:rsidRDefault="00095AEA">
      <w:pPr>
        <w:pStyle w:val="Cuerpodeltexto20"/>
        <w:shd w:val="clear" w:color="auto" w:fill="auto"/>
        <w:spacing w:before="0" w:after="0"/>
        <w:ind w:firstLine="0"/>
      </w:pPr>
      <w:r>
        <w:t>Por lo tanto, como ya puso de manifiesto esta Intervención en el Informe citado, cuando concurran los requisitos para la aplicación de precios en contratos de obras, que así lo recogen, en una fecha que no coincida con el inicio del mes, deberá aplicarse el coeficiente de revisión de precios sobre el importe líquido de la obra realmente ejecutada a partir del día en que concurran los mismos, siendo preciso que a tal efecto se recoja en la relación valorada las obras ejecutadas en el período con derecho a revisión según se deduce de lo dispuesto en el artículo 106.1) del Reglamento General de la Ley de Contratos de las Administraciones Públicas.</w:t>
      </w:r>
    </w:p>
    <w:sectPr w:rsidR="008B37E3">
      <w:footerReference w:type="default" r:id="rId10"/>
      <w:pgSz w:w="11900" w:h="16840"/>
      <w:pgMar w:top="1378" w:right="1263" w:bottom="1992" w:left="13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AEA" w:rsidRDefault="00095AEA">
      <w:r>
        <w:separator/>
      </w:r>
    </w:p>
  </w:endnote>
  <w:endnote w:type="continuationSeparator" w:id="0">
    <w:p w:rsidR="00095AEA" w:rsidRDefault="0009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E3" w:rsidRDefault="00062EAA">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3794760</wp:posOffset>
              </wp:positionH>
              <wp:positionV relativeFrom="page">
                <wp:posOffset>10101580</wp:posOffset>
              </wp:positionV>
              <wp:extent cx="74295" cy="153035"/>
              <wp:effectExtent l="381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7E3" w:rsidRDefault="00095AEA">
                          <w:pPr>
                            <w:pStyle w:val="Encabezamientoopiedepgina0"/>
                            <w:shd w:val="clear" w:color="auto" w:fill="auto"/>
                            <w:spacing w:line="240" w:lineRule="auto"/>
                          </w:pPr>
                          <w:r>
                            <w:fldChar w:fldCharType="begin"/>
                          </w:r>
                          <w:r>
                            <w:instrText xml:space="preserve"> PAGE \* MERGEFORMAT </w:instrText>
                          </w:r>
                          <w:r>
                            <w:fldChar w:fldCharType="separate"/>
                          </w:r>
                          <w:r w:rsidR="00A14920" w:rsidRPr="00A14920">
                            <w:rPr>
                              <w:rStyle w:val="Encabezamientoopiedepgina1"/>
                              <w:noProof/>
                            </w:rPr>
                            <w:t>2</w:t>
                          </w:r>
                          <w:r>
                            <w:rPr>
                              <w:rStyle w:val="Encabezamientoopiedepgina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8.8pt;margin-top:795.4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" filled="f" stroked="f">
              <v:textbox style="mso-fit-shape-to-text:t" inset="0,0,0,0">
                <w:txbxContent>
                  <w:p w:rsidR="008B37E3" w:rsidRDefault="00095AEA">
                    <w:pPr>
                      <w:pStyle w:val="Encabezamientoopiedepgina0"/>
                      <w:shd w:val="clear" w:color="auto" w:fill="auto"/>
                      <w:spacing w:line="240" w:lineRule="auto"/>
                    </w:pPr>
                    <w:r>
                      <w:fldChar w:fldCharType="begin"/>
                    </w:r>
                    <w:r>
                      <w:instrText xml:space="preserve"> PAGE \* MERGEFORMAT </w:instrText>
                    </w:r>
                    <w:r>
                      <w:fldChar w:fldCharType="separate"/>
                    </w:r>
                    <w:r w:rsidR="00A14920" w:rsidRPr="00A14920">
                      <w:rPr>
                        <w:rStyle w:val="Encabezamientoopiedepgina1"/>
                        <w:noProof/>
                      </w:rPr>
                      <w:t>2</w:t>
                    </w:r>
                    <w:r>
                      <w:rPr>
                        <w:rStyle w:val="Encabezamientoopiedepgina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AEA" w:rsidRDefault="00095AEA"/>
  </w:footnote>
  <w:footnote w:type="continuationSeparator" w:id="0">
    <w:p w:rsidR="00095AEA" w:rsidRDefault="00095A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2D0B"/>
    <w:multiLevelType w:val="multilevel"/>
    <w:tmpl w:val="6202745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4C65E1"/>
    <w:multiLevelType w:val="multilevel"/>
    <w:tmpl w:val="756AF6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E3"/>
    <w:rsid w:val="00062EAA"/>
    <w:rsid w:val="00095AEA"/>
    <w:rsid w:val="005D2FBA"/>
    <w:rsid w:val="006F414F"/>
    <w:rsid w:val="008B37E3"/>
    <w:rsid w:val="00A14920"/>
    <w:rsid w:val="00DF44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9B11E"/>
  <w15:docId w15:val="{972B7356-8EE6-4628-AAD2-909678B2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Cuerpodeltexto3Sinnegrita">
    <w:name w:val="Cuerpo del texto (3) + Sin negrita"/>
    <w:basedOn w:val="Cuerpodeltexto3"/>
    <w:rPr>
      <w:rFonts w:ascii="Arial" w:eastAsia="Arial" w:hAnsi="Arial" w:cs="Arial"/>
      <w:b/>
      <w:bCs/>
      <w:i w:val="0"/>
      <w:iCs w:val="0"/>
      <w:smallCaps w:val="0"/>
      <w:strike w:val="0"/>
      <w:color w:val="000000"/>
      <w:spacing w:val="0"/>
      <w:w w:val="100"/>
      <w:position w:val="0"/>
      <w:sz w:val="22"/>
      <w:szCs w:val="22"/>
      <w:u w:val="none"/>
      <w:lang w:val="es-ES" w:eastAsia="es-ES" w:bidi="es-ES"/>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val="0"/>
      <w:iCs w:val="0"/>
      <w:smallCaps w:val="0"/>
      <w:strike w:val="0"/>
      <w:sz w:val="21"/>
      <w:szCs w:val="21"/>
      <w:u w:val="none"/>
    </w:rPr>
  </w:style>
  <w:style w:type="character" w:customStyle="1" w:styleId="Encabezamientoopiedepgina1">
    <w:name w:val="Encabezamiento o pie de página"/>
    <w:basedOn w:val="Encabezamientoopiedepgina"/>
    <w:rPr>
      <w:rFonts w:ascii="Arial" w:eastAsia="Arial" w:hAnsi="Arial" w:cs="Arial"/>
      <w:b w:val="0"/>
      <w:bCs w:val="0"/>
      <w:i w:val="0"/>
      <w:iCs w:val="0"/>
      <w:smallCaps w:val="0"/>
      <w:strike w:val="0"/>
      <w:color w:val="000000"/>
      <w:spacing w:val="0"/>
      <w:w w:val="100"/>
      <w:position w:val="0"/>
      <w:sz w:val="21"/>
      <w:szCs w:val="21"/>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2"/>
      <w:szCs w:val="22"/>
      <w:u w:val="none"/>
    </w:rPr>
  </w:style>
  <w:style w:type="character" w:customStyle="1" w:styleId="Cuerpodeltexto2Cursiva">
    <w:name w:val="Cuerpo del texto (2) + Cursiva"/>
    <w:basedOn w:val="Cuerpodeltexto2"/>
    <w:rPr>
      <w:rFonts w:ascii="Arial" w:eastAsia="Arial" w:hAnsi="Arial" w:cs="Arial"/>
      <w:b w:val="0"/>
      <w:bCs w:val="0"/>
      <w:i/>
      <w:iCs/>
      <w:smallCaps w:val="0"/>
      <w:strike w:val="0"/>
      <w:color w:val="000000"/>
      <w:spacing w:val="0"/>
      <w:w w:val="100"/>
      <w:position w:val="0"/>
      <w:sz w:val="22"/>
      <w:szCs w:val="22"/>
      <w:u w:val="none"/>
      <w:lang w:val="es-ES" w:eastAsia="es-ES" w:bidi="es-ES"/>
    </w:rPr>
  </w:style>
  <w:style w:type="character" w:customStyle="1" w:styleId="Cuerpodeltexto2Versales">
    <w:name w:val="Cuerpo del texto (2) + Versales"/>
    <w:basedOn w:val="Cuerpodeltexto2"/>
    <w:rPr>
      <w:rFonts w:ascii="Arial" w:eastAsia="Arial" w:hAnsi="Arial" w:cs="Arial"/>
      <w:b w:val="0"/>
      <w:bCs w:val="0"/>
      <w:i w:val="0"/>
      <w:iCs w:val="0"/>
      <w:smallCaps/>
      <w:strike w:val="0"/>
      <w:color w:val="000000"/>
      <w:spacing w:val="0"/>
      <w:w w:val="100"/>
      <w:position w:val="0"/>
      <w:sz w:val="22"/>
      <w:szCs w:val="22"/>
      <w:u w:val="none"/>
      <w:lang w:val="es-ES" w:eastAsia="es-ES" w:bidi="es-ES"/>
    </w:rPr>
  </w:style>
  <w:style w:type="paragraph" w:customStyle="1" w:styleId="Cuerpodeltexto30">
    <w:name w:val="Cuerpo del texto (3)"/>
    <w:basedOn w:val="Normal"/>
    <w:link w:val="Cuerpodeltexto3"/>
    <w:pPr>
      <w:shd w:val="clear" w:color="auto" w:fill="FFFFFF"/>
      <w:spacing w:after="36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34" w:lineRule="exact"/>
    </w:pPr>
    <w:rPr>
      <w:rFonts w:ascii="Arial" w:eastAsia="Arial" w:hAnsi="Arial" w:cs="Arial"/>
      <w:sz w:val="21"/>
      <w:szCs w:val="21"/>
    </w:rPr>
  </w:style>
  <w:style w:type="paragraph" w:customStyle="1" w:styleId="Cuerpodeltexto20">
    <w:name w:val="Cuerpo del texto (2)"/>
    <w:basedOn w:val="Normal"/>
    <w:link w:val="Cuerpodeltexto2"/>
    <w:pPr>
      <w:shd w:val="clear" w:color="auto" w:fill="FFFFFF"/>
      <w:spacing w:before="360" w:after="360" w:line="250" w:lineRule="exact"/>
      <w:ind w:hanging="700"/>
      <w:jc w:val="both"/>
    </w:pPr>
    <w:rPr>
      <w:rFonts w:ascii="Arial" w:eastAsia="Arial" w:hAnsi="Arial" w:cs="Arial"/>
      <w:sz w:val="22"/>
      <w:szCs w:val="22"/>
    </w:rPr>
  </w:style>
  <w:style w:type="paragraph" w:styleId="NormalWeb">
    <w:name w:val="Normal (Web)"/>
    <w:basedOn w:val="Normal"/>
    <w:uiPriority w:val="99"/>
    <w:semiHidden/>
    <w:unhideWhenUsed/>
    <w:rsid w:val="006F414F"/>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67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B2F91-80AF-48DA-8868-2CD03F6F5B3B}">
  <ds:schemaRefs>
    <ds:schemaRef ds:uri="http://schemas.microsoft.com/sharepoint/v3/contenttype/forms"/>
  </ds:schemaRefs>
</ds:datastoreItem>
</file>

<file path=customXml/itemProps2.xml><?xml version="1.0" encoding="utf-8"?>
<ds:datastoreItem xmlns:ds="http://schemas.openxmlformats.org/officeDocument/2006/customXml" ds:itemID="{CBB49C98-6D12-4F72-872E-0E1084AF0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2BB6-DC08-49CA-A1DF-66ADF831DDC1"/>
    <ds:schemaRef ds:uri="46c31bdf-0a45-4935-a8a6-0d358e08cfce"/>
    <ds:schemaRef ds:uri="baa92bb6-dc08-49ca-a1df-66adf831d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A61AB-5DAE-4A5C-8D26-86987A9A21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952</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Madrid Digital</cp:lastModifiedBy>
  <cp:revision>5</cp:revision>
  <dcterms:created xsi:type="dcterms:W3CDTF">2020-11-30T15:45:00Z</dcterms:created>
  <dcterms:modified xsi:type="dcterms:W3CDTF">2020-12-10T13:24:00Z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