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58" w:rsidRDefault="00590F70">
      <w:pPr>
        <w:pStyle w:val="Cuerpodeltexto30"/>
        <w:shd w:val="clear" w:color="auto" w:fill="auto"/>
      </w:pPr>
      <w:r>
        <w:t xml:space="preserve">INFORME DE LA INTERVENCION GENERAL DE LA COMUNIDAD DE MADRID DE 28 DE MARZO DE 2006 SOBRE EL CONCEPTO DE CAMBIO DE </w:t>
      </w:r>
      <w:r w:rsidR="00780BC2">
        <w:t>IMPUTACIÓN</w:t>
      </w:r>
      <w:r>
        <w:t xml:space="preserve"> PRESUPUESTARIA EN LA </w:t>
      </w:r>
      <w:r w:rsidR="00780BC2">
        <w:t>ELABORACIÓN</w:t>
      </w:r>
      <w:r>
        <w:t xml:space="preserve"> DE NOMINAS DEL PERSONAL AL SERVICIO DE LA COMUNIDAD DE MADRID.</w:t>
      </w:r>
    </w:p>
    <w:p w:rsidR="009C4D3E" w:rsidRDefault="009C4D3E" w:rsidP="009C4D3E">
      <w:pPr>
        <w:pStyle w:val="NormalWeb"/>
        <w:spacing w:before="0" w:beforeAutospacing="0" w:after="0" w:afterAutospacing="0"/>
        <w:rPr>
          <w:rFonts w:ascii="Arial" w:hAnsi="Arial" w:cs="Arial"/>
          <w:sz w:val="22"/>
          <w:szCs w:val="22"/>
        </w:rPr>
      </w:pPr>
      <w:r>
        <w:rPr>
          <w:rFonts w:ascii="Arial" w:hAnsi="Arial" w:cs="Arial"/>
          <w:b/>
          <w:bCs/>
          <w:sz w:val="22"/>
          <w:szCs w:val="22"/>
        </w:rPr>
        <w:t>Modalid</w:t>
      </w:r>
      <w:r>
        <w:rPr>
          <w:rFonts w:ascii="Arial" w:hAnsi="Arial" w:cs="Arial"/>
          <w:b/>
          <w:bCs/>
          <w:sz w:val="22"/>
          <w:szCs w:val="22"/>
        </w:rPr>
        <w:t>ad de informe: Informe general.</w:t>
      </w:r>
    </w:p>
    <w:p w:rsidR="009C4D3E" w:rsidRDefault="009C4D3E" w:rsidP="009C4D3E">
      <w:pPr>
        <w:pStyle w:val="NormalWeb"/>
        <w:spacing w:before="0" w:beforeAutospacing="0" w:after="0" w:afterAutospacing="0"/>
        <w:rPr>
          <w:rFonts w:ascii="Arial" w:hAnsi="Arial" w:cs="Arial"/>
          <w:sz w:val="22"/>
          <w:szCs w:val="22"/>
        </w:rPr>
      </w:pPr>
      <w:r>
        <w:rPr>
          <w:rFonts w:ascii="Arial" w:hAnsi="Arial" w:cs="Arial"/>
          <w:b/>
          <w:bCs/>
          <w:sz w:val="22"/>
          <w:szCs w:val="22"/>
        </w:rPr>
        <w:t>Área temática:</w:t>
      </w:r>
      <w:r w:rsidR="00780BC2">
        <w:rPr>
          <w:rFonts w:ascii="Arial" w:hAnsi="Arial" w:cs="Arial"/>
          <w:b/>
          <w:bCs/>
          <w:sz w:val="22"/>
          <w:szCs w:val="22"/>
        </w:rPr>
        <w:t xml:space="preserve"> </w:t>
      </w:r>
      <w:r>
        <w:rPr>
          <w:rFonts w:ascii="Arial" w:hAnsi="Arial" w:cs="Arial"/>
          <w:b/>
          <w:bCs/>
          <w:sz w:val="22"/>
          <w:szCs w:val="22"/>
        </w:rPr>
        <w:t>Ejecución del gasto público.</w:t>
      </w:r>
    </w:p>
    <w:p w:rsidR="009C4D3E" w:rsidRDefault="009C4D3E" w:rsidP="009C4D3E">
      <w:pPr>
        <w:pStyle w:val="NormalWeb"/>
        <w:spacing w:before="0" w:beforeAutospacing="0" w:after="0" w:afterAutospacing="0"/>
        <w:rPr>
          <w:rFonts w:ascii="Arial" w:hAnsi="Arial" w:cs="Arial"/>
          <w:sz w:val="22"/>
          <w:szCs w:val="22"/>
        </w:rPr>
      </w:pPr>
      <w:r>
        <w:rPr>
          <w:rFonts w:ascii="Arial" w:hAnsi="Arial" w:cs="Arial"/>
          <w:b/>
          <w:bCs/>
          <w:sz w:val="22"/>
          <w:szCs w:val="22"/>
        </w:rPr>
        <w:t>Informe vigente.</w:t>
      </w:r>
    </w:p>
    <w:p w:rsidR="009C4D3E" w:rsidRDefault="009C4D3E">
      <w:pPr>
        <w:pStyle w:val="Cuerpodeltexto20"/>
        <w:shd w:val="clear" w:color="auto" w:fill="auto"/>
        <w:spacing w:before="0"/>
        <w:ind w:firstLine="0"/>
      </w:pPr>
    </w:p>
    <w:p w:rsidR="00CB6658" w:rsidRDefault="00590F70">
      <w:pPr>
        <w:pStyle w:val="Cuerpodeltexto20"/>
        <w:shd w:val="clear" w:color="auto" w:fill="auto"/>
        <w:spacing w:before="0"/>
        <w:ind w:firstLine="0"/>
      </w:pPr>
      <w:bookmarkStart w:id="0" w:name="_GoBack"/>
      <w:bookmarkEnd w:id="0"/>
      <w:r>
        <w:t xml:space="preserve">Se han suscitado ante esta </w:t>
      </w:r>
      <w:r>
        <w:t>Intervención General una serie de cuestiones relacionadas con la interpretación del contenido</w:t>
      </w:r>
      <w:r>
        <w:t xml:space="preserve"> </w:t>
      </w:r>
      <w:r>
        <w:t>del artículo 8, apartados 4 y 5, del Capítulo III de la Orden de 14 de enero de 2002 de la Consejería de Hacienda, por la que se regula el procedimiento para la e</w:t>
      </w:r>
      <w:r>
        <w:t>laboración y gestión de las nóminas del personal al servicio de la Comunidad de Madrid. El tenor literal de los apartados citados es el siguiente:</w:t>
      </w:r>
    </w:p>
    <w:p w:rsidR="00CB6658" w:rsidRDefault="00590F70">
      <w:pPr>
        <w:pStyle w:val="Cuerpodeltexto40"/>
        <w:shd w:val="clear" w:color="auto" w:fill="auto"/>
        <w:spacing w:before="0" w:after="256"/>
      </w:pPr>
      <w:r>
        <w:t xml:space="preserve">“4... Si como consecuencia de la realización del citado control presupuestario </w:t>
      </w:r>
      <w:r>
        <w:rPr>
          <w:rStyle w:val="Cuerpodeltexto4Negrita"/>
          <w:i/>
          <w:iCs/>
        </w:rPr>
        <w:t>resultaran inconsistencias por</w:t>
      </w:r>
      <w:r>
        <w:rPr>
          <w:rStyle w:val="Cuerpodeltexto4Negrita"/>
          <w:i/>
          <w:iCs/>
        </w:rPr>
        <w:t xml:space="preserve"> falta de crédito en partidas </w:t>
      </w:r>
      <w:r>
        <w:t xml:space="preserve">del presupuesto de gastos de Capítulo I correspondiente a la Sección, se realizarán </w:t>
      </w:r>
      <w:r>
        <w:rPr>
          <w:rStyle w:val="Cuerpodeltexto4Negrita"/>
          <w:i/>
          <w:iCs/>
        </w:rPr>
        <w:t>cambios de imputación presupuestaria siempre que sea posible.</w:t>
      </w:r>
    </w:p>
    <w:p w:rsidR="00CB6658" w:rsidRDefault="00590F70">
      <w:pPr>
        <w:pStyle w:val="Cuerpodeltexto40"/>
        <w:shd w:val="clear" w:color="auto" w:fill="auto"/>
        <w:spacing w:before="0" w:after="0" w:line="254" w:lineRule="exact"/>
      </w:pPr>
      <w:r>
        <w:t xml:space="preserve">5. </w:t>
      </w:r>
      <w:r>
        <w:rPr>
          <w:rStyle w:val="Cuerpodeltexto4Negrita"/>
          <w:i/>
          <w:iCs/>
        </w:rPr>
        <w:t>En caso de no ser posible los cambios de imputación</w:t>
      </w:r>
      <w:r>
        <w:t>, las unidades orgánicas e</w:t>
      </w:r>
      <w:r>
        <w:t>ncargadas de la elaboración de la nómina procederán a iniciar la tramitación del</w:t>
      </w:r>
    </w:p>
    <w:p w:rsidR="00CB6658" w:rsidRDefault="00590F70">
      <w:pPr>
        <w:pStyle w:val="Cuerpodeltexto50"/>
        <w:shd w:val="clear" w:color="auto" w:fill="auto"/>
      </w:pPr>
      <w:r>
        <w:t>expediente de modificación presupuestaria al efecto de disponer del crédito suficiente y adecuado</w:t>
      </w:r>
      <w:r>
        <w:rPr>
          <w:rStyle w:val="Cuerpodeltexto5Sinnegrita"/>
          <w:i/>
          <w:iCs/>
        </w:rPr>
        <w:t>".</w:t>
      </w:r>
    </w:p>
    <w:p w:rsidR="00CB6658" w:rsidRDefault="00590F70">
      <w:pPr>
        <w:pStyle w:val="Cuerpodeltexto20"/>
        <w:shd w:val="clear" w:color="auto" w:fill="auto"/>
        <w:spacing w:before="0" w:after="57"/>
        <w:ind w:firstLine="0"/>
      </w:pPr>
      <w:r>
        <w:t>La cuestión a dilucidar consiste en la determinación del término “cambio de</w:t>
      </w:r>
      <w:r>
        <w:t xml:space="preserve"> imputación presupuestaria”, en el marco de la normativa reguladora de las modificaciones presupuestarias citadas anteriormente.</w:t>
      </w:r>
    </w:p>
    <w:p w:rsidR="00CB6658" w:rsidRDefault="00590F70">
      <w:pPr>
        <w:pStyle w:val="Cuerpodeltexto20"/>
        <w:shd w:val="clear" w:color="auto" w:fill="auto"/>
        <w:spacing w:before="0" w:after="0" w:line="504" w:lineRule="exact"/>
        <w:ind w:firstLine="0"/>
      </w:pPr>
      <w:r>
        <w:t>Para dar respuesta a esta cuestión deberán analizarse los siguientes aspectos:</w:t>
      </w:r>
    </w:p>
    <w:p w:rsidR="00CB6658" w:rsidRDefault="00590F70">
      <w:pPr>
        <w:pStyle w:val="Cuerpodeltexto20"/>
        <w:numPr>
          <w:ilvl w:val="0"/>
          <w:numId w:val="1"/>
        </w:numPr>
        <w:shd w:val="clear" w:color="auto" w:fill="auto"/>
        <w:tabs>
          <w:tab w:val="left" w:pos="1129"/>
        </w:tabs>
        <w:spacing w:before="0" w:after="0" w:line="504" w:lineRule="exact"/>
        <w:ind w:left="1120" w:hanging="360"/>
      </w:pPr>
      <w:r>
        <w:t>Normativa aplicable a las modificaciones presupu</w:t>
      </w:r>
      <w:r>
        <w:t>estarias.</w:t>
      </w:r>
    </w:p>
    <w:p w:rsidR="00CB6658" w:rsidRDefault="00590F70">
      <w:pPr>
        <w:pStyle w:val="Cuerpodeltexto20"/>
        <w:numPr>
          <w:ilvl w:val="0"/>
          <w:numId w:val="1"/>
        </w:numPr>
        <w:shd w:val="clear" w:color="auto" w:fill="auto"/>
        <w:tabs>
          <w:tab w:val="left" w:pos="1129"/>
        </w:tabs>
        <w:spacing w:before="0" w:after="0" w:line="504" w:lineRule="exact"/>
        <w:ind w:left="1120" w:hanging="360"/>
      </w:pPr>
      <w:r>
        <w:t>Vinculación jurídica de los créditos presupuestarios del Capítulo I.</w:t>
      </w:r>
    </w:p>
    <w:p w:rsidR="00CB6658" w:rsidRDefault="00590F70">
      <w:pPr>
        <w:pStyle w:val="Cuerpodeltexto20"/>
        <w:numPr>
          <w:ilvl w:val="0"/>
          <w:numId w:val="1"/>
        </w:numPr>
        <w:shd w:val="clear" w:color="auto" w:fill="auto"/>
        <w:tabs>
          <w:tab w:val="left" w:pos="1129"/>
        </w:tabs>
        <w:spacing w:before="0" w:after="507" w:line="254" w:lineRule="exact"/>
        <w:ind w:left="1120" w:hanging="360"/>
      </w:pPr>
      <w:r>
        <w:t xml:space="preserve">Calificación jurídica que debe otorgarse a la figura denominada </w:t>
      </w:r>
      <w:r>
        <w:rPr>
          <w:rStyle w:val="Cuerpodeltexto2Cursiva"/>
        </w:rPr>
        <w:t>“cambio de imputación presupuestaria"</w:t>
      </w:r>
      <w:r>
        <w:t xml:space="preserve"> y momento en que debe realizarse.</w:t>
      </w:r>
    </w:p>
    <w:p w:rsidR="00CB6658" w:rsidRDefault="00590F70">
      <w:pPr>
        <w:pStyle w:val="Ttulo10"/>
        <w:keepNext/>
        <w:keepLines/>
        <w:numPr>
          <w:ilvl w:val="0"/>
          <w:numId w:val="2"/>
        </w:numPr>
        <w:shd w:val="clear" w:color="auto" w:fill="auto"/>
        <w:tabs>
          <w:tab w:val="left" w:pos="297"/>
        </w:tabs>
        <w:spacing w:before="0"/>
      </w:pPr>
      <w:bookmarkStart w:id="1" w:name="bookmark0"/>
      <w:r>
        <w:t xml:space="preserve">La normativa aplicable a las </w:t>
      </w:r>
      <w:r>
        <w:t>modificaciones presupuestarias es la siguiente:</w:t>
      </w:r>
      <w:bookmarkEnd w:id="1"/>
    </w:p>
    <w:p w:rsidR="00CB6658" w:rsidRDefault="00590F70">
      <w:pPr>
        <w:pStyle w:val="Cuerpodeltexto20"/>
        <w:shd w:val="clear" w:color="auto" w:fill="auto"/>
        <w:spacing w:before="0" w:after="253" w:line="246" w:lineRule="exact"/>
        <w:ind w:left="880" w:firstLine="0"/>
        <w:jc w:val="left"/>
      </w:pPr>
      <w:r>
        <w:t>&gt; Normativa con rango legal:</w:t>
      </w:r>
    </w:p>
    <w:p w:rsidR="00CB6658" w:rsidRDefault="00590F70">
      <w:pPr>
        <w:pStyle w:val="Cuerpodeltexto20"/>
        <w:numPr>
          <w:ilvl w:val="0"/>
          <w:numId w:val="3"/>
        </w:numPr>
        <w:shd w:val="clear" w:color="auto" w:fill="auto"/>
        <w:tabs>
          <w:tab w:val="left" w:pos="1129"/>
        </w:tabs>
        <w:spacing w:before="0" w:after="267" w:line="254" w:lineRule="exact"/>
        <w:ind w:left="1120" w:hanging="360"/>
      </w:pPr>
      <w:r>
        <w:t>Título II de la Ley 9/1990, de 8 de noviembre, Reguladora de la Hacienda de la Comunidad de Madrid.</w:t>
      </w:r>
    </w:p>
    <w:p w:rsidR="00CB6658" w:rsidRDefault="00590F70">
      <w:pPr>
        <w:pStyle w:val="Cuerpodeltexto20"/>
        <w:numPr>
          <w:ilvl w:val="0"/>
          <w:numId w:val="3"/>
        </w:numPr>
        <w:shd w:val="clear" w:color="auto" w:fill="auto"/>
        <w:tabs>
          <w:tab w:val="left" w:pos="1129"/>
        </w:tabs>
        <w:spacing w:before="0" w:after="500" w:line="246" w:lineRule="exact"/>
        <w:ind w:left="1120" w:hanging="360"/>
      </w:pPr>
      <w:r>
        <w:t>Leyes anuales de Presupuestos Generales de la Comunidad de Madrid.</w:t>
      </w:r>
    </w:p>
    <w:p w:rsidR="00CB6658" w:rsidRDefault="00590F70">
      <w:pPr>
        <w:pStyle w:val="Cuerpodeltexto20"/>
        <w:shd w:val="clear" w:color="auto" w:fill="auto"/>
        <w:spacing w:before="0" w:after="257" w:line="246" w:lineRule="exact"/>
        <w:ind w:left="880" w:firstLine="0"/>
        <w:jc w:val="left"/>
      </w:pPr>
      <w:r>
        <w:t xml:space="preserve">&gt; Normas de </w:t>
      </w:r>
      <w:r>
        <w:t>desarrollo:</w:t>
      </w:r>
    </w:p>
    <w:p w:rsidR="00CB6658" w:rsidRDefault="00590F70">
      <w:pPr>
        <w:pStyle w:val="Cuerpodeltexto20"/>
        <w:numPr>
          <w:ilvl w:val="0"/>
          <w:numId w:val="3"/>
        </w:numPr>
        <w:shd w:val="clear" w:color="auto" w:fill="auto"/>
        <w:tabs>
          <w:tab w:val="left" w:pos="1129"/>
        </w:tabs>
        <w:spacing w:before="0" w:after="256"/>
        <w:ind w:left="1120" w:hanging="360"/>
      </w:pPr>
      <w:r>
        <w:t>Orden de 2 de enero de 2006, de la Consejería de Hacienda por la que se desarrollan determinados artículos de la Ley 6/2005, de 23 de diciembre, de Presupuestos Generales de la Comunidad de Madrid.</w:t>
      </w:r>
    </w:p>
    <w:p w:rsidR="00CB6658" w:rsidRDefault="00590F70">
      <w:pPr>
        <w:pStyle w:val="Cuerpodeltexto20"/>
        <w:numPr>
          <w:ilvl w:val="0"/>
          <w:numId w:val="3"/>
        </w:numPr>
        <w:shd w:val="clear" w:color="auto" w:fill="auto"/>
        <w:tabs>
          <w:tab w:val="left" w:pos="1129"/>
        </w:tabs>
        <w:spacing w:before="0" w:after="0" w:line="254" w:lineRule="exact"/>
        <w:ind w:left="1120" w:hanging="360"/>
      </w:pPr>
      <w:r>
        <w:t xml:space="preserve">Orden de 4 de julio de 2000, del Consejero de </w:t>
      </w:r>
      <w:r>
        <w:t xml:space="preserve">Presidencia y Hacienda, reguladora </w:t>
      </w:r>
      <w:r>
        <w:lastRenderedPageBreak/>
        <w:t>de la tramitación y documentación de las modificaciones de crédito y otras operaciones sobre los Presupuestos.</w:t>
      </w:r>
    </w:p>
    <w:p w:rsidR="00CB6658" w:rsidRDefault="00590F70">
      <w:pPr>
        <w:pStyle w:val="Cuerpodeltexto20"/>
        <w:shd w:val="clear" w:color="auto" w:fill="auto"/>
        <w:spacing w:before="0" w:after="500"/>
        <w:ind w:left="1120" w:firstLine="0"/>
      </w:pPr>
      <w:r>
        <w:t>Resolución de 6 de marzo de 2006 de la Dirección General de Presupuestos, relativa a la gestión presupuestaria</w:t>
      </w:r>
      <w:r>
        <w:t xml:space="preserve"> para el año 2006.</w:t>
      </w:r>
    </w:p>
    <w:p w:rsidR="00CB6658" w:rsidRDefault="00590F70">
      <w:pPr>
        <w:pStyle w:val="Cuerpodeltexto20"/>
        <w:shd w:val="clear" w:color="auto" w:fill="auto"/>
        <w:spacing w:before="0"/>
        <w:ind w:firstLine="0"/>
      </w:pPr>
      <w:r>
        <w:t>Examinada esta normativa se observa que ningún precepto contempla el concepto objeto de esta consulta. No obstante, cabe afirmar que, en virtud del principio jerarquía y el de especialidad, ninguna disposición puede contradecir lo dispue</w:t>
      </w:r>
      <w:r>
        <w:t>sto en una norma de rango superior o de carácter especial, por lo que el alcance del concepto de cambio de imputación presupuestaria habrá que encontrarlo en el contexto normativo de las modificaciones presupuestarias.</w:t>
      </w:r>
    </w:p>
    <w:p w:rsidR="00CB6658" w:rsidRDefault="00590F70">
      <w:pPr>
        <w:pStyle w:val="Cuerpodeltexto20"/>
        <w:shd w:val="clear" w:color="auto" w:fill="auto"/>
        <w:spacing w:before="0" w:after="57"/>
        <w:ind w:firstLine="0"/>
      </w:pPr>
      <w:r>
        <w:t>Para ello, se hace preciso determinar</w:t>
      </w:r>
      <w:r>
        <w:t xml:space="preserve"> la vinculación jurídica de las partidas del presupuesto de gastos correspondientes al Capítulo I, a fin de poder determinar los límites presupuestarios sobre los que son posibles la realización de los cambios de imputación presupuestaria.</w:t>
      </w:r>
    </w:p>
    <w:p w:rsidR="00CB6658" w:rsidRDefault="00590F70">
      <w:pPr>
        <w:pStyle w:val="Ttulo10"/>
        <w:keepNext/>
        <w:keepLines/>
        <w:numPr>
          <w:ilvl w:val="0"/>
          <w:numId w:val="2"/>
        </w:numPr>
        <w:shd w:val="clear" w:color="auto" w:fill="auto"/>
        <w:tabs>
          <w:tab w:val="left" w:pos="351"/>
        </w:tabs>
        <w:spacing w:before="0" w:after="0" w:line="504" w:lineRule="exact"/>
      </w:pPr>
      <w:bookmarkStart w:id="2" w:name="bookmark1"/>
      <w:r>
        <w:t>Vinculación jurí</w:t>
      </w:r>
      <w:r>
        <w:t>dica de los créditos presupuestarios del Capítulo I</w:t>
      </w:r>
      <w:bookmarkEnd w:id="2"/>
    </w:p>
    <w:p w:rsidR="00CB6658" w:rsidRDefault="00590F70">
      <w:pPr>
        <w:pStyle w:val="Cuerpodeltexto20"/>
        <w:shd w:val="clear" w:color="auto" w:fill="auto"/>
        <w:spacing w:before="0" w:after="0" w:line="504" w:lineRule="exact"/>
        <w:ind w:firstLine="0"/>
      </w:pPr>
      <w:r>
        <w:t>El artículo 54.2 de la Ley 9/1990, de 8 de noviembre, anteriormente citada señala:</w:t>
      </w:r>
    </w:p>
    <w:p w:rsidR="00CB6658" w:rsidRDefault="00590F70">
      <w:pPr>
        <w:pStyle w:val="Cuerpodeltexto40"/>
        <w:shd w:val="clear" w:color="auto" w:fill="auto"/>
        <w:spacing w:before="0" w:after="0" w:line="504" w:lineRule="exact"/>
        <w:ind w:firstLine="140"/>
      </w:pPr>
      <w:r>
        <w:t>“La clasificación por programas tendrá carácter vinculante.</w:t>
      </w:r>
    </w:p>
    <w:p w:rsidR="00CB6658" w:rsidRDefault="00590F70">
      <w:pPr>
        <w:pStyle w:val="Cuerpodeltexto40"/>
        <w:shd w:val="clear" w:color="auto" w:fill="auto"/>
        <w:spacing w:before="0"/>
        <w:ind w:firstLine="140"/>
      </w:pPr>
      <w:r>
        <w:t xml:space="preserve">En cuanto a la clasificación económica, tendrá carácter </w:t>
      </w:r>
      <w:r>
        <w:t>informativo a efectos de lograr una adecuada asignación de los recursos, sin perjuicio del grado de vinculación de los créditos, el cual será a nivel de agrupaciones homogéneas, de conformidad con lo dispuesto en la Ley anual de Presupuestos Generales para</w:t>
      </w:r>
      <w:r>
        <w:t xml:space="preserve"> la Comunidad. ”</w:t>
      </w:r>
    </w:p>
    <w:p w:rsidR="00CB6658" w:rsidRDefault="00590F70">
      <w:pPr>
        <w:pStyle w:val="Cuerpodeltexto20"/>
        <w:shd w:val="clear" w:color="auto" w:fill="auto"/>
        <w:spacing w:before="0" w:after="256"/>
        <w:ind w:firstLine="0"/>
      </w:pPr>
      <w:r>
        <w:t>El artículo 7 de la Ley 6/2005, de 23 de diciembre, de Presupuestos Generales de la Comunidad de Madrid para 2006 establece la vinculación jurídica de los créditos del Presupuesto de Gastos, siendo a nivel de artículo la vinculación existe</w:t>
      </w:r>
      <w:r>
        <w:t>nte de la clasificación económica en el Capítulo I.</w:t>
      </w:r>
    </w:p>
    <w:p w:rsidR="00CB6658" w:rsidRDefault="00590F70">
      <w:pPr>
        <w:pStyle w:val="Cuerpodeltexto20"/>
        <w:shd w:val="clear" w:color="auto" w:fill="auto"/>
        <w:spacing w:before="0" w:after="267" w:line="254" w:lineRule="exact"/>
        <w:ind w:firstLine="0"/>
      </w:pPr>
      <w:r>
        <w:t>Igualmente serán vinculantes dentro del capítulo I con el nivel de desagregación económica que a continuación se detalla, los siguientes créditos:</w:t>
      </w:r>
    </w:p>
    <w:p w:rsidR="00CB6658" w:rsidRDefault="00590F70">
      <w:pPr>
        <w:pStyle w:val="Cuerpodeltexto20"/>
        <w:numPr>
          <w:ilvl w:val="0"/>
          <w:numId w:val="4"/>
        </w:numPr>
        <w:shd w:val="clear" w:color="auto" w:fill="auto"/>
        <w:tabs>
          <w:tab w:val="left" w:pos="1492"/>
        </w:tabs>
        <w:spacing w:before="0" w:after="0" w:line="246" w:lineRule="exact"/>
        <w:ind w:left="1120" w:firstLine="0"/>
      </w:pPr>
      <w:r>
        <w:t>131 "Laboral eventual”.</w:t>
      </w:r>
    </w:p>
    <w:p w:rsidR="00CB6658" w:rsidRDefault="00590F70">
      <w:pPr>
        <w:pStyle w:val="Cuerpodeltexto20"/>
        <w:shd w:val="clear" w:color="auto" w:fill="auto"/>
        <w:spacing w:before="0" w:after="257" w:line="246" w:lineRule="exact"/>
        <w:ind w:left="2160"/>
        <w:jc w:val="left"/>
      </w:pPr>
      <w:r>
        <w:t>141 "Otro personal”.</w:t>
      </w:r>
    </w:p>
    <w:p w:rsidR="00CB6658" w:rsidRDefault="00590F70">
      <w:pPr>
        <w:pStyle w:val="Cuerpodeltexto20"/>
        <w:numPr>
          <w:ilvl w:val="0"/>
          <w:numId w:val="4"/>
        </w:numPr>
        <w:shd w:val="clear" w:color="auto" w:fill="auto"/>
        <w:tabs>
          <w:tab w:val="left" w:pos="1492"/>
        </w:tabs>
        <w:spacing w:before="0" w:after="0"/>
        <w:ind w:left="1120" w:firstLine="0"/>
      </w:pPr>
      <w:r>
        <w:t>1208 "Carrer</w:t>
      </w:r>
      <w:r>
        <w:t>a profesional”.</w:t>
      </w:r>
    </w:p>
    <w:p w:rsidR="00CB6658" w:rsidRDefault="00590F70">
      <w:pPr>
        <w:pStyle w:val="Cuerpodeltexto20"/>
        <w:shd w:val="clear" w:color="auto" w:fill="auto"/>
        <w:spacing w:before="0" w:after="0"/>
        <w:ind w:left="2160"/>
        <w:jc w:val="left"/>
      </w:pPr>
      <w:r>
        <w:t>1308 "Carrera profesional”.</w:t>
      </w:r>
    </w:p>
    <w:p w:rsidR="00CB6658" w:rsidRDefault="00590F70">
      <w:pPr>
        <w:pStyle w:val="Cuerpodeltexto20"/>
        <w:numPr>
          <w:ilvl w:val="0"/>
          <w:numId w:val="5"/>
        </w:numPr>
        <w:shd w:val="clear" w:color="auto" w:fill="auto"/>
        <w:tabs>
          <w:tab w:val="left" w:pos="2133"/>
        </w:tabs>
        <w:spacing w:before="0" w:after="0"/>
        <w:ind w:left="2160"/>
        <w:jc w:val="left"/>
      </w:pPr>
      <w:r>
        <w:t>"Personal eventual: Profesores de Religión”.</w:t>
      </w:r>
    </w:p>
    <w:p w:rsidR="00CB6658" w:rsidRDefault="00590F70">
      <w:pPr>
        <w:pStyle w:val="Cuerpodeltexto20"/>
        <w:numPr>
          <w:ilvl w:val="0"/>
          <w:numId w:val="5"/>
        </w:numPr>
        <w:shd w:val="clear" w:color="auto" w:fill="auto"/>
        <w:tabs>
          <w:tab w:val="left" w:pos="2133"/>
        </w:tabs>
        <w:spacing w:before="0" w:after="263"/>
        <w:ind w:left="2160"/>
        <w:jc w:val="left"/>
      </w:pPr>
      <w:r>
        <w:t>"Retribuciones de personal con contrato de alta dirección”.</w:t>
      </w:r>
    </w:p>
    <w:p w:rsidR="00CB6658" w:rsidRDefault="00590F70">
      <w:pPr>
        <w:pStyle w:val="Cuerpodeltexto20"/>
        <w:shd w:val="clear" w:color="auto" w:fill="auto"/>
        <w:spacing w:before="0" w:after="0" w:line="246" w:lineRule="exact"/>
        <w:ind w:left="2160"/>
        <w:jc w:val="left"/>
      </w:pPr>
      <w:r>
        <w:t>1414 "Profesores especialistas”.</w:t>
      </w:r>
    </w:p>
    <w:p w:rsidR="00CB6658" w:rsidRDefault="00590F70">
      <w:pPr>
        <w:pStyle w:val="Cuerpodeltexto20"/>
        <w:shd w:val="clear" w:color="auto" w:fill="auto"/>
        <w:spacing w:before="0" w:after="257" w:line="246" w:lineRule="exact"/>
        <w:ind w:left="2160"/>
        <w:jc w:val="left"/>
      </w:pPr>
      <w:r>
        <w:t>1430 "Funcionarios interinos de Justicia”.</w:t>
      </w:r>
    </w:p>
    <w:p w:rsidR="00CB6658" w:rsidRDefault="00590F70">
      <w:pPr>
        <w:pStyle w:val="Cuerpodeltexto20"/>
        <w:shd w:val="clear" w:color="auto" w:fill="auto"/>
        <w:spacing w:before="0" w:after="0"/>
        <w:ind w:left="2160"/>
        <w:jc w:val="left"/>
      </w:pPr>
      <w:r>
        <w:t xml:space="preserve">1500 "Complemento de </w:t>
      </w:r>
      <w:r>
        <w:t>productividad”.</w:t>
      </w:r>
    </w:p>
    <w:p w:rsidR="00CB6658" w:rsidRDefault="00590F70">
      <w:pPr>
        <w:pStyle w:val="Cuerpodeltexto20"/>
        <w:shd w:val="clear" w:color="auto" w:fill="auto"/>
        <w:spacing w:before="0" w:after="0"/>
        <w:ind w:left="2160"/>
        <w:jc w:val="left"/>
      </w:pPr>
      <w:r>
        <w:t>1510 "Gratificaciones”.</w:t>
      </w:r>
    </w:p>
    <w:p w:rsidR="00CB6658" w:rsidRDefault="00590F70">
      <w:pPr>
        <w:pStyle w:val="Cuerpodeltexto20"/>
        <w:shd w:val="clear" w:color="auto" w:fill="auto"/>
        <w:spacing w:before="0" w:after="0"/>
        <w:ind w:left="2160"/>
        <w:jc w:val="left"/>
      </w:pPr>
      <w:r>
        <w:t>1521"Servicios extraordinarios vigilancia de comedores y coordinación transportes”.</w:t>
      </w:r>
    </w:p>
    <w:p w:rsidR="00CB6658" w:rsidRDefault="00590F70">
      <w:pPr>
        <w:pStyle w:val="Cuerpodeltexto20"/>
        <w:shd w:val="clear" w:color="auto" w:fill="auto"/>
        <w:spacing w:before="0" w:after="263"/>
        <w:ind w:left="2160"/>
        <w:jc w:val="left"/>
      </w:pPr>
      <w:r>
        <w:t>1542 "Cumplimiento de programas concretos de actuación”.</w:t>
      </w:r>
    </w:p>
    <w:p w:rsidR="00CB6658" w:rsidRDefault="00590F70">
      <w:pPr>
        <w:pStyle w:val="Cuerpodeltexto20"/>
        <w:numPr>
          <w:ilvl w:val="0"/>
          <w:numId w:val="6"/>
        </w:numPr>
        <w:shd w:val="clear" w:color="auto" w:fill="auto"/>
        <w:tabs>
          <w:tab w:val="left" w:pos="2133"/>
        </w:tabs>
        <w:spacing w:before="0" w:after="0" w:line="246" w:lineRule="exact"/>
        <w:ind w:left="2160"/>
        <w:jc w:val="left"/>
      </w:pPr>
      <w:r>
        <w:t>"Cuotas sociales”.</w:t>
      </w:r>
    </w:p>
    <w:p w:rsidR="00CB6658" w:rsidRDefault="00590F70">
      <w:pPr>
        <w:pStyle w:val="Cuerpodeltexto20"/>
        <w:numPr>
          <w:ilvl w:val="0"/>
          <w:numId w:val="6"/>
        </w:numPr>
        <w:shd w:val="clear" w:color="auto" w:fill="auto"/>
        <w:tabs>
          <w:tab w:val="left" w:pos="2133"/>
        </w:tabs>
        <w:spacing w:before="0" w:line="246" w:lineRule="exact"/>
        <w:ind w:left="2160"/>
        <w:jc w:val="left"/>
      </w:pPr>
      <w:r>
        <w:t>"Cuotas sociales personal eventual”.</w:t>
      </w:r>
    </w:p>
    <w:p w:rsidR="00CB6658" w:rsidRDefault="00590F70">
      <w:pPr>
        <w:pStyle w:val="Cuerpodeltexto20"/>
        <w:numPr>
          <w:ilvl w:val="0"/>
          <w:numId w:val="7"/>
        </w:numPr>
        <w:shd w:val="clear" w:color="auto" w:fill="auto"/>
        <w:tabs>
          <w:tab w:val="left" w:pos="2133"/>
        </w:tabs>
        <w:spacing w:before="0" w:after="0" w:line="246" w:lineRule="exact"/>
        <w:ind w:left="2160"/>
        <w:jc w:val="left"/>
      </w:pPr>
      <w:r>
        <w:t xml:space="preserve">"Previsión para </w:t>
      </w:r>
      <w:r>
        <w:t>ajustes técnicos”.</w:t>
      </w:r>
    </w:p>
    <w:p w:rsidR="00CB6658" w:rsidRDefault="00590F70">
      <w:pPr>
        <w:pStyle w:val="Cuerpodeltexto20"/>
        <w:numPr>
          <w:ilvl w:val="0"/>
          <w:numId w:val="7"/>
        </w:numPr>
        <w:shd w:val="clear" w:color="auto" w:fill="auto"/>
        <w:tabs>
          <w:tab w:val="left" w:pos="2052"/>
        </w:tabs>
        <w:spacing w:before="0" w:after="0"/>
        <w:ind w:left="1480" w:firstLine="0"/>
        <w:jc w:val="left"/>
      </w:pPr>
      <w:r>
        <w:lastRenderedPageBreak/>
        <w:t>“Previsión para crecimiento de plantilla”.</w:t>
      </w:r>
    </w:p>
    <w:p w:rsidR="00CB6658" w:rsidRDefault="00590F70">
      <w:pPr>
        <w:pStyle w:val="Cuerpodeltexto20"/>
        <w:numPr>
          <w:ilvl w:val="0"/>
          <w:numId w:val="7"/>
        </w:numPr>
        <w:shd w:val="clear" w:color="auto" w:fill="auto"/>
        <w:tabs>
          <w:tab w:val="left" w:pos="2076"/>
        </w:tabs>
        <w:spacing w:before="0" w:after="0"/>
        <w:ind w:left="1480" w:firstLine="0"/>
        <w:jc w:val="left"/>
      </w:pPr>
      <w:r>
        <w:t>“Modernización y mejora de la Función Pública”.</w:t>
      </w:r>
    </w:p>
    <w:p w:rsidR="00CB6658" w:rsidRDefault="00590F70">
      <w:pPr>
        <w:pStyle w:val="Cuerpodeltexto20"/>
        <w:shd w:val="clear" w:color="auto" w:fill="auto"/>
        <w:spacing w:before="0" w:after="0"/>
        <w:ind w:left="1480" w:firstLine="0"/>
        <w:jc w:val="left"/>
      </w:pPr>
      <w:r>
        <w:t>1806 “Plan de Prevención de Riesgos Laborales”.</w:t>
      </w:r>
    </w:p>
    <w:p w:rsidR="00CB6658" w:rsidRDefault="00590F70">
      <w:pPr>
        <w:pStyle w:val="Cuerpodeltexto20"/>
        <w:shd w:val="clear" w:color="auto" w:fill="auto"/>
        <w:spacing w:before="0"/>
        <w:ind w:left="1480" w:firstLine="0"/>
        <w:jc w:val="left"/>
      </w:pPr>
      <w:r>
        <w:t>1808 “Incremento cupos efectivos docentes”.</w:t>
      </w:r>
    </w:p>
    <w:p w:rsidR="00CB6658" w:rsidRDefault="00590F70">
      <w:pPr>
        <w:pStyle w:val="Cuerpodeltexto20"/>
        <w:shd w:val="clear" w:color="auto" w:fill="auto"/>
        <w:spacing w:before="0" w:after="256"/>
        <w:ind w:firstLine="0"/>
      </w:pPr>
      <w:r>
        <w:t xml:space="preserve">A este respecto, hay que dejar constancia que por Ley </w:t>
      </w:r>
      <w:r>
        <w:t xml:space="preserve">de Presupuestos Generales puede establecerse un nivel de vinculación de los créditos de forma diferenciada para determinados Entes, en concreto el artículo 50 de la Ley 6/2005, de 23 de diciembre, determina una especial vinculación de los créditos para el </w:t>
      </w:r>
      <w:r>
        <w:t>Servicio Madrileño de la Salud.</w:t>
      </w:r>
    </w:p>
    <w:p w:rsidR="00CB6658" w:rsidRDefault="00590F70">
      <w:pPr>
        <w:pStyle w:val="Ttulo10"/>
        <w:keepNext/>
        <w:keepLines/>
        <w:numPr>
          <w:ilvl w:val="0"/>
          <w:numId w:val="2"/>
        </w:numPr>
        <w:shd w:val="clear" w:color="auto" w:fill="auto"/>
        <w:tabs>
          <w:tab w:val="left" w:pos="331"/>
        </w:tabs>
        <w:spacing w:before="0" w:after="264" w:line="254" w:lineRule="exact"/>
      </w:pPr>
      <w:bookmarkStart w:id="3" w:name="bookmark2"/>
      <w:r>
        <w:t xml:space="preserve">Calificación jurídica que debe otorgarse a la figura denominada </w:t>
      </w:r>
      <w:r>
        <w:rPr>
          <w:rStyle w:val="Ttulo1Cursiva"/>
          <w:b/>
          <w:bCs/>
        </w:rPr>
        <w:t>“cambio de imputación presupuestaria”</w:t>
      </w:r>
      <w:r>
        <w:rPr>
          <w:rStyle w:val="Ttulo1Sinnegrita"/>
        </w:rPr>
        <w:t xml:space="preserve"> </w:t>
      </w:r>
      <w:r>
        <w:t>y momento en que debe realizarse</w:t>
      </w:r>
      <w:r>
        <w:rPr>
          <w:rStyle w:val="Ttulo1Sinnegrita"/>
        </w:rPr>
        <w:t>.</w:t>
      </w:r>
      <w:bookmarkEnd w:id="3"/>
    </w:p>
    <w:p w:rsidR="00CB6658" w:rsidRDefault="00590F70">
      <w:pPr>
        <w:pStyle w:val="Cuerpodeltexto20"/>
        <w:shd w:val="clear" w:color="auto" w:fill="auto"/>
        <w:spacing w:before="0"/>
        <w:ind w:firstLine="0"/>
      </w:pPr>
      <w:r>
        <w:t>Analizada la vinculación jurídica de los créditos correspondientes al Presupuesto de Gas</w:t>
      </w:r>
      <w:r>
        <w:t>tos del Capítulo I, se van a examinar los tipos de modificaciones presupuestarias así como Otras operaciones sobre los presupuestos que pueden tramitarse a fin de dar cumplimiento a lo previsto en la Orden de 14 de enero de 2002 sobre el procedimiento de e</w:t>
      </w:r>
      <w:r>
        <w:t>laboración y gestión de nóminas.</w:t>
      </w:r>
    </w:p>
    <w:p w:rsidR="00CB6658" w:rsidRDefault="00590F70">
      <w:pPr>
        <w:pStyle w:val="Cuerpodeltexto20"/>
        <w:shd w:val="clear" w:color="auto" w:fill="auto"/>
        <w:spacing w:before="0"/>
        <w:ind w:firstLine="0"/>
      </w:pPr>
      <w:r>
        <w:t>Dentro de las normas reguladoras de las modificaciones presupuestarias a las que ya se ha hecho referencia, la única figura que puede resultar equiparable al supuesto denominado cambio de imputación presupuestaria en nómina</w:t>
      </w:r>
      <w:r>
        <w:t xml:space="preserve"> sería la redistribución de crédito, que se configura como Otra Operación sobre los presupuestos según lo determinado en la Orden de 4 de julio de 2000, del Consejero de Presidencia y Hacienda, reguladora de la tramitación y documentación de las modificaci</w:t>
      </w:r>
      <w:r>
        <w:t>ones de crédito y otras operaciones sobre los presupuestos.</w:t>
      </w:r>
    </w:p>
    <w:p w:rsidR="00CB6658" w:rsidRDefault="00590F70">
      <w:pPr>
        <w:pStyle w:val="Cuerpodeltexto20"/>
        <w:shd w:val="clear" w:color="auto" w:fill="auto"/>
        <w:spacing w:before="0"/>
        <w:ind w:firstLine="0"/>
      </w:pPr>
      <w:r>
        <w:t>Las redistribuciones de crédito pueden definirse como aquellas variaciones en la cuantía de los créditos que no suponen alteración de las dotaciones en el nivel de vinculación jurídica, de conform</w:t>
      </w:r>
      <w:r>
        <w:t>idad con lo dispuesto en la Ley Reguladora de la Hacienda de la Comunidad de Madrid y en las Leyes anuales de Presupuestos.</w:t>
      </w:r>
    </w:p>
    <w:p w:rsidR="00CB6658" w:rsidRDefault="00590F70">
      <w:pPr>
        <w:pStyle w:val="Cuerpodeltexto20"/>
        <w:shd w:val="clear" w:color="auto" w:fill="auto"/>
        <w:spacing w:before="0"/>
        <w:ind w:firstLine="0"/>
      </w:pPr>
      <w:r>
        <w:t>Los cambios de imputación presupuestaria entre los conceptos y subconceptos de capítulo I pertenecientes al mismo programa se regula</w:t>
      </w:r>
      <w:r>
        <w:t xml:space="preserve">rizarán a través de redistribuciones de crédito, cuya competencia, en virtud del artículo 3.1 de la Orden de 4 de julio de 2000, se atribuye a la Consejería de Hacienda, en aquellos casos en los que, como se ha definido en el párrafo anterior, se producen </w:t>
      </w:r>
      <w:r>
        <w:t>variaciones en la cuantía de los créditos que no suponen alteración de las consignaciones en el nivel de vinculación jurídica. En capítulo I, los Consejeros respectivos tendrán competencias para redistribuir créditos únicamente en el supuesto de obligacion</w:t>
      </w:r>
      <w:r>
        <w:t xml:space="preserve">es derivadas </w:t>
      </w:r>
      <w:r w:rsidR="009C4D3E">
        <w:t>del cumplimiento de sentencias.</w:t>
      </w:r>
      <w:r w:rsidR="009C4D3E">
        <w:rPr>
          <w:rStyle w:val="Refdenotaalpie"/>
        </w:rPr>
        <w:footnoteReference w:id="1"/>
      </w:r>
    </w:p>
    <w:p w:rsidR="00CB6658" w:rsidRDefault="00590F70">
      <w:pPr>
        <w:pStyle w:val="Cuerpodeltexto20"/>
        <w:shd w:val="clear" w:color="auto" w:fill="auto"/>
        <w:spacing w:before="0"/>
        <w:ind w:firstLine="0"/>
      </w:pPr>
      <w:r>
        <w:t xml:space="preserve">Por otra parte, en relación al momento efectivo de la realización de las redistribuciones de crédito correspondientes, se señala que dichas figuras no tienen la consideración de modificación presupuestaria, </w:t>
      </w:r>
      <w:r>
        <w:t>tratándose de meras operaciones sobre los presupuestos, produciéndose un ajuste de los mismos que, en caso de efectuarse, determinan una mayor desagregación de la información contable-presupuestaria.</w:t>
      </w:r>
    </w:p>
    <w:p w:rsidR="00CB6658" w:rsidRDefault="00590F70" w:rsidP="009C4D3E">
      <w:pPr>
        <w:pStyle w:val="Cuerpodeltexto20"/>
        <w:shd w:val="clear" w:color="auto" w:fill="auto"/>
        <w:spacing w:before="0" w:after="0"/>
        <w:ind w:firstLine="0"/>
      </w:pPr>
      <w:r>
        <w:t>Por tanto, al tramitar la nómina pueden efectuarse los d</w:t>
      </w:r>
      <w:r>
        <w:t xml:space="preserve">enominados cambios de imputación presupuestaria, siempre y cuando, no afecten al nivel de vinculación jurídica previsto en las respectivas Leyes Anuales de Presupuestos, a fin de atender las obligaciones que de la </w:t>
      </w:r>
      <w:r>
        <w:t xml:space="preserve">misma se derivan, sin que por la Intervención Delegada respectiva pueda interponerse reparo, en el </w:t>
      </w:r>
      <w:r>
        <w:lastRenderedPageBreak/>
        <w:t>c</w:t>
      </w:r>
      <w:r>
        <w:t>aso de que no se haya llevado a cabo la redistribución de los créditos con carácter previo, al existir remanentes de crédito que se consideran adecuados y suficientes de acuerdo con el nivel de vinculación jurídica previsto legalmente.</w:t>
      </w:r>
    </w:p>
    <w:p w:rsidR="009C4D3E" w:rsidRDefault="009C4D3E" w:rsidP="009C4D3E">
      <w:pPr>
        <w:pStyle w:val="Cuerpodeltexto20"/>
        <w:shd w:val="clear" w:color="auto" w:fill="auto"/>
        <w:spacing w:before="0" w:after="0"/>
        <w:ind w:firstLine="0"/>
      </w:pPr>
    </w:p>
    <w:p w:rsidR="00CB6658" w:rsidRDefault="00590F70">
      <w:pPr>
        <w:pStyle w:val="Cuerpodeltexto20"/>
        <w:shd w:val="clear" w:color="auto" w:fill="auto"/>
        <w:spacing w:before="0"/>
        <w:ind w:firstLine="0"/>
      </w:pPr>
      <w:r>
        <w:t>No obstante lo anter</w:t>
      </w:r>
      <w:r>
        <w:t>ior, una vez efectuados dichos "cambios de imputación presupuestaria”, debería realizarse, en su caso, la redistribución de los créditos con el fin de ajustarlos a la exacta y concreta naturaleza del gasto efectuado, señalándose al respecto la conveniencia</w:t>
      </w:r>
      <w:r>
        <w:t xml:space="preserve"> de llevar a cabo las oportunas redistribuciones de crédito.</w:t>
      </w:r>
    </w:p>
    <w:p w:rsidR="00CB6658" w:rsidRDefault="00590F70">
      <w:pPr>
        <w:pStyle w:val="Cuerpodeltexto20"/>
        <w:shd w:val="clear" w:color="auto" w:fill="auto"/>
        <w:spacing w:before="0"/>
        <w:ind w:firstLine="0"/>
      </w:pPr>
      <w:r>
        <w:t>Finalmente, en el supuesto de inexistencia de crédito en el nivel de vinculación jurídica previsto legalmente, las unidades orgánicas encargadas de la elaboración de la nómina procederán a inicia</w:t>
      </w:r>
      <w:r>
        <w:t>r la tramitación del expediente de modificación presupuestaria al efecto de disponer del crédito suficiente y adecuado, siendo la figura de la modificación presupuestaria adecuada para su utilización la transferencia de crédito. La competencia para su real</w:t>
      </w:r>
      <w:r>
        <w:t>ización en el ámbito del capítulo I del presupuesto de gastos se determina en los artículos 61 a 63 de la Ley 9/1990, de 8 de noviembre.</w:t>
      </w:r>
    </w:p>
    <w:p w:rsidR="00CB6658" w:rsidRDefault="00590F70">
      <w:pPr>
        <w:pStyle w:val="Ttulo10"/>
        <w:keepNext/>
        <w:keepLines/>
        <w:numPr>
          <w:ilvl w:val="0"/>
          <w:numId w:val="2"/>
        </w:numPr>
        <w:shd w:val="clear" w:color="auto" w:fill="auto"/>
        <w:tabs>
          <w:tab w:val="left" w:pos="451"/>
        </w:tabs>
        <w:spacing w:before="0" w:line="250" w:lineRule="exact"/>
      </w:pPr>
      <w:bookmarkStart w:id="4" w:name="bookmark3"/>
      <w:r>
        <w:t>A modo de recapitulación de lo expuesto, se pueden extraer las siguientes conclusiones:</w:t>
      </w:r>
      <w:bookmarkEnd w:id="4"/>
    </w:p>
    <w:p w:rsidR="00CB6658" w:rsidRDefault="00590F70">
      <w:pPr>
        <w:pStyle w:val="Cuerpodeltexto20"/>
        <w:numPr>
          <w:ilvl w:val="0"/>
          <w:numId w:val="8"/>
        </w:numPr>
        <w:shd w:val="clear" w:color="auto" w:fill="auto"/>
        <w:tabs>
          <w:tab w:val="left" w:pos="787"/>
        </w:tabs>
        <w:spacing w:before="0"/>
        <w:ind w:left="760" w:hanging="360"/>
      </w:pPr>
      <w:r>
        <w:t xml:space="preserve">Los órganos gestores, dada la </w:t>
      </w:r>
      <w:r>
        <w:t>complejidad de la tramitación de las nóminas del personal, conforme a lo previsto en el artículo 8, apartados 4 y 5, de la Orden de 14 de enero de 2002, podrán llevarse a cabo los cambios de imputación presupuestaria que se ocasionen en el procedimiento de</w:t>
      </w:r>
      <w:r>
        <w:t xml:space="preserve"> elaboración de nóminas, en aquellos casos en los que no se vea afectado el nivel de vinculación jurídica legalmente establecido, sin perjuicio de la realización a posteriori de las oportunas redistribuciones de créditos. La Intervención Delegada, en estos</w:t>
      </w:r>
      <w:r>
        <w:t xml:space="preserve"> supuestos, procederá a la fiscalización favorable de la nómina, con independencia de si se han realizado o no las correspondientes redistribuciones de crédito, al darse el requisito de la existencia de crédito adecuado y suficiente en el nivel de vinculac</w:t>
      </w:r>
      <w:r>
        <w:t>ión jurídica de los créditos previstos en las Leyes de Presupuestos Anuales.</w:t>
      </w:r>
    </w:p>
    <w:p w:rsidR="00CB6658" w:rsidRDefault="00590F70">
      <w:pPr>
        <w:pStyle w:val="Cuerpodeltexto20"/>
        <w:numPr>
          <w:ilvl w:val="0"/>
          <w:numId w:val="8"/>
        </w:numPr>
        <w:shd w:val="clear" w:color="auto" w:fill="auto"/>
        <w:tabs>
          <w:tab w:val="left" w:pos="787"/>
        </w:tabs>
        <w:spacing w:before="0"/>
        <w:ind w:left="760" w:hanging="360"/>
      </w:pPr>
      <w:r>
        <w:t>No obstante lo anterior, en el caso de que se produzca inexistencia de crédito en el nivel de vinculación jurídica prevista legalmente, habría que llevar a cabo las modificaciones</w:t>
      </w:r>
      <w:r>
        <w:t xml:space="preserve"> presupuestarias correspondientes a través de las figuras de las transferencias, a fin de habilitar los créditos presupuestarios necesarios para poder hacer frente a las obligaciones económicas derivadas de las nóminas. A tal efecto, una vez emitida la nóm</w:t>
      </w:r>
      <w:r>
        <w:t>ina provisional, y efectuado su control presupuestario, verificación y corrección de errores, si por el Órgano Gestor se detecta una insuficiencia de crédito, ha de tramitarse, con carácter de urgencia, el preceptivo expediente de modificación de los crédi</w:t>
      </w:r>
      <w:r>
        <w:t>tos (transferencias).</w:t>
      </w:r>
    </w:p>
    <w:p w:rsidR="00CB6658" w:rsidRDefault="00590F70">
      <w:pPr>
        <w:pStyle w:val="Cuerpodeltexto20"/>
        <w:numPr>
          <w:ilvl w:val="0"/>
          <w:numId w:val="8"/>
        </w:numPr>
        <w:shd w:val="clear" w:color="auto" w:fill="auto"/>
        <w:tabs>
          <w:tab w:val="left" w:pos="787"/>
        </w:tabs>
        <w:spacing w:before="0" w:after="0"/>
        <w:ind w:left="760" w:hanging="360"/>
      </w:pPr>
      <w:r>
        <w:t xml:space="preserve">En el supuesto anteriormente reseñado en el párrafo anterior, y no efectuada la preceptiva transferencia de crédito, el crédito propuesto ha de considerarse no adecuado, constituyendo tal circunstancia una de las causas determinantes </w:t>
      </w:r>
      <w:r>
        <w:t>de la interposición de un reparo por la Intervención Delegada, de acuerdo con lo establecido en los artículos 87 de la Ley 9/1990 , de 8 de noviembre, Reguladora de la Hacienda de la Comunidad de Madrid y 15.2 del Decreto 45/1997, de 20 de marzo, por el qu</w:t>
      </w:r>
      <w:r>
        <w:t>e se desarrolla el régimen de control interno y contable ejercido por la Intervención General de la Comunidad de Madrid, así como lo dispuesto en el artículo 10 de la ya citada Orden de 14 de enero de 2002, por la que se regula el procedimiento de elaborac</w:t>
      </w:r>
      <w:r>
        <w:t>ión y gestión de las nóminas del personal al servicio de la Comunidad de Madrid.</w:t>
      </w:r>
    </w:p>
    <w:sectPr w:rsidR="00CB6658">
      <w:footerReference w:type="default" r:id="rId8"/>
      <w:pgSz w:w="11900" w:h="16840"/>
      <w:pgMar w:top="1421" w:right="1379" w:bottom="1224" w:left="139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F70" w:rsidRDefault="00590F70">
      <w:r>
        <w:separator/>
      </w:r>
    </w:p>
  </w:endnote>
  <w:endnote w:type="continuationSeparator" w:id="0">
    <w:p w:rsidR="00590F70" w:rsidRDefault="0059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658" w:rsidRDefault="00B90C8E">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3760470</wp:posOffset>
              </wp:positionH>
              <wp:positionV relativeFrom="page">
                <wp:posOffset>10101580</wp:posOffset>
              </wp:positionV>
              <wp:extent cx="70485" cy="160655"/>
              <wp:effectExtent l="0" t="0" r="63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658" w:rsidRDefault="00590F70">
                          <w:pPr>
                            <w:pStyle w:val="Encabezamientoopiedepgina0"/>
                            <w:shd w:val="clear" w:color="auto" w:fill="auto"/>
                            <w:spacing w:line="240" w:lineRule="auto"/>
                          </w:pPr>
                          <w:r>
                            <w:fldChar w:fldCharType="begin"/>
                          </w:r>
                          <w:r>
                            <w:instrText xml:space="preserve"> PAGE \* MERGEFORMAT </w:instrText>
                          </w:r>
                          <w:r>
                            <w:fldChar w:fldCharType="separate"/>
                          </w:r>
                          <w:r w:rsidR="00780BC2" w:rsidRPr="00780BC2">
                            <w:rPr>
                              <w:rStyle w:val="Encabezamientoopiedepgina1"/>
                              <w:noProof/>
                            </w:rPr>
                            <w:t>4</w:t>
                          </w:r>
                          <w:r>
                            <w:rPr>
                              <w:rStyle w:val="Encabezamientoopiedepgin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6.1pt;margin-top:795.4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rJpg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" filled="f" stroked="f">
              <v:textbox style="mso-fit-shape-to-text:t" inset="0,0,0,0">
                <w:txbxContent>
                  <w:p w:rsidR="00CB6658" w:rsidRDefault="00590F70">
                    <w:pPr>
                      <w:pStyle w:val="Encabezamientoopiedepgina0"/>
                      <w:shd w:val="clear" w:color="auto" w:fill="auto"/>
                      <w:spacing w:line="240" w:lineRule="auto"/>
                    </w:pPr>
                    <w:r>
                      <w:fldChar w:fldCharType="begin"/>
                    </w:r>
                    <w:r>
                      <w:instrText xml:space="preserve"> PAGE \* MERGEFORMAT </w:instrText>
                    </w:r>
                    <w:r>
                      <w:fldChar w:fldCharType="separate"/>
                    </w:r>
                    <w:r w:rsidR="00780BC2" w:rsidRPr="00780BC2">
                      <w:rPr>
                        <w:rStyle w:val="Encabezamientoopiedepgina1"/>
                        <w:noProof/>
                      </w:rPr>
                      <w:t>4</w:t>
                    </w:r>
                    <w:r>
                      <w:rPr>
                        <w:rStyle w:val="Encabezamientoopiedepgina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F70" w:rsidRDefault="00590F70"/>
  </w:footnote>
  <w:footnote w:type="continuationSeparator" w:id="0">
    <w:p w:rsidR="00590F70" w:rsidRDefault="00590F70"/>
  </w:footnote>
  <w:footnote w:id="1">
    <w:p w:rsidR="009C4D3E" w:rsidRDefault="009C4D3E" w:rsidP="009C4D3E">
      <w:pPr>
        <w:pStyle w:val="Cuerpodeltexto20"/>
        <w:shd w:val="clear" w:color="auto" w:fill="auto"/>
        <w:spacing w:before="0" w:after="0" w:line="240" w:lineRule="auto"/>
        <w:ind w:firstLine="0"/>
      </w:pPr>
      <w:r>
        <w:rPr>
          <w:rStyle w:val="Refdenotaalpie"/>
        </w:rPr>
        <w:footnoteRef/>
      </w:r>
      <w:r>
        <w:t xml:space="preserve"> </w:t>
      </w:r>
      <w:r>
        <w:rPr>
          <w:rStyle w:val="Cuerpodeltexto6"/>
        </w:rPr>
        <w:t xml:space="preserve">El artículo 3 de la Orden de 2 de enero de 2006, de la Consejería de Hacienda por la que se delegan determinadas competencias y se modifica el Anexo de la Orden de 4 de julio de 2000, delega en los responsables de los programas presupuestarios incluidos en el ámbito de la </w:t>
      </w:r>
      <w:proofErr w:type="spellStart"/>
      <w:r>
        <w:rPr>
          <w:rStyle w:val="Cuerpodeltexto6"/>
        </w:rPr>
        <w:t>subfunción</w:t>
      </w:r>
      <w:proofErr w:type="spellEnd"/>
      <w:r>
        <w:rPr>
          <w:rStyle w:val="Cuerpodeltexto6"/>
        </w:rPr>
        <w:t xml:space="preserve"> 416 “Atención especializada” la competencia para redistribuir los créditos de todos los capítulos de la clasificación económica de gastos, excepto los capítulos 2 y 4.</w:t>
      </w:r>
    </w:p>
    <w:p w:rsidR="009C4D3E" w:rsidRDefault="009C4D3E">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61BA3"/>
    <w:multiLevelType w:val="multilevel"/>
    <w:tmpl w:val="C51688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9D527F"/>
    <w:multiLevelType w:val="multilevel"/>
    <w:tmpl w:val="569E5A2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0A07D5"/>
    <w:multiLevelType w:val="multilevel"/>
    <w:tmpl w:val="4D88F1CA"/>
    <w:lvl w:ilvl="0">
      <w:start w:val="1600"/>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23040C"/>
    <w:multiLevelType w:val="multilevel"/>
    <w:tmpl w:val="BF4EA608"/>
    <w:lvl w:ilvl="0">
      <w:start w:val="1314"/>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8444CE"/>
    <w:multiLevelType w:val="multilevel"/>
    <w:tmpl w:val="C37029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9E702A"/>
    <w:multiLevelType w:val="multilevel"/>
    <w:tmpl w:val="7C72AEE4"/>
    <w:lvl w:ilvl="0">
      <w:start w:val="1800"/>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FB4A98"/>
    <w:multiLevelType w:val="multilevel"/>
    <w:tmpl w:val="CEC02C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490D98"/>
    <w:multiLevelType w:val="multilevel"/>
    <w:tmpl w:val="6214FF1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4"/>
  </w:num>
  <w:num w:numId="4">
    <w:abstractNumId w:val="7"/>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658"/>
    <w:rsid w:val="00590F70"/>
    <w:rsid w:val="00780BC2"/>
    <w:rsid w:val="009C4D3E"/>
    <w:rsid w:val="00B90C8E"/>
    <w:rsid w:val="00CB66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4E5FA"/>
  <w15:docId w15:val="{30C0E168-6505-431C-AEFB-B4D6294A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3">
    <w:name w:val="Cuerpo del texto (3)_"/>
    <w:basedOn w:val="Fuentedeprrafopredeter"/>
    <w:link w:val="Cuerpodeltexto30"/>
    <w:rPr>
      <w:rFonts w:ascii="Arial" w:eastAsia="Arial" w:hAnsi="Arial" w:cs="Arial"/>
      <w:b/>
      <w:bCs/>
      <w:i w:val="0"/>
      <w:iCs w:val="0"/>
      <w:smallCaps w:val="0"/>
      <w:strike w:val="0"/>
      <w:sz w:val="22"/>
      <w:szCs w:val="22"/>
      <w:u w:val="non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2"/>
      <w:szCs w:val="22"/>
      <w:u w:val="none"/>
    </w:rPr>
  </w:style>
  <w:style w:type="character" w:customStyle="1" w:styleId="Encabezamientoopiedepgina1">
    <w:name w:val="Encabezamiento o pie de página"/>
    <w:basedOn w:val="Encabezamientoopiedepgin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22"/>
      <w:szCs w:val="22"/>
      <w:u w:val="none"/>
    </w:rPr>
  </w:style>
  <w:style w:type="character" w:customStyle="1" w:styleId="Cuerpodeltexto4">
    <w:name w:val="Cuerpo del texto (4)_"/>
    <w:basedOn w:val="Fuentedeprrafopredeter"/>
    <w:link w:val="Cuerpodeltexto40"/>
    <w:rPr>
      <w:rFonts w:ascii="Arial" w:eastAsia="Arial" w:hAnsi="Arial" w:cs="Arial"/>
      <w:b w:val="0"/>
      <w:bCs w:val="0"/>
      <w:i/>
      <w:iCs/>
      <w:smallCaps w:val="0"/>
      <w:strike w:val="0"/>
      <w:sz w:val="22"/>
      <w:szCs w:val="22"/>
      <w:u w:val="none"/>
    </w:rPr>
  </w:style>
  <w:style w:type="character" w:customStyle="1" w:styleId="Cuerpodeltexto4Negrita">
    <w:name w:val="Cuerpo del texto (4) + Negrita"/>
    <w:basedOn w:val="Cuerpodeltexto4"/>
    <w:rPr>
      <w:rFonts w:ascii="Arial" w:eastAsia="Arial" w:hAnsi="Arial" w:cs="Arial"/>
      <w:b/>
      <w:bCs/>
      <w:i/>
      <w:iCs/>
      <w:smallCaps w:val="0"/>
      <w:strike w:val="0"/>
      <w:color w:val="000000"/>
      <w:spacing w:val="0"/>
      <w:w w:val="100"/>
      <w:position w:val="0"/>
      <w:sz w:val="22"/>
      <w:szCs w:val="22"/>
      <w:u w:val="none"/>
      <w:lang w:val="es-ES" w:eastAsia="es-ES" w:bidi="es-ES"/>
    </w:rPr>
  </w:style>
  <w:style w:type="character" w:customStyle="1" w:styleId="Cuerpodeltexto5">
    <w:name w:val="Cuerpo del texto (5)_"/>
    <w:basedOn w:val="Fuentedeprrafopredeter"/>
    <w:link w:val="Cuerpodeltexto50"/>
    <w:rPr>
      <w:rFonts w:ascii="Arial" w:eastAsia="Arial" w:hAnsi="Arial" w:cs="Arial"/>
      <w:b/>
      <w:bCs/>
      <w:i/>
      <w:iCs/>
      <w:smallCaps w:val="0"/>
      <w:strike w:val="0"/>
      <w:sz w:val="22"/>
      <w:szCs w:val="22"/>
      <w:u w:val="none"/>
    </w:rPr>
  </w:style>
  <w:style w:type="character" w:customStyle="1" w:styleId="Cuerpodeltexto5Sinnegrita">
    <w:name w:val="Cuerpo del texto (5) + Sin negrita"/>
    <w:basedOn w:val="Cuerpodeltexto5"/>
    <w:rPr>
      <w:rFonts w:ascii="Arial" w:eastAsia="Arial" w:hAnsi="Arial" w:cs="Arial"/>
      <w:b/>
      <w:bCs/>
      <w:i/>
      <w:iCs/>
      <w:smallCaps w:val="0"/>
      <w:strike w:val="0"/>
      <w:color w:val="000000"/>
      <w:spacing w:val="0"/>
      <w:w w:val="100"/>
      <w:position w:val="0"/>
      <w:sz w:val="22"/>
      <w:szCs w:val="22"/>
      <w:u w:val="none"/>
      <w:lang w:val="es-ES" w:eastAsia="es-ES" w:bidi="es-ES"/>
    </w:rPr>
  </w:style>
  <w:style w:type="character" w:customStyle="1" w:styleId="Cuerpodeltexto2Cursiva">
    <w:name w:val="Cuerpo del texto (2) + Cursiva"/>
    <w:basedOn w:val="Cuerpodeltexto2"/>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character" w:customStyle="1" w:styleId="Ttulo1">
    <w:name w:val="Título #1_"/>
    <w:basedOn w:val="Fuentedeprrafopredeter"/>
    <w:link w:val="Ttulo10"/>
    <w:rPr>
      <w:rFonts w:ascii="Arial" w:eastAsia="Arial" w:hAnsi="Arial" w:cs="Arial"/>
      <w:b/>
      <w:bCs/>
      <w:i w:val="0"/>
      <w:iCs w:val="0"/>
      <w:smallCaps w:val="0"/>
      <w:strike w:val="0"/>
      <w:sz w:val="22"/>
      <w:szCs w:val="22"/>
      <w:u w:val="none"/>
    </w:rPr>
  </w:style>
  <w:style w:type="character" w:customStyle="1" w:styleId="Ttulo1Cursiva">
    <w:name w:val="Título #1 + Cursiva"/>
    <w:basedOn w:val="Ttulo1"/>
    <w:rPr>
      <w:rFonts w:ascii="Arial" w:eastAsia="Arial" w:hAnsi="Arial" w:cs="Arial"/>
      <w:b/>
      <w:bCs/>
      <w:i/>
      <w:iCs/>
      <w:smallCaps w:val="0"/>
      <w:strike w:val="0"/>
      <w:color w:val="000000"/>
      <w:spacing w:val="0"/>
      <w:w w:val="100"/>
      <w:position w:val="0"/>
      <w:sz w:val="22"/>
      <w:szCs w:val="22"/>
      <w:u w:val="none"/>
      <w:lang w:val="es-ES" w:eastAsia="es-ES" w:bidi="es-ES"/>
    </w:rPr>
  </w:style>
  <w:style w:type="character" w:customStyle="1" w:styleId="Ttulo1Sinnegrita">
    <w:name w:val="Título #1 + Sin negrita"/>
    <w:basedOn w:val="Ttulo1"/>
    <w:rPr>
      <w:rFonts w:ascii="Arial" w:eastAsia="Arial" w:hAnsi="Arial" w:cs="Arial"/>
      <w:b/>
      <w:bCs/>
      <w:i w:val="0"/>
      <w:iCs w:val="0"/>
      <w:smallCaps w:val="0"/>
      <w:strike w:val="0"/>
      <w:color w:val="000000"/>
      <w:spacing w:val="0"/>
      <w:w w:val="100"/>
      <w:position w:val="0"/>
      <w:sz w:val="22"/>
      <w:szCs w:val="22"/>
      <w:u w:val="none"/>
      <w:lang w:val="es-ES" w:eastAsia="es-ES" w:bidi="es-ES"/>
    </w:rPr>
  </w:style>
  <w:style w:type="character" w:customStyle="1" w:styleId="Cuerpodeltexto6">
    <w:name w:val="Cuerpo del texto (6)"/>
    <w:basedOn w:val="Fuentedeprrafopredeter"/>
    <w:rPr>
      <w:rFonts w:ascii="Arial" w:eastAsia="Arial" w:hAnsi="Arial" w:cs="Arial"/>
      <w:b w:val="0"/>
      <w:bCs w:val="0"/>
      <w:i w:val="0"/>
      <w:iCs w:val="0"/>
      <w:smallCaps w:val="0"/>
      <w:strike w:val="0"/>
      <w:sz w:val="18"/>
      <w:szCs w:val="18"/>
      <w:u w:val="none"/>
    </w:rPr>
  </w:style>
  <w:style w:type="paragraph" w:customStyle="1" w:styleId="Cuerpodeltexto30">
    <w:name w:val="Cuerpo del texto (3)"/>
    <w:basedOn w:val="Normal"/>
    <w:link w:val="Cuerpodeltexto3"/>
    <w:pPr>
      <w:shd w:val="clear" w:color="auto" w:fill="FFFFFF"/>
      <w:spacing w:after="260" w:line="250" w:lineRule="exact"/>
      <w:jc w:val="both"/>
    </w:pPr>
    <w:rPr>
      <w:rFonts w:ascii="Arial" w:eastAsia="Arial" w:hAnsi="Arial" w:cs="Arial"/>
      <w:b/>
      <w:bCs/>
      <w:sz w:val="22"/>
      <w:szCs w:val="22"/>
    </w:rPr>
  </w:style>
  <w:style w:type="paragraph" w:customStyle="1" w:styleId="Encabezamientoopiedepgina0">
    <w:name w:val="Encabezamiento o pie de página"/>
    <w:basedOn w:val="Normal"/>
    <w:link w:val="Encabezamientoopiedepgina"/>
    <w:pPr>
      <w:shd w:val="clear" w:color="auto" w:fill="FFFFFF"/>
      <w:spacing w:line="244" w:lineRule="exact"/>
    </w:pPr>
    <w:rPr>
      <w:rFonts w:ascii="Times New Roman" w:eastAsia="Times New Roman" w:hAnsi="Times New Roman" w:cs="Times New Roman"/>
      <w:sz w:val="22"/>
      <w:szCs w:val="22"/>
    </w:rPr>
  </w:style>
  <w:style w:type="paragraph" w:customStyle="1" w:styleId="Cuerpodeltexto20">
    <w:name w:val="Cuerpo del texto (2)"/>
    <w:basedOn w:val="Normal"/>
    <w:link w:val="Cuerpodeltexto2"/>
    <w:pPr>
      <w:shd w:val="clear" w:color="auto" w:fill="FFFFFF"/>
      <w:spacing w:before="260" w:after="260" w:line="250" w:lineRule="exact"/>
      <w:ind w:hanging="680"/>
      <w:jc w:val="both"/>
    </w:pPr>
    <w:rPr>
      <w:rFonts w:ascii="Arial" w:eastAsia="Arial" w:hAnsi="Arial" w:cs="Arial"/>
      <w:sz w:val="22"/>
      <w:szCs w:val="22"/>
    </w:rPr>
  </w:style>
  <w:style w:type="paragraph" w:customStyle="1" w:styleId="Cuerpodeltexto40">
    <w:name w:val="Cuerpo del texto (4)"/>
    <w:basedOn w:val="Normal"/>
    <w:link w:val="Cuerpodeltexto4"/>
    <w:pPr>
      <w:shd w:val="clear" w:color="auto" w:fill="FFFFFF"/>
      <w:spacing w:before="260" w:after="260" w:line="250" w:lineRule="exact"/>
      <w:jc w:val="both"/>
    </w:pPr>
    <w:rPr>
      <w:rFonts w:ascii="Arial" w:eastAsia="Arial" w:hAnsi="Arial" w:cs="Arial"/>
      <w:i/>
      <w:iCs/>
      <w:sz w:val="22"/>
      <w:szCs w:val="22"/>
    </w:rPr>
  </w:style>
  <w:style w:type="paragraph" w:customStyle="1" w:styleId="Cuerpodeltexto50">
    <w:name w:val="Cuerpo del texto (5)"/>
    <w:basedOn w:val="Normal"/>
    <w:link w:val="Cuerpodeltexto5"/>
    <w:pPr>
      <w:shd w:val="clear" w:color="auto" w:fill="FFFFFF"/>
      <w:spacing w:after="260" w:line="250" w:lineRule="exact"/>
      <w:jc w:val="both"/>
    </w:pPr>
    <w:rPr>
      <w:rFonts w:ascii="Arial" w:eastAsia="Arial" w:hAnsi="Arial" w:cs="Arial"/>
      <w:b/>
      <w:bCs/>
      <w:i/>
      <w:iCs/>
      <w:sz w:val="22"/>
      <w:szCs w:val="22"/>
    </w:rPr>
  </w:style>
  <w:style w:type="paragraph" w:customStyle="1" w:styleId="Ttulo10">
    <w:name w:val="Título #1"/>
    <w:basedOn w:val="Normal"/>
    <w:link w:val="Ttulo1"/>
    <w:pPr>
      <w:shd w:val="clear" w:color="auto" w:fill="FFFFFF"/>
      <w:spacing w:before="500" w:after="260" w:line="246" w:lineRule="exact"/>
      <w:jc w:val="both"/>
      <w:outlineLvl w:val="0"/>
    </w:pPr>
    <w:rPr>
      <w:rFonts w:ascii="Arial" w:eastAsia="Arial" w:hAnsi="Arial" w:cs="Arial"/>
      <w:b/>
      <w:bCs/>
      <w:sz w:val="22"/>
      <w:szCs w:val="22"/>
    </w:rPr>
  </w:style>
  <w:style w:type="paragraph" w:styleId="NormalWeb">
    <w:name w:val="Normal (Web)"/>
    <w:basedOn w:val="Normal"/>
    <w:uiPriority w:val="99"/>
    <w:semiHidden/>
    <w:unhideWhenUsed/>
    <w:rsid w:val="009C4D3E"/>
    <w:pPr>
      <w:widowControl/>
      <w:spacing w:before="100" w:beforeAutospacing="1" w:after="100" w:afterAutospacing="1"/>
    </w:pPr>
    <w:rPr>
      <w:rFonts w:ascii="Times New Roman" w:eastAsia="Times New Roman" w:hAnsi="Times New Roman" w:cs="Times New Roman"/>
      <w:color w:val="auto"/>
      <w:lang w:bidi="ar-SA"/>
    </w:rPr>
  </w:style>
  <w:style w:type="paragraph" w:styleId="Textonotapie">
    <w:name w:val="footnote text"/>
    <w:basedOn w:val="Normal"/>
    <w:link w:val="TextonotapieCar"/>
    <w:uiPriority w:val="99"/>
    <w:semiHidden/>
    <w:unhideWhenUsed/>
    <w:rsid w:val="009C4D3E"/>
    <w:rPr>
      <w:sz w:val="20"/>
      <w:szCs w:val="20"/>
    </w:rPr>
  </w:style>
  <w:style w:type="character" w:customStyle="1" w:styleId="TextonotapieCar">
    <w:name w:val="Texto nota pie Car"/>
    <w:basedOn w:val="Fuentedeprrafopredeter"/>
    <w:link w:val="Textonotapie"/>
    <w:uiPriority w:val="99"/>
    <w:semiHidden/>
    <w:rsid w:val="009C4D3E"/>
    <w:rPr>
      <w:color w:val="000000"/>
      <w:sz w:val="20"/>
      <w:szCs w:val="20"/>
    </w:rPr>
  </w:style>
  <w:style w:type="character" w:styleId="Refdenotaalpie">
    <w:name w:val="footnote reference"/>
    <w:basedOn w:val="Fuentedeprrafopredeter"/>
    <w:uiPriority w:val="99"/>
    <w:semiHidden/>
    <w:unhideWhenUsed/>
    <w:rsid w:val="009C4D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586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3AAED2-4A89-42EE-9800-14EAD2B8EABF}">
  <ds:schemaRefs>
    <ds:schemaRef ds:uri="http://schemas.openxmlformats.org/officeDocument/2006/bibliography"/>
  </ds:schemaRefs>
</ds:datastoreItem>
</file>

<file path=customXml/itemProps2.xml><?xml version="1.0" encoding="utf-8"?>
<ds:datastoreItem xmlns:ds="http://schemas.openxmlformats.org/officeDocument/2006/customXml" ds:itemID="{A5858DF7-6898-4210-999B-1F736C757851}"/>
</file>

<file path=customXml/itemProps3.xml><?xml version="1.0" encoding="utf-8"?>
<ds:datastoreItem xmlns:ds="http://schemas.openxmlformats.org/officeDocument/2006/customXml" ds:itemID="{8D345706-6546-4D65-8857-423519C41CCD}"/>
</file>

<file path=customXml/itemProps4.xml><?xml version="1.0" encoding="utf-8"?>
<ds:datastoreItem xmlns:ds="http://schemas.openxmlformats.org/officeDocument/2006/customXml" ds:itemID="{5245A8EC-D500-40CC-8DE9-C213DDE92A6A}"/>
</file>

<file path=docProps/app.xml><?xml version="1.0" encoding="utf-8"?>
<Properties xmlns="http://schemas.openxmlformats.org/officeDocument/2006/extended-properties" xmlns:vt="http://schemas.openxmlformats.org/officeDocument/2006/docPropsVTypes">
  <Template>Normal.dotm</Template>
  <TotalTime>9</TotalTime>
  <Pages>4</Pages>
  <Words>1842</Words>
  <Characters>10134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CRESPO ASENJO,PILAR</cp:lastModifiedBy>
  <cp:revision>3</cp:revision>
  <dcterms:created xsi:type="dcterms:W3CDTF">2020-12-04T10:11:00Z</dcterms:created>
  <dcterms:modified xsi:type="dcterms:W3CDTF">2020-12-04T10:20:00Z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