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fontTable.xml" ContentType="application/vnd.openxmlformats-officedocument.wordprocessingml.fontTable+xml"/>
  <Override PartName="/customXml/itemProps1.xml" ContentType="application/vnd.openxmlformats-officedocument.customXmlProperties+xml"/>
  <Override PartName="/word/styles.xml" ContentType="application/vnd.openxmlformats-officedocument.wordprocessingml.styles+xml"/>
  <Override PartName="/docProps/app.xml" ContentType="application/vnd.openxmlformats-officedocument.extended-properties+xml"/>
  <Override PartName="/docProps/core.xml" ContentType="application/vnd.openxmlformats-package.core-properties+xml"/>
  <Override PartName="/word/webSettings.xml" ContentType="application/vnd.openxmlformats-officedocument.wordprocessingml.webSetting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46893" w:rsidRDefault="00B46893" w:rsidP="00057B6D">
      <w:pPr>
        <w:jc w:val="both"/>
        <w:rPr>
          <w:rFonts w:ascii="Arial" w:hAnsi="Arial" w:cs="Arial"/>
        </w:rPr>
      </w:pPr>
      <w:r w:rsidRPr="00B46893">
        <w:rPr>
          <w:rFonts w:ascii="Arial" w:hAnsi="Arial" w:cs="Arial"/>
          <w:b/>
          <w:u w:val="single"/>
        </w:rPr>
        <w:t>NOTA RELATIVA A DIVERSAS CUESTIONES PLANTEADAS POR LA SECRETARÍA GENERAL TÉCNICA DE LA CONSEJERÍA DE ECONOMÍA, HACIENDA Y EMPLEO EN RELACIÓN CON LA APLICACIÓN DEL REAL DECRETO-LEY 36/2020</w:t>
      </w:r>
      <w:r>
        <w:rPr>
          <w:rFonts w:ascii="Arial" w:hAnsi="Arial" w:cs="Arial"/>
          <w:b/>
          <w:u w:val="single"/>
        </w:rPr>
        <w:t xml:space="preserve"> DE </w:t>
      </w:r>
      <w:r w:rsidRPr="00B46893">
        <w:rPr>
          <w:rFonts w:ascii="Arial" w:hAnsi="Arial" w:cs="Arial"/>
          <w:b/>
          <w:u w:val="single"/>
        </w:rPr>
        <w:t xml:space="preserve">30 </w:t>
      </w:r>
      <w:r>
        <w:rPr>
          <w:rFonts w:ascii="Arial" w:hAnsi="Arial" w:cs="Arial"/>
          <w:b/>
          <w:u w:val="single"/>
        </w:rPr>
        <w:t>DE DICIEMBRE</w:t>
      </w:r>
      <w:r w:rsidRPr="00B46893">
        <w:rPr>
          <w:rFonts w:ascii="Arial" w:hAnsi="Arial" w:cs="Arial"/>
          <w:b/>
          <w:u w:val="single"/>
        </w:rPr>
        <w:t xml:space="preserve">, </w:t>
      </w:r>
      <w:r>
        <w:rPr>
          <w:rFonts w:ascii="Arial" w:hAnsi="Arial" w:cs="Arial"/>
          <w:b/>
          <w:u w:val="single"/>
        </w:rPr>
        <w:t xml:space="preserve">POR EL QUE SE APRUEBAN MEDIDAS URGENTES PARA LA MODERNIZACIÓN DE LA ADMINISTRACIÓN PÚBLICA Y PARA LA EJECUCIÓN DEL PLAN DE RECUPERACIÓN, TRANSFORMACIÓN Y RESILIENCIA </w:t>
      </w:r>
      <w:r w:rsidRPr="00B46893">
        <w:rPr>
          <w:rFonts w:ascii="Arial" w:hAnsi="Arial" w:cs="Arial"/>
        </w:rPr>
        <w:t>(en adelante RDL 36/2020)</w:t>
      </w:r>
    </w:p>
    <w:p w:rsidR="00602EB6" w:rsidRDefault="00602EB6" w:rsidP="00602EB6">
      <w:pPr>
        <w:pStyle w:val="paragraph"/>
        <w:spacing w:before="0" w:beforeAutospacing="0" w:after="0" w:afterAutospacing="0"/>
        <w:ind w:right="-15"/>
        <w:jc w:val="both"/>
        <w:textAlignment w:val="baseline"/>
        <w:rPr>
          <w:rFonts w:ascii="Segoe UI" w:hAnsi="Segoe UI" w:cs="Segoe UI"/>
          <w:sz w:val="18"/>
          <w:szCs w:val="18"/>
        </w:rPr>
      </w:pPr>
      <w:bookmarkStart w:id="0" w:name="_GoBack"/>
      <w:bookmarkEnd w:id="0"/>
      <w:r>
        <w:rPr>
          <w:rStyle w:val="normaltextrun"/>
          <w:rFonts w:ascii="Arial" w:hAnsi="Arial" w:cs="Arial"/>
          <w:b/>
          <w:bCs/>
          <w:sz w:val="22"/>
          <w:szCs w:val="22"/>
        </w:rPr>
        <w:t>Modalidad: Consulta.</w:t>
      </w:r>
      <w:r>
        <w:rPr>
          <w:rStyle w:val="normaltextrun"/>
          <w:rFonts w:ascii="Arial" w:hAnsi="Arial" w:cs="Arial"/>
          <w:sz w:val="22"/>
          <w:szCs w:val="22"/>
        </w:rPr>
        <w:t> </w:t>
      </w:r>
      <w:r>
        <w:rPr>
          <w:rStyle w:val="eop"/>
          <w:rFonts w:ascii="Arial" w:hAnsi="Arial" w:cs="Arial"/>
          <w:sz w:val="22"/>
          <w:szCs w:val="22"/>
        </w:rPr>
        <w:t> </w:t>
      </w:r>
    </w:p>
    <w:p w:rsidR="00602EB6" w:rsidRDefault="00602EB6" w:rsidP="00602EB6">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Área temática: Subvenciones.</w:t>
      </w:r>
      <w:r>
        <w:rPr>
          <w:rStyle w:val="eop"/>
          <w:rFonts w:ascii="Arial" w:hAnsi="Arial" w:cs="Arial"/>
          <w:sz w:val="22"/>
          <w:szCs w:val="22"/>
        </w:rPr>
        <w:t> </w:t>
      </w:r>
    </w:p>
    <w:p w:rsidR="00602EB6" w:rsidRDefault="00602EB6" w:rsidP="00602EB6">
      <w:pPr>
        <w:pStyle w:val="paragraph"/>
        <w:spacing w:before="0" w:beforeAutospacing="0" w:after="0" w:afterAutospacing="0"/>
        <w:ind w:right="-15"/>
        <w:jc w:val="both"/>
        <w:textAlignment w:val="baseline"/>
        <w:rPr>
          <w:rFonts w:ascii="Segoe UI" w:hAnsi="Segoe UI" w:cs="Segoe UI"/>
          <w:sz w:val="18"/>
          <w:szCs w:val="18"/>
        </w:rPr>
      </w:pPr>
      <w:r>
        <w:rPr>
          <w:rStyle w:val="normaltextrun"/>
          <w:rFonts w:ascii="Arial" w:hAnsi="Arial" w:cs="Arial"/>
          <w:b/>
          <w:bCs/>
          <w:sz w:val="22"/>
          <w:szCs w:val="22"/>
        </w:rPr>
        <w:t>Informe: vigente</w:t>
      </w:r>
    </w:p>
    <w:p w:rsidR="00602EB6" w:rsidRPr="00B46893" w:rsidRDefault="00602EB6" w:rsidP="00057B6D">
      <w:pPr>
        <w:jc w:val="both"/>
        <w:rPr>
          <w:rFonts w:ascii="Arial" w:hAnsi="Arial" w:cs="Arial"/>
        </w:rPr>
      </w:pPr>
    </w:p>
    <w:p w:rsidR="005366D9" w:rsidRPr="00021D75" w:rsidRDefault="00B46893" w:rsidP="00057B6D">
      <w:pPr>
        <w:jc w:val="both"/>
        <w:rPr>
          <w:rFonts w:ascii="Arial" w:hAnsi="Arial" w:cs="Arial"/>
        </w:rPr>
      </w:pPr>
      <w:r>
        <w:rPr>
          <w:rFonts w:ascii="Arial" w:hAnsi="Arial" w:cs="Arial"/>
        </w:rPr>
        <w:t xml:space="preserve">1º </w:t>
      </w:r>
      <w:r w:rsidR="00057B6D" w:rsidRPr="00021D75">
        <w:rPr>
          <w:rFonts w:ascii="Arial" w:hAnsi="Arial" w:cs="Arial"/>
        </w:rPr>
        <w:t xml:space="preserve">Las actuaciones a realizar por la Comunidad </w:t>
      </w:r>
      <w:r w:rsidR="004316EF" w:rsidRPr="00021D75">
        <w:rPr>
          <w:rFonts w:ascii="Arial" w:hAnsi="Arial" w:cs="Arial"/>
        </w:rPr>
        <w:t xml:space="preserve">de Madrid </w:t>
      </w:r>
      <w:r w:rsidR="00057B6D" w:rsidRPr="00021D75">
        <w:rPr>
          <w:rFonts w:ascii="Arial" w:hAnsi="Arial" w:cs="Arial"/>
        </w:rPr>
        <w:t>relacionadas con el R</w:t>
      </w:r>
      <w:r>
        <w:rPr>
          <w:rFonts w:ascii="Arial" w:hAnsi="Arial" w:cs="Arial"/>
        </w:rPr>
        <w:t xml:space="preserve">DL </w:t>
      </w:r>
      <w:r w:rsidR="00057B6D" w:rsidRPr="00021D75">
        <w:rPr>
          <w:rFonts w:ascii="Arial" w:hAnsi="Arial" w:cs="Arial"/>
        </w:rPr>
        <w:t xml:space="preserve"> 36/2020</w:t>
      </w:r>
      <w:r w:rsidR="004316EF" w:rsidRPr="00021D75">
        <w:rPr>
          <w:rFonts w:ascii="Arial" w:hAnsi="Arial" w:cs="Arial"/>
        </w:rPr>
        <w:t>,</w:t>
      </w:r>
      <w:r w:rsidR="00057B6D" w:rsidRPr="00021D75">
        <w:rPr>
          <w:rFonts w:ascii="Arial" w:hAnsi="Arial" w:cs="Arial"/>
        </w:rPr>
        <w:t xml:space="preserve"> derivan de la aplicación de la norma en su conjunto, por lo que las consultas generales</w:t>
      </w:r>
      <w:r w:rsidR="00A51D8B" w:rsidRPr="00021D75">
        <w:rPr>
          <w:rFonts w:ascii="Arial" w:hAnsi="Arial" w:cs="Arial"/>
        </w:rPr>
        <w:t xml:space="preserve"> </w:t>
      </w:r>
      <w:r>
        <w:rPr>
          <w:rFonts w:ascii="Arial" w:hAnsi="Arial" w:cs="Arial"/>
        </w:rPr>
        <w:t xml:space="preserve">referidas </w:t>
      </w:r>
      <w:r w:rsidR="00A51D8B" w:rsidRPr="00021D75">
        <w:rPr>
          <w:rFonts w:ascii="Arial" w:hAnsi="Arial" w:cs="Arial"/>
        </w:rPr>
        <w:t xml:space="preserve">a </w:t>
      </w:r>
      <w:r w:rsidR="004316EF" w:rsidRPr="00021D75">
        <w:rPr>
          <w:rFonts w:ascii="Arial" w:hAnsi="Arial" w:cs="Arial"/>
        </w:rPr>
        <w:t xml:space="preserve">la interpretación </w:t>
      </w:r>
      <w:r w:rsidR="00057B6D" w:rsidRPr="00021D75">
        <w:rPr>
          <w:rFonts w:ascii="Arial" w:hAnsi="Arial" w:cs="Arial"/>
        </w:rPr>
        <w:t>de los diferentes artículos</w:t>
      </w:r>
      <w:r w:rsidR="00B47B0D" w:rsidRPr="00021D75">
        <w:rPr>
          <w:rFonts w:ascii="Arial" w:hAnsi="Arial" w:cs="Arial"/>
        </w:rPr>
        <w:t xml:space="preserve"> de forma aislada</w:t>
      </w:r>
      <w:r>
        <w:rPr>
          <w:rFonts w:ascii="Arial" w:hAnsi="Arial" w:cs="Arial"/>
        </w:rPr>
        <w:t xml:space="preserve">, sin tener en cuenta que existen </w:t>
      </w:r>
      <w:r w:rsidR="004316EF" w:rsidRPr="00021D75">
        <w:rPr>
          <w:rFonts w:ascii="Arial" w:hAnsi="Arial" w:cs="Arial"/>
        </w:rPr>
        <w:t>normas, actos o acuerdos</w:t>
      </w:r>
      <w:r w:rsidR="00057B6D" w:rsidRPr="00021D75">
        <w:rPr>
          <w:rFonts w:ascii="Arial" w:hAnsi="Arial" w:cs="Arial"/>
        </w:rPr>
        <w:t xml:space="preserve"> a</w:t>
      </w:r>
      <w:r w:rsidR="004316EF" w:rsidRPr="00021D75">
        <w:rPr>
          <w:rFonts w:ascii="Arial" w:hAnsi="Arial" w:cs="Arial"/>
        </w:rPr>
        <w:t xml:space="preserve">plicables a los supuestos </w:t>
      </w:r>
      <w:r w:rsidR="00057B6D" w:rsidRPr="00021D75">
        <w:rPr>
          <w:rFonts w:ascii="Arial" w:hAnsi="Arial" w:cs="Arial"/>
        </w:rPr>
        <w:t>concretos, p</w:t>
      </w:r>
      <w:r w:rsidR="00B47B0D" w:rsidRPr="00021D75">
        <w:rPr>
          <w:rFonts w:ascii="Arial" w:hAnsi="Arial" w:cs="Arial"/>
        </w:rPr>
        <w:t>odrían llevar a respuestas inadecuadas</w:t>
      </w:r>
      <w:r>
        <w:rPr>
          <w:rFonts w:ascii="Arial" w:hAnsi="Arial" w:cs="Arial"/>
        </w:rPr>
        <w:t xml:space="preserve"> o inaplicables cuando se examine </w:t>
      </w:r>
      <w:r w:rsidR="00C57BDF" w:rsidRPr="00021D75">
        <w:rPr>
          <w:rFonts w:ascii="Arial" w:hAnsi="Arial" w:cs="Arial"/>
        </w:rPr>
        <w:t xml:space="preserve">la documentación </w:t>
      </w:r>
      <w:r>
        <w:rPr>
          <w:rFonts w:ascii="Arial" w:hAnsi="Arial" w:cs="Arial"/>
        </w:rPr>
        <w:t xml:space="preserve">particular de un expediente concreto. </w:t>
      </w:r>
    </w:p>
    <w:p w:rsidR="00057B6D" w:rsidRPr="00021D75" w:rsidRDefault="00B46893" w:rsidP="00057B6D">
      <w:pPr>
        <w:jc w:val="both"/>
        <w:rPr>
          <w:rFonts w:ascii="Arial" w:hAnsi="Arial" w:cs="Arial"/>
        </w:rPr>
      </w:pPr>
      <w:r>
        <w:rPr>
          <w:rFonts w:ascii="Arial" w:hAnsi="Arial" w:cs="Arial"/>
        </w:rPr>
        <w:t xml:space="preserve">Cuando </w:t>
      </w:r>
      <w:r w:rsidR="00B47B0D" w:rsidRPr="00021D75">
        <w:rPr>
          <w:rFonts w:ascii="Arial" w:hAnsi="Arial" w:cs="Arial"/>
        </w:rPr>
        <w:t xml:space="preserve">se publica el </w:t>
      </w:r>
      <w:r w:rsidR="005C2AF0" w:rsidRPr="00021D75">
        <w:rPr>
          <w:rFonts w:ascii="Arial" w:hAnsi="Arial" w:cs="Arial"/>
        </w:rPr>
        <w:t>RDL 36/2020,</w:t>
      </w:r>
      <w:r w:rsidR="00D23CA0" w:rsidRPr="00021D75">
        <w:rPr>
          <w:rFonts w:ascii="Arial" w:hAnsi="Arial" w:cs="Arial"/>
        </w:rPr>
        <w:t xml:space="preserve"> </w:t>
      </w:r>
      <w:r w:rsidR="005366D9" w:rsidRPr="00021D75">
        <w:rPr>
          <w:rFonts w:ascii="Arial" w:hAnsi="Arial" w:cs="Arial"/>
        </w:rPr>
        <w:t xml:space="preserve">dada la complejidad del diseño de su ámbito de </w:t>
      </w:r>
      <w:r w:rsidRPr="00021D75">
        <w:rPr>
          <w:rFonts w:ascii="Arial" w:hAnsi="Arial" w:cs="Arial"/>
        </w:rPr>
        <w:t>aplicación y</w:t>
      </w:r>
      <w:r w:rsidR="00C57BDF" w:rsidRPr="00021D75">
        <w:rPr>
          <w:rFonts w:ascii="Arial" w:hAnsi="Arial" w:cs="Arial"/>
        </w:rPr>
        <w:t xml:space="preserve"> </w:t>
      </w:r>
      <w:r w:rsidR="005366D9" w:rsidRPr="00021D75">
        <w:rPr>
          <w:rFonts w:ascii="Arial" w:hAnsi="Arial" w:cs="Arial"/>
        </w:rPr>
        <w:t xml:space="preserve">la batería de medidas de simplificación del Título IV, los estudios </w:t>
      </w:r>
      <w:r>
        <w:rPr>
          <w:rFonts w:ascii="Arial" w:hAnsi="Arial" w:cs="Arial"/>
        </w:rPr>
        <w:t xml:space="preserve">se centraron más en esta parte teórica, pero </w:t>
      </w:r>
      <w:r w:rsidR="005366D9" w:rsidRPr="00021D75">
        <w:rPr>
          <w:rFonts w:ascii="Arial" w:hAnsi="Arial" w:cs="Arial"/>
        </w:rPr>
        <w:t>en el momento actual</w:t>
      </w:r>
      <w:r w:rsidR="005C2AF0" w:rsidRPr="00021D75">
        <w:rPr>
          <w:rFonts w:ascii="Arial" w:hAnsi="Arial" w:cs="Arial"/>
        </w:rPr>
        <w:t xml:space="preserve">, </w:t>
      </w:r>
      <w:r w:rsidR="00D23CA0" w:rsidRPr="00021D75">
        <w:rPr>
          <w:rFonts w:ascii="Arial" w:hAnsi="Arial" w:cs="Arial"/>
        </w:rPr>
        <w:t xml:space="preserve">dado el papel </w:t>
      </w:r>
      <w:r w:rsidR="005366D9" w:rsidRPr="00021D75">
        <w:rPr>
          <w:rFonts w:ascii="Arial" w:hAnsi="Arial" w:cs="Arial"/>
        </w:rPr>
        <w:t xml:space="preserve">determinante </w:t>
      </w:r>
      <w:r w:rsidR="00D23CA0" w:rsidRPr="00021D75">
        <w:rPr>
          <w:rFonts w:ascii="Arial" w:hAnsi="Arial" w:cs="Arial"/>
        </w:rPr>
        <w:t>del Estado en la ges</w:t>
      </w:r>
      <w:r w:rsidR="005366D9" w:rsidRPr="00021D75">
        <w:rPr>
          <w:rFonts w:ascii="Arial" w:hAnsi="Arial" w:cs="Arial"/>
        </w:rPr>
        <w:t xml:space="preserve">tión de los fondos </w:t>
      </w:r>
      <w:r>
        <w:rPr>
          <w:rFonts w:ascii="Arial" w:hAnsi="Arial" w:cs="Arial"/>
        </w:rPr>
        <w:t xml:space="preserve">procedentes del mecanismo, (art. 12 y 13 del RDL, relativos al Plan de Recuperación, Transformación y Resiliencia) </w:t>
      </w:r>
      <w:r w:rsidR="005366D9" w:rsidRPr="00021D75">
        <w:rPr>
          <w:rFonts w:ascii="Arial" w:hAnsi="Arial" w:cs="Arial"/>
        </w:rPr>
        <w:t>y la prevalencia de la normativa comuni</w:t>
      </w:r>
      <w:r>
        <w:rPr>
          <w:rFonts w:ascii="Arial" w:hAnsi="Arial" w:cs="Arial"/>
        </w:rPr>
        <w:t>taria y estatal para su gestión, se puede afirmar que cualquier procedimiento administrativo deberá analizarse en el marco de toda esta documentación previa que marca las pautas de gestión de los fondos con todo detalle.</w:t>
      </w:r>
    </w:p>
    <w:p w:rsidR="00244A6C" w:rsidRPr="00021D75" w:rsidRDefault="00244A6C" w:rsidP="005C2AF0">
      <w:pPr>
        <w:jc w:val="both"/>
        <w:rPr>
          <w:rFonts w:ascii="Arial" w:hAnsi="Arial" w:cs="Arial"/>
        </w:rPr>
      </w:pPr>
      <w:r w:rsidRPr="00021D75">
        <w:rPr>
          <w:rFonts w:ascii="Arial" w:hAnsi="Arial" w:cs="Arial"/>
        </w:rPr>
        <w:t xml:space="preserve">En este momento se dispone ya de información detallada en la página web https://planderecuperacion.gob.es/, a través de la cual se ha dado publicidad ya no solo a las partes más descriptivas de la documentación, sino también a las fichas concretas de los componentes, en los que ya  </w:t>
      </w:r>
      <w:r w:rsidR="005366D9" w:rsidRPr="00021D75">
        <w:rPr>
          <w:rFonts w:ascii="Arial" w:hAnsi="Arial" w:cs="Arial"/>
        </w:rPr>
        <w:t xml:space="preserve">se  recogen </w:t>
      </w:r>
      <w:r w:rsidRPr="00021D75">
        <w:rPr>
          <w:rFonts w:ascii="Arial" w:hAnsi="Arial" w:cs="Arial"/>
        </w:rPr>
        <w:t>datos concluyentes que enmarcan la gestión de los  expedientes administrativos</w:t>
      </w:r>
      <w:r w:rsidR="005366D9" w:rsidRPr="00021D75">
        <w:rPr>
          <w:rFonts w:ascii="Arial" w:hAnsi="Arial" w:cs="Arial"/>
        </w:rPr>
        <w:t xml:space="preserve"> </w:t>
      </w:r>
      <w:r w:rsidRPr="00021D75">
        <w:rPr>
          <w:rFonts w:ascii="Arial" w:hAnsi="Arial" w:cs="Arial"/>
        </w:rPr>
        <w:t>y que, por lo que hemos podido analizar hasta el momento, resultan absolutamente determinantes para el diseño de las bases reguladoras y las convocatoria</w:t>
      </w:r>
      <w:r w:rsidR="00B46893">
        <w:rPr>
          <w:rFonts w:ascii="Arial" w:hAnsi="Arial" w:cs="Arial"/>
        </w:rPr>
        <w:t>s.</w:t>
      </w:r>
    </w:p>
    <w:p w:rsidR="00422484" w:rsidRPr="00021D75" w:rsidRDefault="00422484" w:rsidP="005C2AF0">
      <w:pPr>
        <w:jc w:val="both"/>
        <w:rPr>
          <w:rFonts w:ascii="Arial" w:hAnsi="Arial" w:cs="Arial"/>
        </w:rPr>
      </w:pPr>
      <w:r w:rsidRPr="00021D75">
        <w:rPr>
          <w:rFonts w:ascii="Arial" w:hAnsi="Arial" w:cs="Arial"/>
        </w:rPr>
        <w:t>Los fondos aplicables se encuentran recogidos en el presupuesto del Estado y se hacen llegar a las Comunidades Autónomas</w:t>
      </w:r>
      <w:r w:rsidR="004C2C96" w:rsidRPr="00021D75">
        <w:rPr>
          <w:rFonts w:ascii="Arial" w:hAnsi="Arial" w:cs="Arial"/>
        </w:rPr>
        <w:t xml:space="preserve"> para su gestión por varias vías</w:t>
      </w:r>
      <w:r w:rsidRPr="00021D75">
        <w:rPr>
          <w:rFonts w:ascii="Arial" w:hAnsi="Arial" w:cs="Arial"/>
        </w:rPr>
        <w:t>:</w:t>
      </w:r>
    </w:p>
    <w:p w:rsidR="004C2C96" w:rsidRPr="00021D75" w:rsidRDefault="00422484" w:rsidP="008C1907">
      <w:pPr>
        <w:ind w:left="567"/>
        <w:jc w:val="both"/>
        <w:rPr>
          <w:rFonts w:ascii="Arial" w:hAnsi="Arial" w:cs="Arial"/>
        </w:rPr>
      </w:pPr>
      <w:r w:rsidRPr="00021D75">
        <w:rPr>
          <w:rFonts w:ascii="Arial" w:hAnsi="Arial" w:cs="Arial"/>
        </w:rPr>
        <w:t>-  mediante reparto en Conferencia Sectorial, de acuerdo con lo previsto en el artículo 86 d</w:t>
      </w:r>
      <w:r w:rsidR="004C2C96" w:rsidRPr="00021D75">
        <w:rPr>
          <w:rFonts w:ascii="Arial" w:hAnsi="Arial" w:cs="Arial"/>
        </w:rPr>
        <w:t xml:space="preserve">e la Ley General Presupuestaria, con las particularidades </w:t>
      </w:r>
      <w:r w:rsidR="008E5F99" w:rsidRPr="00021D75">
        <w:rPr>
          <w:rFonts w:ascii="Arial" w:hAnsi="Arial" w:cs="Arial"/>
        </w:rPr>
        <w:t xml:space="preserve">recogidas </w:t>
      </w:r>
      <w:r w:rsidR="004C2C96" w:rsidRPr="00021D75">
        <w:rPr>
          <w:rFonts w:ascii="Arial" w:hAnsi="Arial" w:cs="Arial"/>
        </w:rPr>
        <w:t>en el artículo 44 del R</w:t>
      </w:r>
      <w:r w:rsidR="005366D9" w:rsidRPr="00021D75">
        <w:rPr>
          <w:rFonts w:ascii="Arial" w:hAnsi="Arial" w:cs="Arial"/>
        </w:rPr>
        <w:t xml:space="preserve">DL 36/2020, </w:t>
      </w:r>
      <w:r w:rsidR="004C2C96" w:rsidRPr="00021D75">
        <w:rPr>
          <w:rFonts w:ascii="Arial" w:hAnsi="Arial" w:cs="Arial"/>
        </w:rPr>
        <w:t>artículo</w:t>
      </w:r>
      <w:r w:rsidR="005366D9" w:rsidRPr="00021D75">
        <w:rPr>
          <w:rFonts w:ascii="Arial" w:hAnsi="Arial" w:cs="Arial"/>
        </w:rPr>
        <w:t xml:space="preserve">s que </w:t>
      </w:r>
      <w:r w:rsidR="004C2C96" w:rsidRPr="00021D75">
        <w:rPr>
          <w:rFonts w:ascii="Arial" w:hAnsi="Arial" w:cs="Arial"/>
        </w:rPr>
        <w:t>exige</w:t>
      </w:r>
      <w:r w:rsidR="005366D9" w:rsidRPr="00021D75">
        <w:rPr>
          <w:rFonts w:ascii="Arial" w:hAnsi="Arial" w:cs="Arial"/>
        </w:rPr>
        <w:t xml:space="preserve">n la aprobación </w:t>
      </w:r>
      <w:r w:rsidR="004C2C96" w:rsidRPr="00021D75">
        <w:rPr>
          <w:rFonts w:ascii="Arial" w:hAnsi="Arial" w:cs="Arial"/>
        </w:rPr>
        <w:t>de normas o convenios en los que se detallan de forma exhaus</w:t>
      </w:r>
      <w:r w:rsidR="00B46893">
        <w:rPr>
          <w:rFonts w:ascii="Arial" w:hAnsi="Arial" w:cs="Arial"/>
        </w:rPr>
        <w:t>tiva las condiciones de gestión, incluso con referencias a las normas sustantivas aplicables a los diferentes programas. Debe tenerse en cuenta que el RDL 36/2020 no elimina la aplicación de todas las normas sustantivas, sino que fija normas especiales de procedimiento, de forma que si en las condiciones de gestión de los fondos se establece que el procedimiento será de concurrencia competitiva, no podrá aplicarse la concurrencia no competitiva, por más que el RDL 36/2020 regule este procedimiento.</w:t>
      </w:r>
    </w:p>
    <w:p w:rsidR="00422484" w:rsidRPr="00021D75" w:rsidRDefault="004C2C96" w:rsidP="008C1907">
      <w:pPr>
        <w:ind w:left="567"/>
        <w:jc w:val="both"/>
        <w:rPr>
          <w:rFonts w:ascii="Arial" w:hAnsi="Arial" w:cs="Arial"/>
        </w:rPr>
      </w:pPr>
      <w:r w:rsidRPr="00021D75">
        <w:rPr>
          <w:rFonts w:ascii="Arial" w:hAnsi="Arial" w:cs="Arial"/>
        </w:rPr>
        <w:t xml:space="preserve">- mediante la aprobación de Reales Decretos de concesión directa, en los que se designa a las Comunidades autónomas como beneficiarias y en los que se </w:t>
      </w:r>
      <w:r w:rsidR="005366D9" w:rsidRPr="00021D75">
        <w:rPr>
          <w:rFonts w:ascii="Arial" w:hAnsi="Arial" w:cs="Arial"/>
        </w:rPr>
        <w:lastRenderedPageBreak/>
        <w:t xml:space="preserve">recogen </w:t>
      </w:r>
      <w:r w:rsidRPr="00021D75">
        <w:rPr>
          <w:rFonts w:ascii="Arial" w:hAnsi="Arial" w:cs="Arial"/>
        </w:rPr>
        <w:t>como parte de las obligaciones de estas, la realización de procedimientos de selección de los destinatarios finales de los fondos. Igualmente se detallan de forma exhaustiva las condiciones de gestión, que además en algunos casos se han visto modificadas por interpretaciones posteriores del propio Estado.</w:t>
      </w:r>
      <w:r w:rsidR="00422484" w:rsidRPr="00021D75">
        <w:rPr>
          <w:rFonts w:ascii="Arial" w:hAnsi="Arial" w:cs="Arial"/>
        </w:rPr>
        <w:t xml:space="preserve"> </w:t>
      </w:r>
    </w:p>
    <w:p w:rsidR="00422484" w:rsidRPr="00021D75" w:rsidRDefault="004C2C96" w:rsidP="008C1907">
      <w:pPr>
        <w:ind w:left="567"/>
        <w:jc w:val="both"/>
        <w:rPr>
          <w:rFonts w:ascii="Arial" w:hAnsi="Arial" w:cs="Arial"/>
        </w:rPr>
      </w:pPr>
      <w:r w:rsidRPr="00021D75">
        <w:rPr>
          <w:rFonts w:ascii="Arial" w:hAnsi="Arial" w:cs="Arial"/>
        </w:rPr>
        <w:t xml:space="preserve">- mediante la aprobación de procedimientos singulares </w:t>
      </w:r>
      <w:r w:rsidR="008E5F99" w:rsidRPr="00021D75">
        <w:rPr>
          <w:rFonts w:ascii="Arial" w:hAnsi="Arial" w:cs="Arial"/>
        </w:rPr>
        <w:t>de concurrencia, competitiva o no</w:t>
      </w:r>
      <w:r w:rsidR="005A7A32" w:rsidRPr="00021D75">
        <w:rPr>
          <w:rFonts w:ascii="Arial" w:hAnsi="Arial" w:cs="Arial"/>
        </w:rPr>
        <w:t xml:space="preserve"> competitiva</w:t>
      </w:r>
      <w:r w:rsidR="008E5F99" w:rsidRPr="00021D75">
        <w:rPr>
          <w:rFonts w:ascii="Arial" w:hAnsi="Arial" w:cs="Arial"/>
        </w:rPr>
        <w:t xml:space="preserve">, </w:t>
      </w:r>
      <w:r w:rsidRPr="00021D75">
        <w:rPr>
          <w:rFonts w:ascii="Arial" w:hAnsi="Arial" w:cs="Arial"/>
        </w:rPr>
        <w:t xml:space="preserve">en los que las propias Comunidades Autónomas </w:t>
      </w:r>
      <w:r w:rsidR="008E5F99" w:rsidRPr="00021D75">
        <w:rPr>
          <w:rFonts w:ascii="Arial" w:hAnsi="Arial" w:cs="Arial"/>
        </w:rPr>
        <w:t xml:space="preserve">o las entidades que forman parte de su Administración Institucional, aparecen como </w:t>
      </w:r>
      <w:r w:rsidRPr="00021D75">
        <w:rPr>
          <w:rFonts w:ascii="Arial" w:hAnsi="Arial" w:cs="Arial"/>
        </w:rPr>
        <w:t xml:space="preserve">posibles beneficiarias, </w:t>
      </w:r>
      <w:r w:rsidR="008E5F99" w:rsidRPr="00021D75">
        <w:rPr>
          <w:rFonts w:ascii="Arial" w:hAnsi="Arial" w:cs="Arial"/>
        </w:rPr>
        <w:t>siempre y cuando participen mediante</w:t>
      </w:r>
      <w:r w:rsidRPr="00021D75">
        <w:rPr>
          <w:rFonts w:ascii="Arial" w:hAnsi="Arial" w:cs="Arial"/>
        </w:rPr>
        <w:t xml:space="preserve"> la presentación de solicitudes en los plazos previstos por las mismas.</w:t>
      </w:r>
    </w:p>
    <w:p w:rsidR="004C2C96" w:rsidRPr="00021D75" w:rsidRDefault="004C2C96" w:rsidP="008C1907">
      <w:pPr>
        <w:ind w:left="567"/>
        <w:jc w:val="both"/>
        <w:rPr>
          <w:rFonts w:ascii="Arial" w:hAnsi="Arial" w:cs="Arial"/>
        </w:rPr>
      </w:pPr>
      <w:r w:rsidRPr="00021D75">
        <w:rPr>
          <w:rFonts w:ascii="Arial" w:hAnsi="Arial" w:cs="Arial"/>
        </w:rPr>
        <w:t xml:space="preserve">- existe la posibilidad de firma de convenios particulares o de otros instrumentos jurídicos, en los </w:t>
      </w:r>
      <w:r w:rsidR="00B46893" w:rsidRPr="00021D75">
        <w:rPr>
          <w:rFonts w:ascii="Arial" w:hAnsi="Arial" w:cs="Arial"/>
        </w:rPr>
        <w:t>que, en</w:t>
      </w:r>
      <w:r w:rsidRPr="00021D75">
        <w:rPr>
          <w:rFonts w:ascii="Arial" w:hAnsi="Arial" w:cs="Arial"/>
        </w:rPr>
        <w:t xml:space="preserve"> caso de </w:t>
      </w:r>
      <w:r w:rsidR="005A7A32" w:rsidRPr="00021D75">
        <w:rPr>
          <w:rFonts w:ascii="Arial" w:hAnsi="Arial" w:cs="Arial"/>
        </w:rPr>
        <w:t xml:space="preserve">existir </w:t>
      </w:r>
      <w:r w:rsidRPr="00021D75">
        <w:rPr>
          <w:rFonts w:ascii="Arial" w:hAnsi="Arial" w:cs="Arial"/>
        </w:rPr>
        <w:t>compet</w:t>
      </w:r>
      <w:r w:rsidR="005A7A32" w:rsidRPr="00021D75">
        <w:rPr>
          <w:rFonts w:ascii="Arial" w:hAnsi="Arial" w:cs="Arial"/>
        </w:rPr>
        <w:t>encias compartidas, no se sujeta</w:t>
      </w:r>
      <w:r w:rsidRPr="00021D75">
        <w:rPr>
          <w:rFonts w:ascii="Arial" w:hAnsi="Arial" w:cs="Arial"/>
        </w:rPr>
        <w:t>n a la normativa subvencional.</w:t>
      </w:r>
      <w:r w:rsidR="00B46893">
        <w:rPr>
          <w:rFonts w:ascii="Arial" w:hAnsi="Arial" w:cs="Arial"/>
        </w:rPr>
        <w:t xml:space="preserve"> Las normas sobre competencia no desaparecen por la aplicación del RDL 36/2020, de forma que, por ejemplo, los procedimientos podrán ser centralizados y convocados por el Estado,  siempre que cumplan los criterios del Tribunal Constitucional, pero el Estado no podrá ir más allá por más que el RDL 36/2020 establezca que se pueden tramitar las bases y las convocatorias de forma conjunta, por ejemplo.</w:t>
      </w:r>
    </w:p>
    <w:p w:rsidR="0080266F" w:rsidRPr="00021D75" w:rsidRDefault="00F200C3" w:rsidP="005C2AF0">
      <w:pPr>
        <w:jc w:val="both"/>
        <w:rPr>
          <w:rFonts w:ascii="Arial" w:hAnsi="Arial" w:cs="Arial"/>
        </w:rPr>
      </w:pPr>
      <w:r w:rsidRPr="00021D75">
        <w:rPr>
          <w:rFonts w:ascii="Arial" w:hAnsi="Arial" w:cs="Arial"/>
        </w:rPr>
        <w:t xml:space="preserve">Por otra </w:t>
      </w:r>
      <w:r w:rsidR="005A7A32" w:rsidRPr="00021D75">
        <w:rPr>
          <w:rFonts w:ascii="Arial" w:hAnsi="Arial" w:cs="Arial"/>
        </w:rPr>
        <w:t>parte,</w:t>
      </w:r>
      <w:r w:rsidRPr="00021D75">
        <w:rPr>
          <w:rFonts w:ascii="Arial" w:hAnsi="Arial" w:cs="Arial"/>
        </w:rPr>
        <w:t xml:space="preserve"> hay que </w:t>
      </w:r>
      <w:r w:rsidR="00CB1A8E">
        <w:rPr>
          <w:rFonts w:ascii="Arial" w:hAnsi="Arial" w:cs="Arial"/>
        </w:rPr>
        <w:t xml:space="preserve">destacar </w:t>
      </w:r>
      <w:r w:rsidRPr="00021D75">
        <w:rPr>
          <w:rFonts w:ascii="Arial" w:hAnsi="Arial" w:cs="Arial"/>
        </w:rPr>
        <w:t xml:space="preserve">que </w:t>
      </w:r>
      <w:r w:rsidR="00021D75" w:rsidRPr="00021D75">
        <w:rPr>
          <w:rFonts w:ascii="Arial" w:hAnsi="Arial" w:cs="Arial"/>
        </w:rPr>
        <w:t xml:space="preserve">el diseño </w:t>
      </w:r>
      <w:r w:rsidRPr="00021D75">
        <w:rPr>
          <w:rFonts w:ascii="Arial" w:hAnsi="Arial" w:cs="Arial"/>
        </w:rPr>
        <w:t>de los procedimientos</w:t>
      </w:r>
      <w:r w:rsidR="005A7A32" w:rsidRPr="00021D75">
        <w:rPr>
          <w:rFonts w:ascii="Arial" w:hAnsi="Arial" w:cs="Arial"/>
        </w:rPr>
        <w:t xml:space="preserve"> que debe realizar la Comunidad Autónoma, </w:t>
      </w:r>
      <w:r w:rsidRPr="00021D75">
        <w:rPr>
          <w:rFonts w:ascii="Arial" w:hAnsi="Arial" w:cs="Arial"/>
        </w:rPr>
        <w:t xml:space="preserve"> también </w:t>
      </w:r>
      <w:r w:rsidR="005A7A32" w:rsidRPr="00021D75">
        <w:rPr>
          <w:rFonts w:ascii="Arial" w:hAnsi="Arial" w:cs="Arial"/>
        </w:rPr>
        <w:t xml:space="preserve">se ve </w:t>
      </w:r>
      <w:r w:rsidR="00021D75" w:rsidRPr="00021D75">
        <w:rPr>
          <w:rFonts w:ascii="Arial" w:hAnsi="Arial" w:cs="Arial"/>
        </w:rPr>
        <w:t>afectado</w:t>
      </w:r>
      <w:r w:rsidRPr="00021D75">
        <w:rPr>
          <w:rFonts w:ascii="Arial" w:hAnsi="Arial" w:cs="Arial"/>
        </w:rPr>
        <w:t xml:space="preserve"> por la interpretación </w:t>
      </w:r>
      <w:r w:rsidR="008005D1" w:rsidRPr="00021D75">
        <w:rPr>
          <w:rFonts w:ascii="Arial" w:hAnsi="Arial" w:cs="Arial"/>
        </w:rPr>
        <w:t xml:space="preserve">del RDL 36/2020 </w:t>
      </w:r>
      <w:r w:rsidR="005A7A32" w:rsidRPr="00021D75">
        <w:rPr>
          <w:rFonts w:ascii="Arial" w:hAnsi="Arial" w:cs="Arial"/>
        </w:rPr>
        <w:t xml:space="preserve">que </w:t>
      </w:r>
      <w:r w:rsidRPr="00021D75">
        <w:rPr>
          <w:rFonts w:ascii="Arial" w:hAnsi="Arial" w:cs="Arial"/>
        </w:rPr>
        <w:t>realiza</w:t>
      </w:r>
      <w:r w:rsidR="005A7A32" w:rsidRPr="00021D75">
        <w:rPr>
          <w:rFonts w:ascii="Arial" w:hAnsi="Arial" w:cs="Arial"/>
        </w:rPr>
        <w:t xml:space="preserve">n </w:t>
      </w:r>
      <w:r w:rsidRPr="00021D75">
        <w:rPr>
          <w:rFonts w:ascii="Arial" w:hAnsi="Arial" w:cs="Arial"/>
        </w:rPr>
        <w:t xml:space="preserve">la Abogacía del Estado </w:t>
      </w:r>
      <w:r w:rsidR="005A7A32" w:rsidRPr="00021D75">
        <w:rPr>
          <w:rFonts w:ascii="Arial" w:hAnsi="Arial" w:cs="Arial"/>
        </w:rPr>
        <w:t xml:space="preserve">o </w:t>
      </w:r>
      <w:r w:rsidRPr="00021D75">
        <w:rPr>
          <w:rFonts w:ascii="Arial" w:hAnsi="Arial" w:cs="Arial"/>
        </w:rPr>
        <w:t xml:space="preserve">la IGAE, </w:t>
      </w:r>
      <w:r w:rsidR="008005D1" w:rsidRPr="00021D75">
        <w:rPr>
          <w:rFonts w:ascii="Arial" w:hAnsi="Arial" w:cs="Arial"/>
        </w:rPr>
        <w:t xml:space="preserve">así como por la aplicación de </w:t>
      </w:r>
      <w:r w:rsidR="005A7A32" w:rsidRPr="00021D75">
        <w:rPr>
          <w:rFonts w:ascii="Arial" w:hAnsi="Arial" w:cs="Arial"/>
        </w:rPr>
        <w:t>conceptos, especialmente relativos al gasto, que pueden ser normales</w:t>
      </w:r>
      <w:r w:rsidR="008005D1" w:rsidRPr="00021D75">
        <w:rPr>
          <w:rFonts w:ascii="Arial" w:hAnsi="Arial" w:cs="Arial"/>
        </w:rPr>
        <w:t xml:space="preserve"> en la tramitación estatal pero totalmente ajenos a los habituales llevados a</w:t>
      </w:r>
      <w:r w:rsidR="00CB1A8E">
        <w:rPr>
          <w:rFonts w:ascii="Arial" w:hAnsi="Arial" w:cs="Arial"/>
        </w:rPr>
        <w:t xml:space="preserve"> cabo por la Comunidad Autónoma, pero a los que entendemos se podría dar cobertura con las normas existentes y por la prevalencia del Derecho estatal y comunitario.</w:t>
      </w:r>
    </w:p>
    <w:p w:rsidR="00CB1A8E" w:rsidRDefault="008005D1" w:rsidP="005C2AF0">
      <w:pPr>
        <w:jc w:val="both"/>
        <w:rPr>
          <w:rFonts w:ascii="Arial" w:hAnsi="Arial" w:cs="Arial"/>
        </w:rPr>
      </w:pPr>
      <w:r w:rsidRPr="00021D75">
        <w:rPr>
          <w:rFonts w:ascii="Arial" w:hAnsi="Arial" w:cs="Arial"/>
        </w:rPr>
        <w:t xml:space="preserve">En consecuencia, sin perjuicio de cualquier modificación derivada de las circunstancias expuestas anteriormente, </w:t>
      </w:r>
      <w:r w:rsidR="00CB1A8E">
        <w:rPr>
          <w:rFonts w:ascii="Arial" w:hAnsi="Arial" w:cs="Arial"/>
        </w:rPr>
        <w:t xml:space="preserve">agrupando las preguntas en bloques en función de su contenido, se puede señalar lo siguiente: </w:t>
      </w:r>
    </w:p>
    <w:p w:rsidR="00A1012D" w:rsidRPr="00021D75" w:rsidRDefault="006A7603" w:rsidP="005C2AF0">
      <w:pPr>
        <w:jc w:val="both"/>
        <w:rPr>
          <w:rFonts w:ascii="Arial" w:hAnsi="Arial" w:cs="Arial"/>
        </w:rPr>
      </w:pPr>
      <w:r>
        <w:rPr>
          <w:rFonts w:ascii="Arial" w:hAnsi="Arial" w:cs="Arial"/>
        </w:rPr>
        <w:t xml:space="preserve">A) </w:t>
      </w:r>
      <w:r w:rsidR="00CB1A8E">
        <w:rPr>
          <w:rFonts w:ascii="Arial" w:hAnsi="Arial" w:cs="Arial"/>
        </w:rPr>
        <w:t>Agrupamos la consulta</w:t>
      </w:r>
      <w:r w:rsidR="00175C55" w:rsidRPr="00021D75">
        <w:rPr>
          <w:rFonts w:ascii="Arial" w:hAnsi="Arial" w:cs="Arial"/>
        </w:rPr>
        <w:t xml:space="preserve"> sobre diferentes aspectos relacionados con la tramitación de bases reguladoras</w:t>
      </w:r>
      <w:r w:rsidR="00CB1A8E">
        <w:rPr>
          <w:rFonts w:ascii="Arial" w:hAnsi="Arial" w:cs="Arial"/>
        </w:rPr>
        <w:t>, entendiendo que l</w:t>
      </w:r>
      <w:r w:rsidR="00FE230E">
        <w:rPr>
          <w:rFonts w:ascii="Arial" w:hAnsi="Arial" w:cs="Arial"/>
        </w:rPr>
        <w:t>a</w:t>
      </w:r>
      <w:r w:rsidR="007F2D4E">
        <w:rPr>
          <w:rFonts w:ascii="Arial" w:hAnsi="Arial" w:cs="Arial"/>
        </w:rPr>
        <w:t>s</w:t>
      </w:r>
      <w:r w:rsidR="00FE230E">
        <w:rPr>
          <w:rFonts w:ascii="Arial" w:hAnsi="Arial" w:cs="Arial"/>
        </w:rPr>
        <w:t xml:space="preserve"> duda</w:t>
      </w:r>
      <w:r w:rsidR="007F2D4E">
        <w:rPr>
          <w:rFonts w:ascii="Arial" w:hAnsi="Arial" w:cs="Arial"/>
        </w:rPr>
        <w:t>s</w:t>
      </w:r>
      <w:r w:rsidR="00FE230E">
        <w:rPr>
          <w:rFonts w:ascii="Arial" w:hAnsi="Arial" w:cs="Arial"/>
        </w:rPr>
        <w:t xml:space="preserve"> que plantea la SGT </w:t>
      </w:r>
      <w:r w:rsidR="00A1012D" w:rsidRPr="00021D75">
        <w:rPr>
          <w:rFonts w:ascii="Arial" w:hAnsi="Arial" w:cs="Arial"/>
        </w:rPr>
        <w:t>deriva</w:t>
      </w:r>
      <w:r w:rsidR="007F2D4E">
        <w:rPr>
          <w:rFonts w:ascii="Arial" w:hAnsi="Arial" w:cs="Arial"/>
        </w:rPr>
        <w:t>n</w:t>
      </w:r>
      <w:r w:rsidR="00A1012D" w:rsidRPr="00021D75">
        <w:rPr>
          <w:rFonts w:ascii="Arial" w:hAnsi="Arial" w:cs="Arial"/>
        </w:rPr>
        <w:t xml:space="preserve"> de las siguientes circunstancias:</w:t>
      </w:r>
    </w:p>
    <w:p w:rsidR="002F4B2A" w:rsidRPr="00021D75" w:rsidRDefault="002F4B2A" w:rsidP="005C2AF0">
      <w:pPr>
        <w:jc w:val="both"/>
        <w:rPr>
          <w:rFonts w:ascii="Arial" w:hAnsi="Arial" w:cs="Arial"/>
        </w:rPr>
      </w:pPr>
      <w:r w:rsidRPr="00021D75">
        <w:rPr>
          <w:rFonts w:ascii="Arial" w:hAnsi="Arial" w:cs="Arial"/>
        </w:rPr>
        <w:t>- La normativa de subvenciones diferencia el contenido de la base reguladora (art. 17.3</w:t>
      </w:r>
      <w:r w:rsidR="00CB1A8E">
        <w:rPr>
          <w:rFonts w:ascii="Arial" w:hAnsi="Arial" w:cs="Arial"/>
        </w:rPr>
        <w:t xml:space="preserve"> Ley 38/2003</w:t>
      </w:r>
      <w:r w:rsidRPr="00021D75">
        <w:rPr>
          <w:rFonts w:ascii="Arial" w:hAnsi="Arial" w:cs="Arial"/>
        </w:rPr>
        <w:t>) y de la convocatoria de concurrencia competitiva (art. 23</w:t>
      </w:r>
      <w:r w:rsidR="00CB1A8E">
        <w:rPr>
          <w:rFonts w:ascii="Arial" w:hAnsi="Arial" w:cs="Arial"/>
        </w:rPr>
        <w:t xml:space="preserve"> Ley 38/2003</w:t>
      </w:r>
      <w:r w:rsidRPr="00021D75">
        <w:rPr>
          <w:rFonts w:ascii="Arial" w:hAnsi="Arial" w:cs="Arial"/>
        </w:rPr>
        <w:t>)</w:t>
      </w:r>
    </w:p>
    <w:p w:rsidR="00CB1A8E" w:rsidRDefault="00A1012D" w:rsidP="005C2AF0">
      <w:pPr>
        <w:jc w:val="both"/>
        <w:rPr>
          <w:rFonts w:ascii="Arial" w:hAnsi="Arial" w:cs="Arial"/>
        </w:rPr>
      </w:pPr>
      <w:r w:rsidRPr="00021D75">
        <w:rPr>
          <w:rFonts w:ascii="Arial" w:hAnsi="Arial" w:cs="Arial"/>
        </w:rPr>
        <w:t xml:space="preserve">- </w:t>
      </w:r>
      <w:r w:rsidR="002F4B2A" w:rsidRPr="00021D75">
        <w:rPr>
          <w:rFonts w:ascii="Arial" w:hAnsi="Arial" w:cs="Arial"/>
        </w:rPr>
        <w:t xml:space="preserve">El artículo 17 de la Ley 38/2003 se refiere al procedimiento para aprobación de la base reguladora, remitiendo al </w:t>
      </w:r>
      <w:r w:rsidR="00CB1A8E">
        <w:rPr>
          <w:rFonts w:ascii="Arial" w:hAnsi="Arial" w:cs="Arial"/>
        </w:rPr>
        <w:t xml:space="preserve">previsto para los reglamentos </w:t>
      </w:r>
      <w:r w:rsidR="002F4B2A" w:rsidRPr="00021D75">
        <w:rPr>
          <w:rFonts w:ascii="Arial" w:hAnsi="Arial" w:cs="Arial"/>
        </w:rPr>
        <w:t xml:space="preserve"> </w:t>
      </w:r>
      <w:r w:rsidR="001C2800" w:rsidRPr="00021D75">
        <w:rPr>
          <w:rFonts w:ascii="Arial" w:hAnsi="Arial" w:cs="Arial"/>
        </w:rPr>
        <w:t xml:space="preserve">(que incluye consulta previa, información pública, informes preceptivos, elaboración de la MAIN…) y añadiendo </w:t>
      </w:r>
      <w:r w:rsidR="002F4B2A" w:rsidRPr="00021D75">
        <w:rPr>
          <w:rFonts w:ascii="Arial" w:hAnsi="Arial" w:cs="Arial"/>
        </w:rPr>
        <w:t>dos informes preceptivos,</w:t>
      </w:r>
      <w:r w:rsidR="001C2800" w:rsidRPr="00021D75">
        <w:rPr>
          <w:rFonts w:ascii="Arial" w:hAnsi="Arial" w:cs="Arial"/>
        </w:rPr>
        <w:t xml:space="preserve"> es </w:t>
      </w:r>
      <w:r w:rsidR="00FE230E" w:rsidRPr="00021D75">
        <w:rPr>
          <w:rFonts w:ascii="Arial" w:hAnsi="Arial" w:cs="Arial"/>
        </w:rPr>
        <w:t>decir, el</w:t>
      </w:r>
      <w:r w:rsidR="002F4B2A" w:rsidRPr="00021D75">
        <w:rPr>
          <w:rFonts w:ascii="Arial" w:hAnsi="Arial" w:cs="Arial"/>
        </w:rPr>
        <w:t xml:space="preserve"> de la Intervención Delegada y el del Servicio Jurídico. </w:t>
      </w:r>
    </w:p>
    <w:p w:rsidR="002F4B2A" w:rsidRPr="00021D75" w:rsidRDefault="002F4B2A" w:rsidP="005C2AF0">
      <w:pPr>
        <w:jc w:val="both"/>
        <w:rPr>
          <w:rFonts w:ascii="Arial" w:hAnsi="Arial" w:cs="Arial"/>
        </w:rPr>
      </w:pPr>
      <w:r w:rsidRPr="00021D75">
        <w:rPr>
          <w:rFonts w:ascii="Arial" w:hAnsi="Arial" w:cs="Arial"/>
        </w:rPr>
        <w:t xml:space="preserve">En muchos casos, las bases reguladoras cumplen los requisitos para ser consideradas disposiciones de carácter de general, por lo que no cabe duda </w:t>
      </w:r>
      <w:r w:rsidR="00CB1A8E">
        <w:rPr>
          <w:rFonts w:ascii="Arial" w:hAnsi="Arial" w:cs="Arial"/>
        </w:rPr>
        <w:t xml:space="preserve">sobre </w:t>
      </w:r>
      <w:r w:rsidR="001C2800" w:rsidRPr="00021D75">
        <w:rPr>
          <w:rFonts w:ascii="Arial" w:hAnsi="Arial" w:cs="Arial"/>
        </w:rPr>
        <w:t xml:space="preserve">el procedimiento a aplicar. </w:t>
      </w:r>
    </w:p>
    <w:p w:rsidR="002F4B2A" w:rsidRPr="00021D75" w:rsidRDefault="00AB7406" w:rsidP="005C2AF0">
      <w:pPr>
        <w:jc w:val="both"/>
        <w:rPr>
          <w:rFonts w:ascii="Arial" w:hAnsi="Arial" w:cs="Arial"/>
        </w:rPr>
      </w:pPr>
      <w:r w:rsidRPr="00021D75">
        <w:rPr>
          <w:rFonts w:ascii="Arial" w:hAnsi="Arial" w:cs="Arial"/>
        </w:rPr>
        <w:t xml:space="preserve">- </w:t>
      </w:r>
      <w:r w:rsidR="00CB1A8E">
        <w:rPr>
          <w:rFonts w:ascii="Arial" w:hAnsi="Arial" w:cs="Arial"/>
        </w:rPr>
        <w:t>Ahora bien, c</w:t>
      </w:r>
      <w:r w:rsidRPr="00021D75">
        <w:rPr>
          <w:rFonts w:ascii="Arial" w:hAnsi="Arial" w:cs="Arial"/>
        </w:rPr>
        <w:t xml:space="preserve">uando el artículo 23 de la Ley 38/2003 detalla el contenido de la convocatoria, en su apartado a) obliga a hacer referencia al Boletín en el que se publicaron las bases reguladoras, salvo que por su especificidad, se incorporen a la </w:t>
      </w:r>
      <w:r w:rsidR="00CB1A8E">
        <w:rPr>
          <w:rFonts w:ascii="Arial" w:hAnsi="Arial" w:cs="Arial"/>
        </w:rPr>
        <w:t xml:space="preserve">propia </w:t>
      </w:r>
      <w:r w:rsidRPr="00021D75">
        <w:rPr>
          <w:rFonts w:ascii="Arial" w:hAnsi="Arial" w:cs="Arial"/>
        </w:rPr>
        <w:t xml:space="preserve">convocatoria. </w:t>
      </w:r>
    </w:p>
    <w:p w:rsidR="00CB1A8E" w:rsidRDefault="00AB7406" w:rsidP="005C2AF0">
      <w:pPr>
        <w:jc w:val="both"/>
        <w:rPr>
          <w:rFonts w:ascii="Arial" w:hAnsi="Arial" w:cs="Arial"/>
        </w:rPr>
      </w:pPr>
      <w:r w:rsidRPr="00021D75">
        <w:rPr>
          <w:rFonts w:ascii="Arial" w:hAnsi="Arial" w:cs="Arial"/>
        </w:rPr>
        <w:t xml:space="preserve">La convocatoria es un acto administrativo, por lo que, si el contenido reservado a las bases reguladoras en el artículo 17.3 se incorpora como contenido de la </w:t>
      </w:r>
      <w:r w:rsidR="00CB1A8E">
        <w:rPr>
          <w:rFonts w:ascii="Arial" w:hAnsi="Arial" w:cs="Arial"/>
        </w:rPr>
        <w:t xml:space="preserve">convocatoria, </w:t>
      </w:r>
      <w:r w:rsidRPr="00021D75">
        <w:rPr>
          <w:rFonts w:ascii="Arial" w:hAnsi="Arial" w:cs="Arial"/>
        </w:rPr>
        <w:t xml:space="preserve"> </w:t>
      </w:r>
      <w:r w:rsidRPr="00021D75">
        <w:rPr>
          <w:rFonts w:ascii="Arial" w:hAnsi="Arial" w:cs="Arial"/>
        </w:rPr>
        <w:lastRenderedPageBreak/>
        <w:t xml:space="preserve">se ha venido considerando que </w:t>
      </w:r>
      <w:r w:rsidR="00CB1A8E">
        <w:rPr>
          <w:rFonts w:ascii="Arial" w:hAnsi="Arial" w:cs="Arial"/>
        </w:rPr>
        <w:t xml:space="preserve">el procedimiento para su aprobación será el de los actos administrativos y no el de los reglamentos. </w:t>
      </w:r>
      <w:r w:rsidRPr="00021D75">
        <w:rPr>
          <w:rFonts w:ascii="Arial" w:hAnsi="Arial" w:cs="Arial"/>
        </w:rPr>
        <w:t xml:space="preserve"> </w:t>
      </w:r>
    </w:p>
    <w:p w:rsidR="00AB7406" w:rsidRPr="00021D75" w:rsidRDefault="00AB7406" w:rsidP="005C2AF0">
      <w:pPr>
        <w:jc w:val="both"/>
        <w:rPr>
          <w:rFonts w:ascii="Arial" w:hAnsi="Arial" w:cs="Arial"/>
        </w:rPr>
      </w:pPr>
      <w:r w:rsidRPr="00021D75">
        <w:rPr>
          <w:rFonts w:ascii="Arial" w:hAnsi="Arial" w:cs="Arial"/>
        </w:rPr>
        <w:t>En estos casos, la especificidad lleva a que se agoten en sí mismas, características propi</w:t>
      </w:r>
      <w:r w:rsidR="00175C55" w:rsidRPr="00021D75">
        <w:rPr>
          <w:rFonts w:ascii="Arial" w:hAnsi="Arial" w:cs="Arial"/>
        </w:rPr>
        <w:t>as de los actos administrativos que las excluye del procedimiento de tramitación de los reglamentos.</w:t>
      </w:r>
    </w:p>
    <w:p w:rsidR="00CB1A8E" w:rsidRDefault="00CB1A8E" w:rsidP="001C2800">
      <w:pPr>
        <w:jc w:val="both"/>
        <w:rPr>
          <w:rFonts w:ascii="Arial" w:hAnsi="Arial" w:cs="Arial"/>
          <w:i/>
        </w:rPr>
      </w:pPr>
      <w:r>
        <w:rPr>
          <w:rFonts w:ascii="Arial" w:hAnsi="Arial" w:cs="Arial"/>
        </w:rPr>
        <w:t xml:space="preserve">En este punto, debemos tener en cuenta que si bien el artículo 9 de la Ley 38/2003 se refiere al requisito de  aprobación previa al otorgamiento de </w:t>
      </w:r>
      <w:r w:rsidRPr="00CB1A8E">
        <w:rPr>
          <w:rFonts w:ascii="Arial" w:hAnsi="Arial" w:cs="Arial"/>
          <w:i/>
        </w:rPr>
        <w:t>“las normas que establezcan las bases reguladoras de concesión”</w:t>
      </w:r>
      <w:r>
        <w:rPr>
          <w:rFonts w:ascii="Arial" w:hAnsi="Arial" w:cs="Arial"/>
        </w:rPr>
        <w:t xml:space="preserve"> también señala que lo harán </w:t>
      </w:r>
      <w:r w:rsidRPr="00CB1A8E">
        <w:rPr>
          <w:rFonts w:ascii="Arial" w:hAnsi="Arial" w:cs="Arial"/>
        </w:rPr>
        <w:t xml:space="preserve"> </w:t>
      </w:r>
      <w:r w:rsidRPr="00CB1A8E">
        <w:rPr>
          <w:rFonts w:ascii="Arial" w:hAnsi="Arial" w:cs="Arial"/>
          <w:i/>
        </w:rPr>
        <w:t>“en los términos establecidos en esta ley”</w:t>
      </w:r>
    </w:p>
    <w:p w:rsidR="00CB1A8E" w:rsidRPr="00CB1A8E" w:rsidRDefault="00CB1A8E" w:rsidP="001C2800">
      <w:pPr>
        <w:jc w:val="both"/>
        <w:rPr>
          <w:rFonts w:ascii="Arial" w:hAnsi="Arial" w:cs="Arial"/>
        </w:rPr>
      </w:pPr>
      <w:r>
        <w:rPr>
          <w:rFonts w:ascii="Arial" w:hAnsi="Arial" w:cs="Arial"/>
        </w:rPr>
        <w:t>Así, no siendo básicos ni el artículo 17.1 ni el artículo 28 de la Ley 38/2003, el artículo 4 de la Ley 2/1995 ha establecido que en el caso de concesiones directas, los instrumentos que contienen las bases reguladoras sean el convenio, los planes o los Acuerdos de Consejo de Gobierno, que si bien contienen las normas reguladoras de la subvención, no en todos los casos recogen normas reglamentarias.</w:t>
      </w:r>
    </w:p>
    <w:p w:rsidR="001C2800" w:rsidRPr="00021D75" w:rsidRDefault="00AB7406" w:rsidP="001C2800">
      <w:pPr>
        <w:jc w:val="both"/>
        <w:rPr>
          <w:rFonts w:ascii="Arial" w:hAnsi="Arial" w:cs="Arial"/>
        </w:rPr>
      </w:pPr>
      <w:r w:rsidRPr="00021D75">
        <w:rPr>
          <w:rFonts w:ascii="Arial" w:hAnsi="Arial" w:cs="Arial"/>
        </w:rPr>
        <w:t>El RDL 36/2020 parecía querer re</w:t>
      </w:r>
      <w:r w:rsidR="001C2800" w:rsidRPr="00021D75">
        <w:rPr>
          <w:rFonts w:ascii="Arial" w:hAnsi="Arial" w:cs="Arial"/>
        </w:rPr>
        <w:t xml:space="preserve">coger </w:t>
      </w:r>
      <w:r w:rsidR="00CB1A8E">
        <w:rPr>
          <w:rFonts w:ascii="Arial" w:hAnsi="Arial" w:cs="Arial"/>
        </w:rPr>
        <w:t xml:space="preserve">la </w:t>
      </w:r>
      <w:r w:rsidRPr="00021D75">
        <w:rPr>
          <w:rFonts w:ascii="Arial" w:hAnsi="Arial" w:cs="Arial"/>
        </w:rPr>
        <w:t xml:space="preserve">posibilidad </w:t>
      </w:r>
      <w:r w:rsidR="00CB1A8E">
        <w:rPr>
          <w:rFonts w:ascii="Arial" w:hAnsi="Arial" w:cs="Arial"/>
        </w:rPr>
        <w:t xml:space="preserve">recogida en el artículo 23.2.a) </w:t>
      </w:r>
      <w:r w:rsidRPr="00021D75">
        <w:rPr>
          <w:rFonts w:ascii="Arial" w:hAnsi="Arial" w:cs="Arial"/>
        </w:rPr>
        <w:t xml:space="preserve">y así </w:t>
      </w:r>
      <w:r w:rsidR="001C43F7" w:rsidRPr="00021D75">
        <w:rPr>
          <w:rFonts w:ascii="Arial" w:hAnsi="Arial" w:cs="Arial"/>
        </w:rPr>
        <w:t xml:space="preserve">lo </w:t>
      </w:r>
      <w:r w:rsidR="00175C55" w:rsidRPr="00021D75">
        <w:rPr>
          <w:rFonts w:ascii="Arial" w:hAnsi="Arial" w:cs="Arial"/>
        </w:rPr>
        <w:t xml:space="preserve">hizo </w:t>
      </w:r>
      <w:r w:rsidRPr="00021D75">
        <w:rPr>
          <w:rFonts w:ascii="Arial" w:hAnsi="Arial" w:cs="Arial"/>
        </w:rPr>
        <w:t>en las primeras ver</w:t>
      </w:r>
      <w:r w:rsidR="001C43F7" w:rsidRPr="00021D75">
        <w:rPr>
          <w:rFonts w:ascii="Arial" w:hAnsi="Arial" w:cs="Arial"/>
        </w:rPr>
        <w:t>siones del artículo</w:t>
      </w:r>
      <w:r w:rsidR="001C2800" w:rsidRPr="00021D75">
        <w:rPr>
          <w:rFonts w:ascii="Arial" w:hAnsi="Arial" w:cs="Arial"/>
        </w:rPr>
        <w:t>,</w:t>
      </w:r>
      <w:r w:rsidR="001C43F7" w:rsidRPr="00021D75">
        <w:rPr>
          <w:rFonts w:ascii="Arial" w:hAnsi="Arial" w:cs="Arial"/>
        </w:rPr>
        <w:t xml:space="preserve"> de lo que todavía queda reflejo en la Exposición de motivos</w:t>
      </w:r>
      <w:r w:rsidR="00AB6C98" w:rsidRPr="00021D75">
        <w:rPr>
          <w:rFonts w:ascii="Arial" w:hAnsi="Arial" w:cs="Arial"/>
        </w:rPr>
        <w:t>, que no fue adaptada a la modificación del texto articulado:</w:t>
      </w:r>
    </w:p>
    <w:p w:rsidR="00AB7406" w:rsidRPr="00602EB6" w:rsidRDefault="00175C55" w:rsidP="001C2800">
      <w:pPr>
        <w:ind w:left="567"/>
        <w:jc w:val="both"/>
        <w:rPr>
          <w:rFonts w:ascii="Arial" w:hAnsi="Arial" w:cs="Arial"/>
          <w:i/>
          <w:sz w:val="18"/>
          <w:szCs w:val="18"/>
        </w:rPr>
      </w:pPr>
      <w:r w:rsidRPr="00602EB6">
        <w:rPr>
          <w:rFonts w:ascii="Arial" w:hAnsi="Arial" w:cs="Arial"/>
          <w:i/>
          <w:sz w:val="18"/>
          <w:szCs w:val="18"/>
        </w:rPr>
        <w:t>“</w:t>
      </w:r>
      <w:r w:rsidR="001C2800" w:rsidRPr="00602EB6">
        <w:rPr>
          <w:rFonts w:ascii="Arial" w:hAnsi="Arial" w:cs="Arial"/>
          <w:i/>
          <w:sz w:val="18"/>
          <w:szCs w:val="18"/>
        </w:rPr>
        <w:t>Se establece que las convocatorias de las subvenciones relacionadas con el uso de estos fondos incorporen la regulación de las bases de concesión de las mismas, simplificando los requisitos internos para su aprobación, así como la documentación a presentar por los posibles beneficiarios.</w:t>
      </w:r>
    </w:p>
    <w:p w:rsidR="001C2800" w:rsidRPr="00602EB6" w:rsidRDefault="00AB6C98" w:rsidP="001C2800">
      <w:pPr>
        <w:jc w:val="both"/>
        <w:rPr>
          <w:rFonts w:ascii="Arial" w:hAnsi="Arial" w:cs="Arial"/>
        </w:rPr>
      </w:pPr>
      <w:r w:rsidRPr="00602EB6">
        <w:rPr>
          <w:rFonts w:ascii="Arial" w:hAnsi="Arial" w:cs="Arial"/>
        </w:rPr>
        <w:t>La redacción final del artículo</w:t>
      </w:r>
      <w:r w:rsidR="001C2800" w:rsidRPr="00602EB6">
        <w:rPr>
          <w:rFonts w:ascii="Arial" w:hAnsi="Arial" w:cs="Arial"/>
        </w:rPr>
        <w:t xml:space="preserve"> cambió este esquema y ahora recoge</w:t>
      </w:r>
      <w:r w:rsidR="00175C55" w:rsidRPr="00602EB6">
        <w:rPr>
          <w:rFonts w:ascii="Arial" w:hAnsi="Arial" w:cs="Arial"/>
        </w:rPr>
        <w:t xml:space="preserve"> que son las bases reguladoras las que pueden incorporar la convocatoria: </w:t>
      </w:r>
      <w:r w:rsidR="001C2800" w:rsidRPr="00602EB6">
        <w:rPr>
          <w:rFonts w:ascii="Arial" w:hAnsi="Arial" w:cs="Arial"/>
        </w:rPr>
        <w:t xml:space="preserve"> </w:t>
      </w:r>
    </w:p>
    <w:p w:rsidR="00175C55" w:rsidRPr="00602EB6" w:rsidRDefault="00175C55" w:rsidP="00175C55">
      <w:pPr>
        <w:ind w:left="567"/>
        <w:jc w:val="both"/>
        <w:rPr>
          <w:rFonts w:ascii="Arial" w:hAnsi="Arial" w:cs="Arial"/>
          <w:i/>
          <w:sz w:val="18"/>
          <w:szCs w:val="18"/>
        </w:rPr>
      </w:pPr>
      <w:r w:rsidRPr="00602EB6">
        <w:rPr>
          <w:rFonts w:ascii="Arial" w:hAnsi="Arial" w:cs="Arial"/>
          <w:i/>
          <w:sz w:val="18"/>
          <w:szCs w:val="18"/>
        </w:rPr>
        <w:t>Artículo 61. Bases reguladoras y convocatoria de las subvenciones financiables con fondos europeos.</w:t>
      </w:r>
    </w:p>
    <w:p w:rsidR="00175C55" w:rsidRPr="00602EB6" w:rsidRDefault="00175C55" w:rsidP="00175C55">
      <w:pPr>
        <w:ind w:left="567"/>
        <w:jc w:val="both"/>
        <w:rPr>
          <w:rFonts w:ascii="Arial" w:hAnsi="Arial" w:cs="Arial"/>
          <w:i/>
          <w:sz w:val="18"/>
          <w:szCs w:val="18"/>
        </w:rPr>
      </w:pPr>
      <w:r w:rsidRPr="00602EB6">
        <w:rPr>
          <w:rFonts w:ascii="Arial" w:hAnsi="Arial" w:cs="Arial"/>
          <w:i/>
          <w:sz w:val="18"/>
          <w:szCs w:val="18"/>
        </w:rPr>
        <w:t>1. Las bases reguladoras de las subvenciones financiables con fondos europeos podrán incorporar la convocatoria de las mismas.</w:t>
      </w:r>
    </w:p>
    <w:p w:rsidR="00AB7406" w:rsidRPr="00021D75" w:rsidRDefault="00175C55" w:rsidP="00175C55">
      <w:pPr>
        <w:ind w:left="567"/>
        <w:jc w:val="both"/>
        <w:rPr>
          <w:rFonts w:ascii="Arial" w:hAnsi="Arial" w:cs="Arial"/>
          <w:i/>
          <w:sz w:val="18"/>
          <w:szCs w:val="18"/>
        </w:rPr>
      </w:pPr>
      <w:r w:rsidRPr="00602EB6">
        <w:rPr>
          <w:rFonts w:ascii="Arial" w:hAnsi="Arial" w:cs="Arial"/>
          <w:i/>
          <w:sz w:val="18"/>
          <w:szCs w:val="18"/>
        </w:rPr>
        <w:t>2. Para la tramitación de la aprobación de las bases reguladoras y la convocatoria de estas subvenciones tan solo serán exigibles el informe de los Servicios Jurídicos correspondientes, y el informe de la Intervención Delegada al que hace referencia el artículo 17.1, párrafo segundo, de la Ley 38/2003, de 17 de noviembre, General de Subvenciones, que, en todo caso será emitido en el plazo improrrogable de diez días naturales.</w:t>
      </w:r>
    </w:p>
    <w:p w:rsidR="002F4B2A" w:rsidRPr="00021D75" w:rsidRDefault="00AB6C98" w:rsidP="005C2AF0">
      <w:pPr>
        <w:jc w:val="both"/>
        <w:rPr>
          <w:rFonts w:ascii="Arial" w:hAnsi="Arial" w:cs="Arial"/>
        </w:rPr>
      </w:pPr>
      <w:r w:rsidRPr="00021D75">
        <w:rPr>
          <w:rFonts w:ascii="Arial" w:hAnsi="Arial" w:cs="Arial"/>
        </w:rPr>
        <w:t xml:space="preserve">El artículo </w:t>
      </w:r>
      <w:r w:rsidR="004D4796" w:rsidRPr="00021D75">
        <w:rPr>
          <w:rFonts w:ascii="Arial" w:hAnsi="Arial" w:cs="Arial"/>
        </w:rPr>
        <w:t xml:space="preserve">61 </w:t>
      </w:r>
      <w:r w:rsidRPr="00021D75">
        <w:rPr>
          <w:rFonts w:ascii="Arial" w:hAnsi="Arial" w:cs="Arial"/>
        </w:rPr>
        <w:t xml:space="preserve">se remite </w:t>
      </w:r>
      <w:r w:rsidR="004D4796" w:rsidRPr="00021D75">
        <w:rPr>
          <w:rFonts w:ascii="Arial" w:hAnsi="Arial" w:cs="Arial"/>
        </w:rPr>
        <w:t xml:space="preserve">expresamente </w:t>
      </w:r>
      <w:r w:rsidRPr="00021D75">
        <w:rPr>
          <w:rFonts w:ascii="Arial" w:hAnsi="Arial" w:cs="Arial"/>
        </w:rPr>
        <w:t>al artículo 17</w:t>
      </w:r>
      <w:r w:rsidR="004D4796" w:rsidRPr="00021D75">
        <w:rPr>
          <w:rFonts w:ascii="Arial" w:hAnsi="Arial" w:cs="Arial"/>
        </w:rPr>
        <w:t xml:space="preserve"> de la Ley 38/2003 sin hacer referencia a la aplicación del procedimiento de elaboración de disposiciones de carácter general, por lo que puede parecer que no sería aplicable</w:t>
      </w:r>
      <w:r w:rsidR="00FE230E">
        <w:rPr>
          <w:rFonts w:ascii="Arial" w:hAnsi="Arial" w:cs="Arial"/>
        </w:rPr>
        <w:t xml:space="preserve"> a los supuestos en los que se tramita base reguladora y convocatoria</w:t>
      </w:r>
      <w:r w:rsidR="004D4796" w:rsidRPr="00021D75">
        <w:rPr>
          <w:rFonts w:ascii="Arial" w:hAnsi="Arial" w:cs="Arial"/>
        </w:rPr>
        <w:t>.</w:t>
      </w:r>
      <w:r w:rsidR="007D7C5C" w:rsidRPr="00021D75">
        <w:rPr>
          <w:rStyle w:val="Refdenotaalpie"/>
          <w:rFonts w:ascii="Arial" w:hAnsi="Arial" w:cs="Arial"/>
        </w:rPr>
        <w:footnoteReference w:id="1"/>
      </w:r>
    </w:p>
    <w:p w:rsidR="007D7C5C" w:rsidRPr="00021D75" w:rsidRDefault="007D7C5C" w:rsidP="005C2AF0">
      <w:pPr>
        <w:jc w:val="both"/>
        <w:rPr>
          <w:rFonts w:ascii="Arial" w:hAnsi="Arial" w:cs="Arial"/>
        </w:rPr>
      </w:pPr>
      <w:r w:rsidRPr="00021D75">
        <w:rPr>
          <w:rFonts w:ascii="Arial" w:hAnsi="Arial" w:cs="Arial"/>
        </w:rPr>
        <w:t>Ahora bien, debe tenerse en cuenta que nos encontramos en un marco de gestión de fondos en el que la Comunidad de Madrid d</w:t>
      </w:r>
      <w:r w:rsidR="00FE230E">
        <w:rPr>
          <w:rFonts w:ascii="Arial" w:hAnsi="Arial" w:cs="Arial"/>
        </w:rPr>
        <w:t xml:space="preserve">ebe atender a la aplicación </w:t>
      </w:r>
      <w:r w:rsidRPr="00021D75">
        <w:rPr>
          <w:rFonts w:ascii="Arial" w:hAnsi="Arial" w:cs="Arial"/>
        </w:rPr>
        <w:t xml:space="preserve">de las normas </w:t>
      </w:r>
      <w:r w:rsidR="00FE230E">
        <w:rPr>
          <w:rFonts w:ascii="Arial" w:hAnsi="Arial" w:cs="Arial"/>
        </w:rPr>
        <w:t xml:space="preserve">que </w:t>
      </w:r>
      <w:r w:rsidRPr="00021D75">
        <w:rPr>
          <w:rFonts w:ascii="Arial" w:hAnsi="Arial" w:cs="Arial"/>
        </w:rPr>
        <w:t xml:space="preserve">se realice por la Administración estatal y en este sentido </w:t>
      </w:r>
      <w:r w:rsidR="00AD3644" w:rsidRPr="00021D75">
        <w:rPr>
          <w:rFonts w:ascii="Arial" w:hAnsi="Arial" w:cs="Arial"/>
        </w:rPr>
        <w:t xml:space="preserve">se aprecia que, con independencia de que el contenido lleve a determinar que no estamos ante una </w:t>
      </w:r>
      <w:r w:rsidR="00AD3644" w:rsidRPr="00021D75">
        <w:rPr>
          <w:rFonts w:ascii="Arial" w:hAnsi="Arial" w:cs="Arial"/>
        </w:rPr>
        <w:lastRenderedPageBreak/>
        <w:t>disposición de carácter general y estando además en el ámbito del Real Decreto 36/2020, en los procedimientos concretos</w:t>
      </w:r>
      <w:r w:rsidR="00CB1A8E">
        <w:rPr>
          <w:rFonts w:ascii="Arial" w:hAnsi="Arial" w:cs="Arial"/>
        </w:rPr>
        <w:t>,</w:t>
      </w:r>
      <w:r w:rsidR="00AD3644" w:rsidRPr="00021D75">
        <w:rPr>
          <w:rFonts w:ascii="Arial" w:hAnsi="Arial" w:cs="Arial"/>
        </w:rPr>
        <w:t xml:space="preserve"> </w:t>
      </w:r>
      <w:r w:rsidR="00FE230E">
        <w:rPr>
          <w:rFonts w:ascii="Arial" w:hAnsi="Arial" w:cs="Arial"/>
        </w:rPr>
        <w:t xml:space="preserve">el Estado </w:t>
      </w:r>
      <w:r w:rsidR="00AD3644" w:rsidRPr="00021D75">
        <w:rPr>
          <w:rFonts w:ascii="Arial" w:hAnsi="Arial" w:cs="Arial"/>
        </w:rPr>
        <w:t>sigue la tramitación que se considera procedente, por más que la norma permita simplificar.</w:t>
      </w:r>
    </w:p>
    <w:p w:rsidR="00AD3644" w:rsidRPr="00021D75" w:rsidRDefault="00AD3644" w:rsidP="005C2AF0">
      <w:pPr>
        <w:jc w:val="both"/>
        <w:rPr>
          <w:rFonts w:ascii="Arial" w:hAnsi="Arial" w:cs="Arial"/>
        </w:rPr>
      </w:pPr>
      <w:r w:rsidRPr="00021D75">
        <w:rPr>
          <w:rFonts w:ascii="Arial" w:hAnsi="Arial" w:cs="Arial"/>
        </w:rPr>
        <w:t xml:space="preserve">Por ejemplo, el </w:t>
      </w:r>
      <w:r w:rsidRPr="00FE230E">
        <w:rPr>
          <w:rFonts w:ascii="Arial" w:hAnsi="Arial" w:cs="Arial"/>
          <w:i/>
        </w:rPr>
        <w:t>Real Decreto 854/2021, de 5 de octubre, por el que se establecen las bases reguladoras de las subvenciones para la adquisición e instalación de sistemas de seguimiento electrónico remoto (REM), para el cumplimiento de la obligación de desembarque, para la digitalización de la flota de pequeña escala y para el apoyo al sector pesquero extractivo, acuícola, comercializador y transformador en el marco del Plan de Recuperación, Transformación y Resiliencia, y se convocan para el año 2021,</w:t>
      </w:r>
      <w:r w:rsidRPr="00021D75">
        <w:rPr>
          <w:rFonts w:ascii="Arial" w:hAnsi="Arial" w:cs="Arial"/>
        </w:rPr>
        <w:t xml:space="preserve"> no se aprueba</w:t>
      </w:r>
      <w:r w:rsidR="00FE230E">
        <w:rPr>
          <w:rFonts w:ascii="Arial" w:hAnsi="Arial" w:cs="Arial"/>
        </w:rPr>
        <w:t>n</w:t>
      </w:r>
      <w:r w:rsidRPr="00021D75">
        <w:rPr>
          <w:rFonts w:ascii="Arial" w:hAnsi="Arial" w:cs="Arial"/>
        </w:rPr>
        <w:t xml:space="preserve"> mediante Orden sino mediante Real Decreto, debido al ejercicio de la competencia y siguiendo la </w:t>
      </w:r>
      <w:r w:rsidR="00FE230E">
        <w:rPr>
          <w:rFonts w:ascii="Arial" w:hAnsi="Arial" w:cs="Arial"/>
        </w:rPr>
        <w:t xml:space="preserve">jurisprudencia constitucional, </w:t>
      </w:r>
      <w:r w:rsidR="00CB1A8E">
        <w:rPr>
          <w:rFonts w:ascii="Arial" w:hAnsi="Arial" w:cs="Arial"/>
        </w:rPr>
        <w:t>(</w:t>
      </w:r>
      <w:r w:rsidRPr="00021D75">
        <w:rPr>
          <w:rFonts w:ascii="Arial" w:hAnsi="Arial" w:cs="Arial"/>
        </w:rPr>
        <w:t xml:space="preserve">aunque incluye la convocatoria y la base y expresamente se refiere </w:t>
      </w:r>
      <w:r w:rsidR="00FE230E">
        <w:rPr>
          <w:rFonts w:ascii="Arial" w:hAnsi="Arial" w:cs="Arial"/>
        </w:rPr>
        <w:t xml:space="preserve">en su Preámbulo </w:t>
      </w:r>
      <w:r w:rsidRPr="00021D75">
        <w:rPr>
          <w:rFonts w:ascii="Arial" w:hAnsi="Arial" w:cs="Arial"/>
        </w:rPr>
        <w:t>a que la base no se incorporará al ordenamiento jurídico, por su especificidad</w:t>
      </w:r>
      <w:r w:rsidR="00CB1A8E">
        <w:rPr>
          <w:rFonts w:ascii="Arial" w:hAnsi="Arial" w:cs="Arial"/>
        </w:rPr>
        <w:t>)</w:t>
      </w:r>
      <w:r w:rsidRPr="00021D75">
        <w:rPr>
          <w:rFonts w:ascii="Arial" w:hAnsi="Arial" w:cs="Arial"/>
        </w:rPr>
        <w:t>, pero se elabora la MAIN (que se refiere a las normas reglamentarias)  y se solicitan</w:t>
      </w:r>
      <w:r w:rsidR="00FE230E">
        <w:rPr>
          <w:rFonts w:ascii="Arial" w:hAnsi="Arial" w:cs="Arial"/>
        </w:rPr>
        <w:t>,</w:t>
      </w:r>
      <w:r w:rsidRPr="00021D75">
        <w:rPr>
          <w:rFonts w:ascii="Arial" w:hAnsi="Arial" w:cs="Arial"/>
        </w:rPr>
        <w:t xml:space="preserve"> además de los dos informes preceptivos a los que </w:t>
      </w:r>
      <w:r w:rsidR="00CB1A8E">
        <w:rPr>
          <w:rFonts w:ascii="Arial" w:hAnsi="Arial" w:cs="Arial"/>
        </w:rPr>
        <w:t>se refiere el artículo</w:t>
      </w:r>
      <w:r w:rsidRPr="00021D75">
        <w:rPr>
          <w:rFonts w:ascii="Arial" w:hAnsi="Arial" w:cs="Arial"/>
        </w:rPr>
        <w:t>, otros que para el expediente concreto, el órgano gestor considera necesarios, aunque no sean exigibles de acuerdo con el RDL 36/2020.</w:t>
      </w:r>
    </w:p>
    <w:p w:rsidR="00EF2D94" w:rsidRDefault="00436F2B" w:rsidP="005C2AF0">
      <w:pPr>
        <w:jc w:val="both"/>
        <w:rPr>
          <w:rFonts w:ascii="Arial" w:hAnsi="Arial" w:cs="Arial"/>
        </w:rPr>
      </w:pPr>
      <w:r w:rsidRPr="00021D75">
        <w:rPr>
          <w:rFonts w:ascii="Arial" w:hAnsi="Arial" w:cs="Arial"/>
        </w:rPr>
        <w:t>De acuerdo con el tenor literal del artículo y habiendo señalado el servicio jurídico en su informe que e</w:t>
      </w:r>
      <w:r w:rsidR="00FE230E">
        <w:rPr>
          <w:rFonts w:ascii="Arial" w:hAnsi="Arial" w:cs="Arial"/>
        </w:rPr>
        <w:t>l Título IV del RDL e</w:t>
      </w:r>
      <w:r w:rsidRPr="00021D75">
        <w:rPr>
          <w:rFonts w:ascii="Arial" w:hAnsi="Arial" w:cs="Arial"/>
        </w:rPr>
        <w:t>s de aplicación supletoria en la Comunidad de Madrid, debería entenderse que cuando se tramite un expediente que recoja base reguladora y convocatoria, con independencia de la naturaleza jurídica teórica derivada de su contenido</w:t>
      </w:r>
      <w:r w:rsidR="00F1304C" w:rsidRPr="00021D75">
        <w:rPr>
          <w:rStyle w:val="Refdenotaalpie"/>
          <w:rFonts w:ascii="Arial" w:hAnsi="Arial" w:cs="Arial"/>
        </w:rPr>
        <w:footnoteReference w:id="2"/>
      </w:r>
      <w:r w:rsidRPr="00021D75">
        <w:rPr>
          <w:rFonts w:ascii="Arial" w:hAnsi="Arial" w:cs="Arial"/>
        </w:rPr>
        <w:t>, serían exigibles los informes del Servicio Jurídico y de la Intervención delegada</w:t>
      </w:r>
      <w:r w:rsidR="00EF2D94">
        <w:rPr>
          <w:rFonts w:ascii="Arial" w:hAnsi="Arial" w:cs="Arial"/>
        </w:rPr>
        <w:t>.</w:t>
      </w:r>
    </w:p>
    <w:p w:rsidR="00AD3644" w:rsidRPr="00021D75" w:rsidRDefault="00EF2D94" w:rsidP="005C2AF0">
      <w:pPr>
        <w:jc w:val="both"/>
        <w:rPr>
          <w:rFonts w:ascii="Arial" w:hAnsi="Arial" w:cs="Arial"/>
        </w:rPr>
      </w:pPr>
      <w:r>
        <w:rPr>
          <w:rFonts w:ascii="Arial" w:hAnsi="Arial" w:cs="Arial"/>
        </w:rPr>
        <w:t>No obstante</w:t>
      </w:r>
      <w:r w:rsidR="00436F2B" w:rsidRPr="00021D75">
        <w:rPr>
          <w:rFonts w:ascii="Arial" w:hAnsi="Arial" w:cs="Arial"/>
        </w:rPr>
        <w:t xml:space="preserve">, </w:t>
      </w:r>
      <w:r>
        <w:rPr>
          <w:rFonts w:ascii="Arial" w:hAnsi="Arial" w:cs="Arial"/>
        </w:rPr>
        <w:t xml:space="preserve">debería solicitarse informe </w:t>
      </w:r>
      <w:r w:rsidR="00436F2B" w:rsidRPr="00021D75">
        <w:rPr>
          <w:rFonts w:ascii="Arial" w:hAnsi="Arial" w:cs="Arial"/>
        </w:rPr>
        <w:t>sobre el ejercicio de su propia competencia a los Servicios jurí</w:t>
      </w:r>
      <w:r>
        <w:rPr>
          <w:rFonts w:ascii="Arial" w:hAnsi="Arial" w:cs="Arial"/>
        </w:rPr>
        <w:t>dicos de la Comunidad de Madrid, dado que la naturaleza jurídica resulta determinante para la emisión de informe de ese Centro Directivo, de acuerdo con la normativa propia autonómica.</w:t>
      </w:r>
    </w:p>
    <w:p w:rsidR="00EF2D94" w:rsidRDefault="00436F2B" w:rsidP="005C2AF0">
      <w:pPr>
        <w:jc w:val="both"/>
        <w:rPr>
          <w:rFonts w:ascii="Arial" w:hAnsi="Arial" w:cs="Arial"/>
        </w:rPr>
      </w:pPr>
      <w:r w:rsidRPr="00021D75">
        <w:rPr>
          <w:rFonts w:ascii="Arial" w:hAnsi="Arial" w:cs="Arial"/>
        </w:rPr>
        <w:t>Respecto al resto de informes, el RDL 36/2020 tiene como objetivo agilizar  la tramitación de los expedientes y en este sentido, en varias ocasiones elimina la exigibil</w:t>
      </w:r>
      <w:r w:rsidR="00EF2D94">
        <w:rPr>
          <w:rFonts w:ascii="Arial" w:hAnsi="Arial" w:cs="Arial"/>
        </w:rPr>
        <w:t xml:space="preserve">idad de incorporar informes preceptivos, lo que </w:t>
      </w:r>
      <w:r w:rsidRPr="00021D75">
        <w:rPr>
          <w:rFonts w:ascii="Arial" w:hAnsi="Arial" w:cs="Arial"/>
        </w:rPr>
        <w:t xml:space="preserve">ha sido interpretado por la Abogacía del Estado, </w:t>
      </w:r>
      <w:r w:rsidR="00EF2D94">
        <w:rPr>
          <w:rFonts w:ascii="Arial" w:hAnsi="Arial" w:cs="Arial"/>
        </w:rPr>
        <w:t xml:space="preserve">en el sentido de </w:t>
      </w:r>
      <w:r w:rsidR="00EF2D94" w:rsidRPr="00021D75">
        <w:rPr>
          <w:rFonts w:ascii="Arial" w:hAnsi="Arial" w:cs="Arial"/>
        </w:rPr>
        <w:t xml:space="preserve">que no es necesaria </w:t>
      </w:r>
      <w:r w:rsidR="00EF2D94">
        <w:rPr>
          <w:rFonts w:ascii="Arial" w:hAnsi="Arial" w:cs="Arial"/>
        </w:rPr>
        <w:t xml:space="preserve">su </w:t>
      </w:r>
      <w:r w:rsidR="00EF2D94" w:rsidRPr="00021D75">
        <w:rPr>
          <w:rFonts w:ascii="Arial" w:hAnsi="Arial" w:cs="Arial"/>
        </w:rPr>
        <w:t>solicitud</w:t>
      </w:r>
      <w:r w:rsidR="00EF2D94">
        <w:rPr>
          <w:rFonts w:ascii="Arial" w:hAnsi="Arial" w:cs="Arial"/>
        </w:rPr>
        <w:t xml:space="preserve">, aunque su exigibilidad derive  de  las previsiones de otras normas sustantivas. Así lo recoge </w:t>
      </w:r>
      <w:r w:rsidRPr="00021D75">
        <w:rPr>
          <w:rFonts w:ascii="Arial" w:hAnsi="Arial" w:cs="Arial"/>
        </w:rPr>
        <w:t xml:space="preserve">por ejemplo, </w:t>
      </w:r>
      <w:r w:rsidR="00EF2D94">
        <w:rPr>
          <w:rFonts w:ascii="Arial" w:hAnsi="Arial" w:cs="Arial"/>
        </w:rPr>
        <w:t xml:space="preserve">el informe que se acompaña relativo al </w:t>
      </w:r>
      <w:r w:rsidRPr="00021D75">
        <w:rPr>
          <w:rFonts w:ascii="Arial" w:hAnsi="Arial" w:cs="Arial"/>
        </w:rPr>
        <w:t>artículo 59 del RDL</w:t>
      </w:r>
      <w:r w:rsidR="00EF2D94">
        <w:rPr>
          <w:rFonts w:ascii="Arial" w:hAnsi="Arial" w:cs="Arial"/>
        </w:rPr>
        <w:t>, sobre la tramitación de los convenios</w:t>
      </w:r>
      <w:r w:rsidRPr="00021D75">
        <w:rPr>
          <w:rFonts w:ascii="Arial" w:hAnsi="Arial" w:cs="Arial"/>
        </w:rPr>
        <w:t xml:space="preserve">. </w:t>
      </w:r>
      <w:r w:rsidR="00EF2D94">
        <w:rPr>
          <w:rStyle w:val="Refdenotaalpie"/>
          <w:rFonts w:ascii="Arial" w:hAnsi="Arial" w:cs="Arial"/>
        </w:rPr>
        <w:footnoteReference w:id="3"/>
      </w:r>
    </w:p>
    <w:p w:rsidR="003E3D0F" w:rsidRPr="00021D75" w:rsidRDefault="00EF2D94" w:rsidP="005C2AF0">
      <w:pPr>
        <w:jc w:val="both"/>
        <w:rPr>
          <w:rFonts w:ascii="Arial" w:hAnsi="Arial" w:cs="Arial"/>
        </w:rPr>
      </w:pPr>
      <w:r>
        <w:rPr>
          <w:rFonts w:ascii="Arial" w:hAnsi="Arial" w:cs="Arial"/>
        </w:rPr>
        <w:lastRenderedPageBreak/>
        <w:t xml:space="preserve">Ahora bien, es necesario diferenciar entre lo exigible y lo necesario. Es evidente que </w:t>
      </w:r>
      <w:r w:rsidR="003E3D0F" w:rsidRPr="00021D75">
        <w:rPr>
          <w:rFonts w:ascii="Arial" w:hAnsi="Arial" w:cs="Arial"/>
        </w:rPr>
        <w:t xml:space="preserve">si </w:t>
      </w:r>
      <w:r w:rsidR="007F2D4E">
        <w:rPr>
          <w:rFonts w:ascii="Arial" w:hAnsi="Arial" w:cs="Arial"/>
        </w:rPr>
        <w:t xml:space="preserve">en la Comunidad de Madrid existe una </w:t>
      </w:r>
      <w:r w:rsidR="003E3D0F" w:rsidRPr="00021D75">
        <w:rPr>
          <w:rFonts w:ascii="Arial" w:hAnsi="Arial" w:cs="Arial"/>
        </w:rPr>
        <w:t xml:space="preserve">Dirección General </w:t>
      </w:r>
      <w:r w:rsidR="007F2D4E">
        <w:rPr>
          <w:rFonts w:ascii="Arial" w:hAnsi="Arial" w:cs="Arial"/>
        </w:rPr>
        <w:t xml:space="preserve">cuya competencia es valorar los nuevos procedimientos y si estos </w:t>
      </w:r>
      <w:r w:rsidR="003E3D0F" w:rsidRPr="00021D75">
        <w:rPr>
          <w:rFonts w:ascii="Arial" w:hAnsi="Arial" w:cs="Arial"/>
        </w:rPr>
        <w:t>cumplen con los requerimientos para su inclusión en la página web</w:t>
      </w:r>
      <w:r w:rsidR="007F2D4E">
        <w:rPr>
          <w:rFonts w:ascii="Arial" w:hAnsi="Arial" w:cs="Arial"/>
        </w:rPr>
        <w:t xml:space="preserve"> y </w:t>
      </w:r>
      <w:r w:rsidR="00CB1A8E">
        <w:rPr>
          <w:rFonts w:ascii="Arial" w:hAnsi="Arial" w:cs="Arial"/>
        </w:rPr>
        <w:t xml:space="preserve">para la </w:t>
      </w:r>
      <w:r w:rsidR="007F2D4E">
        <w:rPr>
          <w:rFonts w:ascii="Arial" w:hAnsi="Arial" w:cs="Arial"/>
        </w:rPr>
        <w:t xml:space="preserve">presentación de solicitudes a través del Registro electrónico, pues no cabe no pedir el informe, porque no siendo exigible de acuerdo con la norma, no solo es necesario sino imprescindible para la gestión del procedimiento. </w:t>
      </w:r>
      <w:r w:rsidR="003E3D0F" w:rsidRPr="00021D75">
        <w:rPr>
          <w:rFonts w:ascii="Arial" w:hAnsi="Arial" w:cs="Arial"/>
        </w:rPr>
        <w:t xml:space="preserve"> </w:t>
      </w:r>
    </w:p>
    <w:p w:rsidR="003E3D0F" w:rsidRDefault="003E3D0F" w:rsidP="005C2AF0">
      <w:pPr>
        <w:jc w:val="both"/>
        <w:rPr>
          <w:rFonts w:ascii="Arial" w:hAnsi="Arial" w:cs="Arial"/>
        </w:rPr>
      </w:pPr>
      <w:r w:rsidRPr="00021D75">
        <w:rPr>
          <w:rFonts w:ascii="Arial" w:hAnsi="Arial" w:cs="Arial"/>
        </w:rPr>
        <w:t xml:space="preserve">De acuerdo con esto, en las MAIN elaboradas por el Estado </w:t>
      </w:r>
      <w:r w:rsidR="007F2D4E">
        <w:rPr>
          <w:rFonts w:ascii="Arial" w:hAnsi="Arial" w:cs="Arial"/>
        </w:rPr>
        <w:t xml:space="preserve">examinadas por este Centro Directivo, </w:t>
      </w:r>
      <w:r w:rsidRPr="00021D75">
        <w:rPr>
          <w:rFonts w:ascii="Arial" w:hAnsi="Arial" w:cs="Arial"/>
        </w:rPr>
        <w:t>se aprecia</w:t>
      </w:r>
      <w:r w:rsidR="007F2D4E">
        <w:rPr>
          <w:rFonts w:ascii="Arial" w:hAnsi="Arial" w:cs="Arial"/>
        </w:rPr>
        <w:t xml:space="preserve"> que se solicitan </w:t>
      </w:r>
      <w:r w:rsidRPr="00021D75">
        <w:rPr>
          <w:rFonts w:ascii="Arial" w:hAnsi="Arial" w:cs="Arial"/>
        </w:rPr>
        <w:t xml:space="preserve">todo tipo de informes, </w:t>
      </w:r>
      <w:r w:rsidR="007F2D4E">
        <w:rPr>
          <w:rFonts w:ascii="Arial" w:hAnsi="Arial" w:cs="Arial"/>
        </w:rPr>
        <w:t>se realizan consultas públicas, etc</w:t>
      </w:r>
      <w:r w:rsidRPr="00021D75">
        <w:rPr>
          <w:rFonts w:ascii="Arial" w:hAnsi="Arial" w:cs="Arial"/>
        </w:rPr>
        <w:t xml:space="preserve">, </w:t>
      </w:r>
      <w:r w:rsidR="007F2D4E">
        <w:rPr>
          <w:rFonts w:ascii="Arial" w:hAnsi="Arial" w:cs="Arial"/>
        </w:rPr>
        <w:t xml:space="preserve">todas ellas no exigibles de acuerdo con el artículo, pero valoradas por el órgano gestor como </w:t>
      </w:r>
      <w:r w:rsidRPr="00021D75">
        <w:rPr>
          <w:rFonts w:ascii="Arial" w:hAnsi="Arial" w:cs="Arial"/>
        </w:rPr>
        <w:t>necesarias para tramitar el procedimiento correspondiente.</w:t>
      </w:r>
    </w:p>
    <w:p w:rsidR="00980943" w:rsidRPr="00CB1A8E" w:rsidRDefault="007F2D4E" w:rsidP="005C2AF0">
      <w:pPr>
        <w:jc w:val="both"/>
        <w:rPr>
          <w:rFonts w:ascii="Arial" w:hAnsi="Arial" w:cs="Arial"/>
        </w:rPr>
      </w:pPr>
      <w:r>
        <w:rPr>
          <w:rFonts w:ascii="Arial" w:hAnsi="Arial" w:cs="Arial"/>
        </w:rPr>
        <w:t>Por lo que se refiere a la referencia a los Acuerdos de Consejo de Gobierno y al informe del artículo 4.6</w:t>
      </w:r>
      <w:r w:rsidR="00CB1A8E">
        <w:rPr>
          <w:rFonts w:ascii="Arial" w:hAnsi="Arial" w:cs="Arial"/>
        </w:rPr>
        <w:t xml:space="preserve"> de la Ley 2/1995</w:t>
      </w:r>
      <w:r>
        <w:rPr>
          <w:rFonts w:ascii="Arial" w:hAnsi="Arial" w:cs="Arial"/>
        </w:rPr>
        <w:t xml:space="preserve">, debe tenerse en cuenta que se trata de procedimientos de concesión directa y </w:t>
      </w:r>
      <w:r w:rsidR="00CB1A8E">
        <w:rPr>
          <w:rFonts w:ascii="Arial" w:hAnsi="Arial" w:cs="Arial"/>
        </w:rPr>
        <w:t>que,</w:t>
      </w:r>
      <w:r>
        <w:rPr>
          <w:rFonts w:ascii="Arial" w:hAnsi="Arial" w:cs="Arial"/>
        </w:rPr>
        <w:t xml:space="preserve"> en el caso de financiación estatal, en los </w:t>
      </w:r>
      <w:r w:rsidR="00CB1A8E">
        <w:rPr>
          <w:rFonts w:ascii="Arial" w:hAnsi="Arial" w:cs="Arial"/>
        </w:rPr>
        <w:t>que por parte del Estado se ha</w:t>
      </w:r>
      <w:r>
        <w:rPr>
          <w:rFonts w:ascii="Arial" w:hAnsi="Arial" w:cs="Arial"/>
        </w:rPr>
        <w:t xml:space="preserve"> determinado la aplicación de este procedimiento, debe valorarse la existencia de un artículo específico para las subvenciones gestionadas </w:t>
      </w:r>
      <w:r w:rsidR="006A7603">
        <w:rPr>
          <w:rFonts w:ascii="Arial" w:hAnsi="Arial" w:cs="Arial"/>
        </w:rPr>
        <w:t xml:space="preserve">en la </w:t>
      </w:r>
      <w:r w:rsidR="00CB1A8E">
        <w:rPr>
          <w:rFonts w:ascii="Arial" w:hAnsi="Arial" w:cs="Arial"/>
        </w:rPr>
        <w:t xml:space="preserve">Ley de presupuestos, actualmente el artículo 60 de la </w:t>
      </w:r>
      <w:r w:rsidR="00CB1A8E" w:rsidRPr="00CB1A8E">
        <w:rPr>
          <w:rFonts w:ascii="Arial" w:hAnsi="Arial" w:cs="Arial"/>
          <w:i/>
        </w:rPr>
        <w:t>Ley 9/2018, de 26 de diciembre, de Presupuestos Generales de la Comunidad de Madrid para el año 2019</w:t>
      </w:r>
      <w:r w:rsidR="00CB1A8E">
        <w:rPr>
          <w:rFonts w:ascii="Arial" w:hAnsi="Arial" w:cs="Arial"/>
          <w:i/>
        </w:rPr>
        <w:t xml:space="preserve">, </w:t>
      </w:r>
      <w:r w:rsidR="00CB1A8E">
        <w:rPr>
          <w:rFonts w:ascii="Arial" w:hAnsi="Arial" w:cs="Arial"/>
        </w:rPr>
        <w:t>prorrogados.</w:t>
      </w:r>
    </w:p>
    <w:p w:rsidR="00980943" w:rsidRPr="00021D75" w:rsidRDefault="006A7603" w:rsidP="005C2AF0">
      <w:pPr>
        <w:jc w:val="both"/>
        <w:rPr>
          <w:rFonts w:ascii="Arial" w:hAnsi="Arial" w:cs="Arial"/>
        </w:rPr>
      </w:pPr>
      <w:r>
        <w:rPr>
          <w:rFonts w:ascii="Arial" w:hAnsi="Arial" w:cs="Arial"/>
        </w:rPr>
        <w:t xml:space="preserve">Se incluye también una consulta sobre </w:t>
      </w:r>
      <w:r w:rsidRPr="006A7603">
        <w:rPr>
          <w:rFonts w:ascii="Arial" w:hAnsi="Arial" w:cs="Arial"/>
        </w:rPr>
        <w:t>si es posible modificar unas bases ya existentes cuyo objeto sean ayudas que no se financien con fondos europeos introduciendo la financiación por alguno de estos fondos e incluyendo la convocatoria, de manera que parte de dichas bases tendría vocación de permanencia y otra parte no. En este caso, además, cuál sería el procedimiento que se debería seguir para su tramitación.</w:t>
      </w:r>
      <w:r w:rsidR="00CB1A8E">
        <w:rPr>
          <w:rFonts w:ascii="Arial" w:hAnsi="Arial" w:cs="Arial"/>
        </w:rPr>
        <w:t xml:space="preserve"> </w:t>
      </w:r>
      <w:r w:rsidR="00980943" w:rsidRPr="00021D75">
        <w:rPr>
          <w:rFonts w:ascii="Arial" w:hAnsi="Arial" w:cs="Arial"/>
        </w:rPr>
        <w:t xml:space="preserve"> </w:t>
      </w:r>
    </w:p>
    <w:p w:rsidR="00CB1A8E" w:rsidRDefault="00CB1A8E" w:rsidP="005C2AF0">
      <w:pPr>
        <w:jc w:val="both"/>
        <w:rPr>
          <w:rFonts w:ascii="Arial" w:hAnsi="Arial" w:cs="Arial"/>
        </w:rPr>
      </w:pPr>
      <w:r>
        <w:rPr>
          <w:rFonts w:ascii="Arial" w:hAnsi="Arial" w:cs="Arial"/>
        </w:rPr>
        <w:t>Respecto a este apartado únicamente se puede señalar que si la base reguladora está aprobada como disposición de carácter general, la modificación parcial de su articulado, no alteraría tal condición. El contenido propio de las bases reguladoras como normas de carácter general permite la tramitación de varias convocatorias, dependiendo del detalle de la regulación. Siendo la financiación contenido propio de la convocatoria, se desconoce el supuesto que se plantea en la consulta.</w:t>
      </w:r>
    </w:p>
    <w:p w:rsidR="00CB1A8E" w:rsidRDefault="00CB1A8E" w:rsidP="005C2AF0">
      <w:pPr>
        <w:jc w:val="both"/>
        <w:rPr>
          <w:rFonts w:ascii="Arial" w:hAnsi="Arial" w:cs="Arial"/>
        </w:rPr>
      </w:pPr>
      <w:r>
        <w:rPr>
          <w:rFonts w:ascii="Arial" w:hAnsi="Arial" w:cs="Arial"/>
        </w:rPr>
        <w:t>Los diferentes fondos que forman parte del Instrumento condicionan la gestión y cada uno de los componentes tiene singularidades que también afectan a la posibilidad de aplicar el RDL 36/2020.</w:t>
      </w:r>
    </w:p>
    <w:p w:rsidR="007D7C5C" w:rsidRPr="00021D75" w:rsidRDefault="006A7603" w:rsidP="005C2AF0">
      <w:pPr>
        <w:jc w:val="both"/>
        <w:rPr>
          <w:rFonts w:ascii="Arial" w:hAnsi="Arial" w:cs="Arial"/>
        </w:rPr>
      </w:pPr>
      <w:r>
        <w:rPr>
          <w:rFonts w:ascii="Arial" w:hAnsi="Arial" w:cs="Arial"/>
        </w:rPr>
        <w:t>B</w:t>
      </w:r>
      <w:r w:rsidR="007030F8" w:rsidRPr="00021D75">
        <w:rPr>
          <w:rFonts w:ascii="Arial" w:hAnsi="Arial" w:cs="Arial"/>
        </w:rPr>
        <w:t>- Procedimiento de concurrencia no competitiva</w:t>
      </w:r>
    </w:p>
    <w:p w:rsidR="006A7603" w:rsidRDefault="003D1408" w:rsidP="005C2AF0">
      <w:pPr>
        <w:jc w:val="both"/>
        <w:rPr>
          <w:rFonts w:ascii="Arial" w:hAnsi="Arial" w:cs="Arial"/>
        </w:rPr>
      </w:pPr>
      <w:r w:rsidRPr="00021D75">
        <w:rPr>
          <w:rFonts w:ascii="Arial" w:hAnsi="Arial" w:cs="Arial"/>
        </w:rPr>
        <w:t xml:space="preserve">La consulta parte de la asimilación del procedimiento de concurrencia no competitiva, </w:t>
      </w:r>
      <w:r w:rsidR="00CB1A8E">
        <w:rPr>
          <w:rFonts w:ascii="Arial" w:hAnsi="Arial" w:cs="Arial"/>
        </w:rPr>
        <w:t>(</w:t>
      </w:r>
      <w:r w:rsidRPr="00021D75">
        <w:rPr>
          <w:rFonts w:ascii="Arial" w:hAnsi="Arial" w:cs="Arial"/>
        </w:rPr>
        <w:t>previsto  de forma novedosa por el artículo 62 del RDL</w:t>
      </w:r>
      <w:r w:rsidR="00CB1A8E">
        <w:rPr>
          <w:rFonts w:ascii="Arial" w:hAnsi="Arial" w:cs="Arial"/>
        </w:rPr>
        <w:t xml:space="preserve"> 36/2020)</w:t>
      </w:r>
      <w:r w:rsidRPr="00021D75">
        <w:rPr>
          <w:rFonts w:ascii="Arial" w:hAnsi="Arial" w:cs="Arial"/>
        </w:rPr>
        <w:t xml:space="preserve">, a los ya existentes derivados de la aplicación de la normativa de subvenciones, lo que </w:t>
      </w:r>
      <w:r w:rsidR="006A7603">
        <w:rPr>
          <w:rFonts w:ascii="Arial" w:hAnsi="Arial" w:cs="Arial"/>
        </w:rPr>
        <w:t xml:space="preserve">parece generar </w:t>
      </w:r>
      <w:r w:rsidRPr="00021D75">
        <w:rPr>
          <w:rFonts w:ascii="Arial" w:hAnsi="Arial" w:cs="Arial"/>
        </w:rPr>
        <w:t>cierta confusión</w:t>
      </w:r>
      <w:r w:rsidR="006A7603">
        <w:rPr>
          <w:rFonts w:ascii="Arial" w:hAnsi="Arial" w:cs="Arial"/>
        </w:rPr>
        <w:t>.</w:t>
      </w:r>
    </w:p>
    <w:p w:rsidR="006A7603" w:rsidRDefault="006A7603" w:rsidP="005C2AF0">
      <w:pPr>
        <w:jc w:val="both"/>
        <w:rPr>
          <w:rFonts w:ascii="Arial" w:hAnsi="Arial" w:cs="Arial"/>
        </w:rPr>
      </w:pPr>
      <w:r>
        <w:rPr>
          <w:rFonts w:ascii="Arial" w:hAnsi="Arial" w:cs="Arial"/>
        </w:rPr>
        <w:t>El procedimiento previsto por el RDL 36/2020</w:t>
      </w:r>
      <w:r w:rsidR="003D1408" w:rsidRPr="00021D75">
        <w:rPr>
          <w:rFonts w:ascii="Arial" w:hAnsi="Arial" w:cs="Arial"/>
        </w:rPr>
        <w:t xml:space="preserve">, </w:t>
      </w:r>
      <w:r>
        <w:rPr>
          <w:rFonts w:ascii="Arial" w:hAnsi="Arial" w:cs="Arial"/>
        </w:rPr>
        <w:t xml:space="preserve">es diferente de los previstos en la normativa de subvenciones, que también resultan aplicables a algunas líneas de ayuda, conforme disponga el Estado. </w:t>
      </w:r>
    </w:p>
    <w:p w:rsidR="003D1408" w:rsidRPr="00021D75" w:rsidRDefault="006A7603" w:rsidP="005C2AF0">
      <w:pPr>
        <w:jc w:val="both"/>
        <w:rPr>
          <w:rFonts w:ascii="Arial" w:hAnsi="Arial" w:cs="Arial"/>
        </w:rPr>
      </w:pPr>
      <w:r>
        <w:rPr>
          <w:rFonts w:ascii="Arial" w:hAnsi="Arial" w:cs="Arial"/>
        </w:rPr>
        <w:t xml:space="preserve">El nuevo procedimiento presenta </w:t>
      </w:r>
      <w:r w:rsidR="003D1408" w:rsidRPr="00021D75">
        <w:rPr>
          <w:rFonts w:ascii="Arial" w:hAnsi="Arial" w:cs="Arial"/>
        </w:rPr>
        <w:t xml:space="preserve">características </w:t>
      </w:r>
      <w:r>
        <w:rPr>
          <w:rFonts w:ascii="Arial" w:hAnsi="Arial" w:cs="Arial"/>
        </w:rPr>
        <w:t xml:space="preserve">que </w:t>
      </w:r>
      <w:r w:rsidR="003D1408" w:rsidRPr="00021D75">
        <w:rPr>
          <w:rFonts w:ascii="Arial" w:hAnsi="Arial" w:cs="Arial"/>
        </w:rPr>
        <w:t xml:space="preserve">incluyen elementos de los procedimientos de concurrencia competitiva y de </w:t>
      </w:r>
      <w:r>
        <w:rPr>
          <w:rFonts w:ascii="Arial" w:hAnsi="Arial" w:cs="Arial"/>
        </w:rPr>
        <w:t xml:space="preserve">los de </w:t>
      </w:r>
      <w:r w:rsidR="003D1408" w:rsidRPr="00021D75">
        <w:rPr>
          <w:rFonts w:ascii="Arial" w:hAnsi="Arial" w:cs="Arial"/>
        </w:rPr>
        <w:t>concesión directa.</w:t>
      </w:r>
    </w:p>
    <w:p w:rsidR="003D1408" w:rsidRPr="00021D75" w:rsidRDefault="003D1408" w:rsidP="005C2AF0">
      <w:pPr>
        <w:jc w:val="both"/>
        <w:rPr>
          <w:rFonts w:ascii="Arial" w:hAnsi="Arial" w:cs="Arial"/>
        </w:rPr>
      </w:pPr>
      <w:r w:rsidRPr="00021D75">
        <w:rPr>
          <w:rFonts w:ascii="Arial" w:hAnsi="Arial" w:cs="Arial"/>
        </w:rPr>
        <w:t xml:space="preserve">Los procedimientos especiales </w:t>
      </w:r>
      <w:r w:rsidR="006A7603">
        <w:rPr>
          <w:rFonts w:ascii="Arial" w:hAnsi="Arial" w:cs="Arial"/>
        </w:rPr>
        <w:t xml:space="preserve">habituales </w:t>
      </w:r>
      <w:r w:rsidRPr="00021D75">
        <w:rPr>
          <w:rFonts w:ascii="Arial" w:hAnsi="Arial" w:cs="Arial"/>
        </w:rPr>
        <w:t xml:space="preserve">previstos en </w:t>
      </w:r>
      <w:r w:rsidR="00876CAF" w:rsidRPr="00021D75">
        <w:rPr>
          <w:rFonts w:ascii="Arial" w:hAnsi="Arial" w:cs="Arial"/>
        </w:rPr>
        <w:t>la normativa de subvenciones, se basan en el mismo esquema del pro</w:t>
      </w:r>
      <w:r w:rsidRPr="00021D75">
        <w:rPr>
          <w:rFonts w:ascii="Arial" w:hAnsi="Arial" w:cs="Arial"/>
        </w:rPr>
        <w:t>ce</w:t>
      </w:r>
      <w:r w:rsidR="005F32FB">
        <w:rPr>
          <w:rFonts w:ascii="Arial" w:hAnsi="Arial" w:cs="Arial"/>
        </w:rPr>
        <w:t>dimiento administrativo general, pero</w:t>
      </w:r>
      <w:r w:rsidR="006A7603" w:rsidRPr="006A7603">
        <w:rPr>
          <w:rFonts w:ascii="Arial" w:hAnsi="Arial" w:cs="Arial"/>
        </w:rPr>
        <w:t xml:space="preserve"> </w:t>
      </w:r>
      <w:r w:rsidR="006A7603" w:rsidRPr="00021D75">
        <w:rPr>
          <w:rFonts w:ascii="Arial" w:hAnsi="Arial" w:cs="Arial"/>
        </w:rPr>
        <w:t>recogen particularidades e</w:t>
      </w:r>
      <w:r w:rsidR="005F32FB">
        <w:rPr>
          <w:rFonts w:ascii="Arial" w:hAnsi="Arial" w:cs="Arial"/>
        </w:rPr>
        <w:t>n trámites específicos.</w:t>
      </w:r>
    </w:p>
    <w:p w:rsidR="00876CAF" w:rsidRPr="00021D75" w:rsidRDefault="003D1408" w:rsidP="005C2AF0">
      <w:pPr>
        <w:jc w:val="both"/>
        <w:rPr>
          <w:rFonts w:ascii="Arial" w:hAnsi="Arial" w:cs="Arial"/>
        </w:rPr>
      </w:pPr>
      <w:r w:rsidRPr="00021D75">
        <w:rPr>
          <w:rFonts w:ascii="Arial" w:hAnsi="Arial" w:cs="Arial"/>
        </w:rPr>
        <w:lastRenderedPageBreak/>
        <w:t xml:space="preserve">Así, la concurrencia competitiva, establece un inicio de oficio mediante la Orden del órgano competente, </w:t>
      </w:r>
      <w:r w:rsidR="005F32FB">
        <w:rPr>
          <w:rFonts w:ascii="Arial" w:hAnsi="Arial" w:cs="Arial"/>
        </w:rPr>
        <w:t>(</w:t>
      </w:r>
      <w:r w:rsidRPr="00021D75">
        <w:rPr>
          <w:rFonts w:ascii="Arial" w:hAnsi="Arial" w:cs="Arial"/>
        </w:rPr>
        <w:t>aunque posteriormente existe una fase de solicitud</w:t>
      </w:r>
      <w:r w:rsidR="005F32FB">
        <w:rPr>
          <w:rFonts w:ascii="Arial" w:hAnsi="Arial" w:cs="Arial"/>
        </w:rPr>
        <w:t xml:space="preserve"> de los interesados)</w:t>
      </w:r>
      <w:r w:rsidRPr="00021D75">
        <w:rPr>
          <w:rFonts w:ascii="Arial" w:hAnsi="Arial" w:cs="Arial"/>
        </w:rPr>
        <w:t xml:space="preserve"> y tras la instrucción correspondiente, finaliza mediante una resolución, </w:t>
      </w:r>
      <w:r w:rsidR="00876CAF" w:rsidRPr="00021D75">
        <w:rPr>
          <w:rFonts w:ascii="Arial" w:hAnsi="Arial" w:cs="Arial"/>
        </w:rPr>
        <w:t>(</w:t>
      </w:r>
      <w:r w:rsidRPr="00021D75">
        <w:rPr>
          <w:rFonts w:ascii="Arial" w:hAnsi="Arial" w:cs="Arial"/>
        </w:rPr>
        <w:t>única normalmente</w:t>
      </w:r>
      <w:r w:rsidR="00876CAF" w:rsidRPr="00021D75">
        <w:rPr>
          <w:rFonts w:ascii="Arial" w:hAnsi="Arial" w:cs="Arial"/>
        </w:rPr>
        <w:t>)</w:t>
      </w:r>
      <w:r w:rsidRPr="00021D75">
        <w:rPr>
          <w:rFonts w:ascii="Arial" w:hAnsi="Arial" w:cs="Arial"/>
        </w:rPr>
        <w:t xml:space="preserve">, cuyo contenido está recogido en el Reglamento de subvenciones. </w:t>
      </w:r>
    </w:p>
    <w:p w:rsidR="003D1408" w:rsidRPr="00021D75" w:rsidRDefault="003D1408" w:rsidP="005C2AF0">
      <w:pPr>
        <w:jc w:val="both"/>
        <w:rPr>
          <w:rFonts w:ascii="Arial" w:hAnsi="Arial" w:cs="Arial"/>
        </w:rPr>
      </w:pPr>
      <w:r w:rsidRPr="00021D75">
        <w:rPr>
          <w:rFonts w:ascii="Arial" w:hAnsi="Arial" w:cs="Arial"/>
        </w:rPr>
        <w:t xml:space="preserve">El procedimiento simplificado </w:t>
      </w:r>
      <w:r w:rsidR="005F32FB">
        <w:rPr>
          <w:rFonts w:ascii="Arial" w:hAnsi="Arial" w:cs="Arial"/>
        </w:rPr>
        <w:t xml:space="preserve">de concurrencia competitiva, no es más que una modalidad del general </w:t>
      </w:r>
      <w:r w:rsidR="00015091" w:rsidRPr="00021D75">
        <w:rPr>
          <w:rFonts w:ascii="Arial" w:hAnsi="Arial" w:cs="Arial"/>
        </w:rPr>
        <w:t xml:space="preserve">que permite actuar sin órgano colegiado, pero el inicio y la terminación </w:t>
      </w:r>
      <w:r w:rsidR="00876CAF" w:rsidRPr="00021D75">
        <w:rPr>
          <w:rFonts w:ascii="Arial" w:hAnsi="Arial" w:cs="Arial"/>
        </w:rPr>
        <w:t>no varían.</w:t>
      </w:r>
      <w:r w:rsidRPr="00021D75">
        <w:rPr>
          <w:rFonts w:ascii="Arial" w:hAnsi="Arial" w:cs="Arial"/>
        </w:rPr>
        <w:t xml:space="preserve"> </w:t>
      </w:r>
    </w:p>
    <w:p w:rsidR="003D1408" w:rsidRPr="00021D75" w:rsidRDefault="003D1408" w:rsidP="005C2AF0">
      <w:pPr>
        <w:jc w:val="both"/>
        <w:rPr>
          <w:rFonts w:ascii="Arial" w:hAnsi="Arial" w:cs="Arial"/>
        </w:rPr>
      </w:pPr>
      <w:r w:rsidRPr="00021D75">
        <w:rPr>
          <w:rFonts w:ascii="Arial" w:hAnsi="Arial" w:cs="Arial"/>
        </w:rPr>
        <w:t>En el caso de las subvenciones directas, el inicio de los procedimientos se produce con la solicitud de</w:t>
      </w:r>
      <w:r w:rsidR="00876CAF" w:rsidRPr="00021D75">
        <w:rPr>
          <w:rFonts w:ascii="Arial" w:hAnsi="Arial" w:cs="Arial"/>
        </w:rPr>
        <w:t xml:space="preserve"> los interesados</w:t>
      </w:r>
      <w:r w:rsidRPr="00021D75">
        <w:rPr>
          <w:rFonts w:ascii="Arial" w:hAnsi="Arial" w:cs="Arial"/>
        </w:rPr>
        <w:t>, instruyendo y resolviendo la Administración</w:t>
      </w:r>
      <w:r w:rsidR="00015091" w:rsidRPr="00021D75">
        <w:rPr>
          <w:rFonts w:ascii="Arial" w:hAnsi="Arial" w:cs="Arial"/>
        </w:rPr>
        <w:t xml:space="preserve">, </w:t>
      </w:r>
      <w:r w:rsidRPr="00021D75">
        <w:rPr>
          <w:rFonts w:ascii="Arial" w:hAnsi="Arial" w:cs="Arial"/>
        </w:rPr>
        <w:t xml:space="preserve">de </w:t>
      </w:r>
      <w:r w:rsidR="005F32FB">
        <w:rPr>
          <w:rFonts w:ascii="Arial" w:hAnsi="Arial" w:cs="Arial"/>
        </w:rPr>
        <w:t>forma individual (sin perjuicio de los supuestos de acumulación regulados en la Ley 39/2015)</w:t>
      </w:r>
    </w:p>
    <w:p w:rsidR="003D1408" w:rsidRPr="00021D75" w:rsidRDefault="00015091" w:rsidP="005C2AF0">
      <w:pPr>
        <w:jc w:val="both"/>
        <w:rPr>
          <w:rFonts w:ascii="Arial" w:hAnsi="Arial" w:cs="Arial"/>
        </w:rPr>
      </w:pPr>
      <w:r w:rsidRPr="00021D75">
        <w:rPr>
          <w:rFonts w:ascii="Arial" w:hAnsi="Arial" w:cs="Arial"/>
        </w:rPr>
        <w:t xml:space="preserve">La concurrencia no competitiva es un procedimiento </w:t>
      </w:r>
      <w:r w:rsidR="00876CAF" w:rsidRPr="00021D75">
        <w:rPr>
          <w:rFonts w:ascii="Arial" w:hAnsi="Arial" w:cs="Arial"/>
        </w:rPr>
        <w:t xml:space="preserve">especial </w:t>
      </w:r>
      <w:r w:rsidRPr="00021D75">
        <w:rPr>
          <w:rFonts w:ascii="Arial" w:hAnsi="Arial" w:cs="Arial"/>
        </w:rPr>
        <w:t xml:space="preserve">cuya </w:t>
      </w:r>
      <w:r w:rsidR="00876CAF" w:rsidRPr="00021D75">
        <w:rPr>
          <w:rFonts w:ascii="Arial" w:hAnsi="Arial" w:cs="Arial"/>
        </w:rPr>
        <w:t xml:space="preserve">posibilidad de </w:t>
      </w:r>
      <w:r w:rsidR="005F32FB">
        <w:rPr>
          <w:rFonts w:ascii="Arial" w:hAnsi="Arial" w:cs="Arial"/>
        </w:rPr>
        <w:t>aplicación deriva del artículo 62 del RDL 36/2020</w:t>
      </w:r>
      <w:r w:rsidRPr="00021D75">
        <w:rPr>
          <w:rFonts w:ascii="Arial" w:hAnsi="Arial" w:cs="Arial"/>
        </w:rPr>
        <w:t xml:space="preserve">, que </w:t>
      </w:r>
      <w:r w:rsidR="005F32FB">
        <w:rPr>
          <w:rFonts w:ascii="Arial" w:hAnsi="Arial" w:cs="Arial"/>
        </w:rPr>
        <w:t xml:space="preserve">es el que </w:t>
      </w:r>
      <w:r w:rsidR="00876CAF" w:rsidRPr="00021D75">
        <w:rPr>
          <w:rFonts w:ascii="Arial" w:hAnsi="Arial" w:cs="Arial"/>
        </w:rPr>
        <w:t>establece sus particularidades</w:t>
      </w:r>
      <w:r w:rsidR="00CB1A8E">
        <w:rPr>
          <w:rFonts w:ascii="Arial" w:hAnsi="Arial" w:cs="Arial"/>
        </w:rPr>
        <w:t xml:space="preserve"> tanto relativas a los supuestos generales a los que se aplica como al procedimiento</w:t>
      </w:r>
      <w:r w:rsidR="00876CAF" w:rsidRPr="00021D75">
        <w:rPr>
          <w:rFonts w:ascii="Arial" w:hAnsi="Arial" w:cs="Arial"/>
        </w:rPr>
        <w:t>, es decir, d</w:t>
      </w:r>
      <w:r w:rsidRPr="00021D75">
        <w:rPr>
          <w:rFonts w:ascii="Arial" w:hAnsi="Arial" w:cs="Arial"/>
        </w:rPr>
        <w:t>e</w:t>
      </w:r>
      <w:r w:rsidR="006915B9">
        <w:rPr>
          <w:rFonts w:ascii="Arial" w:hAnsi="Arial" w:cs="Arial"/>
        </w:rPr>
        <w:t>te</w:t>
      </w:r>
      <w:r w:rsidRPr="00021D75">
        <w:rPr>
          <w:rFonts w:ascii="Arial" w:hAnsi="Arial" w:cs="Arial"/>
        </w:rPr>
        <w:t xml:space="preserve">rmina una forma de inicio de oficio, mediante </w:t>
      </w:r>
      <w:r w:rsidR="00876CAF" w:rsidRPr="00021D75">
        <w:rPr>
          <w:rFonts w:ascii="Arial" w:hAnsi="Arial" w:cs="Arial"/>
        </w:rPr>
        <w:t>convocatoria,</w:t>
      </w:r>
      <w:r w:rsidR="005F32FB">
        <w:rPr>
          <w:rFonts w:ascii="Arial" w:hAnsi="Arial" w:cs="Arial"/>
        </w:rPr>
        <w:t xml:space="preserve"> (como en las concurrencias competitivas, remitiendo el Estado en muchos casos al artículo 23 para determinar su contenido por analogía) </w:t>
      </w:r>
      <w:r w:rsidRPr="00021D75">
        <w:rPr>
          <w:rFonts w:ascii="Arial" w:hAnsi="Arial" w:cs="Arial"/>
        </w:rPr>
        <w:t xml:space="preserve"> pero permite que el procedimiento finalic</w:t>
      </w:r>
      <w:r w:rsidR="00876CAF" w:rsidRPr="00021D75">
        <w:rPr>
          <w:rFonts w:ascii="Arial" w:hAnsi="Arial" w:cs="Arial"/>
        </w:rPr>
        <w:t>e mediante una pluralidad de resoluciones de concesión por orden de presentación de solicitudes.</w:t>
      </w:r>
    </w:p>
    <w:p w:rsidR="00BE58C2" w:rsidRPr="00021D75" w:rsidRDefault="00876CAF" w:rsidP="005C2AF0">
      <w:pPr>
        <w:jc w:val="both"/>
        <w:rPr>
          <w:rFonts w:ascii="Arial" w:hAnsi="Arial" w:cs="Arial"/>
        </w:rPr>
      </w:pPr>
      <w:r w:rsidRPr="00021D75">
        <w:rPr>
          <w:rFonts w:ascii="Arial" w:hAnsi="Arial" w:cs="Arial"/>
        </w:rPr>
        <w:t xml:space="preserve">Las posibilidades de aplicación de este procedimiento dependerán de lo que establezca el Estado para el caso concreto y </w:t>
      </w:r>
      <w:r w:rsidR="00CB1A8E">
        <w:rPr>
          <w:rFonts w:ascii="Arial" w:hAnsi="Arial" w:cs="Arial"/>
        </w:rPr>
        <w:t>pudiendo dar lugar a varias modalidades</w:t>
      </w:r>
      <w:r w:rsidRPr="00021D75">
        <w:rPr>
          <w:rFonts w:ascii="Arial" w:hAnsi="Arial" w:cs="Arial"/>
        </w:rPr>
        <w:t xml:space="preserve">, </w:t>
      </w:r>
      <w:r w:rsidR="00CB1A8E">
        <w:rPr>
          <w:rFonts w:ascii="Arial" w:hAnsi="Arial" w:cs="Arial"/>
        </w:rPr>
        <w:t>(</w:t>
      </w:r>
      <w:r w:rsidRPr="00021D75">
        <w:rPr>
          <w:rFonts w:ascii="Arial" w:hAnsi="Arial" w:cs="Arial"/>
        </w:rPr>
        <w:t>por lo que lleva regulado hast</w:t>
      </w:r>
      <w:r w:rsidR="005F32FB">
        <w:rPr>
          <w:rFonts w:ascii="Arial" w:hAnsi="Arial" w:cs="Arial"/>
        </w:rPr>
        <w:t xml:space="preserve">a el momento, no dan lugar a un único tipo </w:t>
      </w:r>
      <w:r w:rsidRPr="00021D75">
        <w:rPr>
          <w:rFonts w:ascii="Arial" w:hAnsi="Arial" w:cs="Arial"/>
        </w:rPr>
        <w:t>de e</w:t>
      </w:r>
      <w:r w:rsidR="00BE58C2" w:rsidRPr="00021D75">
        <w:rPr>
          <w:rFonts w:ascii="Arial" w:hAnsi="Arial" w:cs="Arial"/>
        </w:rPr>
        <w:t>xpediente</w:t>
      </w:r>
      <w:r w:rsidR="00CB1A8E">
        <w:rPr>
          <w:rFonts w:ascii="Arial" w:hAnsi="Arial" w:cs="Arial"/>
        </w:rPr>
        <w:t>)</w:t>
      </w:r>
      <w:r w:rsidR="00BE58C2" w:rsidRPr="00021D75">
        <w:rPr>
          <w:rFonts w:ascii="Arial" w:hAnsi="Arial" w:cs="Arial"/>
        </w:rPr>
        <w:t xml:space="preserve">, especialmente por la exigencia de convocatorias únicas con plazos de presentación de solicitudes abiertos a lo largo de varios ejercicios </w:t>
      </w:r>
      <w:r w:rsidR="00CB1A8E">
        <w:rPr>
          <w:rFonts w:ascii="Arial" w:hAnsi="Arial" w:cs="Arial"/>
        </w:rPr>
        <w:t>con ap</w:t>
      </w:r>
      <w:r w:rsidR="006915B9">
        <w:rPr>
          <w:rFonts w:ascii="Arial" w:hAnsi="Arial" w:cs="Arial"/>
        </w:rPr>
        <w:t>licación de diferentes distribu</w:t>
      </w:r>
      <w:r w:rsidR="00CB1A8E">
        <w:rPr>
          <w:rFonts w:ascii="Arial" w:hAnsi="Arial" w:cs="Arial"/>
        </w:rPr>
        <w:t>ciones de gasto.</w:t>
      </w:r>
    </w:p>
    <w:p w:rsidR="00BE58C2" w:rsidRPr="00021D75" w:rsidRDefault="00BE58C2" w:rsidP="005C2AF0">
      <w:pPr>
        <w:jc w:val="both"/>
        <w:rPr>
          <w:rFonts w:ascii="Arial" w:hAnsi="Arial" w:cs="Arial"/>
        </w:rPr>
      </w:pPr>
      <w:r w:rsidRPr="00021D75">
        <w:rPr>
          <w:rFonts w:ascii="Arial" w:hAnsi="Arial" w:cs="Arial"/>
        </w:rPr>
        <w:t>Es por ello, que con carácter general solo se puede concluir que el procedimiento es especial y diferente a los previstos por la normativa de subvenciones y que su aplicación</w:t>
      </w:r>
      <w:r w:rsidR="002A1553" w:rsidRPr="00021D75">
        <w:rPr>
          <w:rFonts w:ascii="Arial" w:hAnsi="Arial" w:cs="Arial"/>
        </w:rPr>
        <w:t>, en los términos establecidos en el artículo 62</w:t>
      </w:r>
      <w:r w:rsidRPr="00021D75">
        <w:rPr>
          <w:rFonts w:ascii="Arial" w:hAnsi="Arial" w:cs="Arial"/>
        </w:rPr>
        <w:t xml:space="preserve"> dependerá de las condiciones </w:t>
      </w:r>
      <w:r w:rsidR="005F32FB">
        <w:rPr>
          <w:rFonts w:ascii="Arial" w:hAnsi="Arial" w:cs="Arial"/>
        </w:rPr>
        <w:t xml:space="preserve">fijadas </w:t>
      </w:r>
      <w:r w:rsidRPr="00021D75">
        <w:rPr>
          <w:rFonts w:ascii="Arial" w:hAnsi="Arial" w:cs="Arial"/>
        </w:rPr>
        <w:t>por el Estado para el caso concreto.</w:t>
      </w:r>
    </w:p>
    <w:p w:rsidR="00022105" w:rsidRPr="00CB1A8E" w:rsidRDefault="002A1553" w:rsidP="005C2AF0">
      <w:pPr>
        <w:jc w:val="both"/>
        <w:rPr>
          <w:rFonts w:ascii="Arial" w:hAnsi="Arial" w:cs="Arial"/>
        </w:rPr>
      </w:pPr>
      <w:r w:rsidRPr="00021D75">
        <w:rPr>
          <w:rFonts w:ascii="Arial" w:hAnsi="Arial" w:cs="Arial"/>
        </w:rPr>
        <w:t>Por lo que se refiere al órgano competente para la aprobación de las bases, tratándose de un procedimiento nuevo y diferente, se puede considerar de aplicación supletoria el apartado segundo</w:t>
      </w:r>
      <w:r w:rsidR="005F32FB">
        <w:rPr>
          <w:rFonts w:ascii="Arial" w:hAnsi="Arial" w:cs="Arial"/>
        </w:rPr>
        <w:t xml:space="preserve"> del artículo</w:t>
      </w:r>
      <w:r w:rsidRPr="00021D75">
        <w:rPr>
          <w:rFonts w:ascii="Arial" w:hAnsi="Arial" w:cs="Arial"/>
        </w:rPr>
        <w:t>, de acuerdo con el criterio del servicio jurídico, da</w:t>
      </w:r>
      <w:r w:rsidR="005F32FB">
        <w:rPr>
          <w:rFonts w:ascii="Arial" w:hAnsi="Arial" w:cs="Arial"/>
        </w:rPr>
        <w:t>da su ubicación en el Título IV.</w:t>
      </w:r>
    </w:p>
    <w:p w:rsidR="00022105" w:rsidRDefault="005F32FB" w:rsidP="005C2AF0">
      <w:pPr>
        <w:jc w:val="both"/>
        <w:rPr>
          <w:rFonts w:ascii="Arial" w:hAnsi="Arial" w:cs="Arial"/>
        </w:rPr>
      </w:pPr>
      <w:r>
        <w:rPr>
          <w:rFonts w:ascii="Arial" w:hAnsi="Arial" w:cs="Arial"/>
        </w:rPr>
        <w:t xml:space="preserve">Sobre la aplicación de las previsiones del RDL </w:t>
      </w:r>
      <w:r w:rsidR="00CB1A8E">
        <w:rPr>
          <w:rFonts w:ascii="Arial" w:hAnsi="Arial" w:cs="Arial"/>
        </w:rPr>
        <w:t xml:space="preserve">36/2020 </w:t>
      </w:r>
      <w:r>
        <w:rPr>
          <w:rFonts w:ascii="Arial" w:hAnsi="Arial" w:cs="Arial"/>
        </w:rPr>
        <w:t>en caso de financiación mixta, s</w:t>
      </w:r>
      <w:r w:rsidR="00022105" w:rsidRPr="00021D75">
        <w:rPr>
          <w:rFonts w:ascii="Arial" w:hAnsi="Arial" w:cs="Arial"/>
        </w:rPr>
        <w:t xml:space="preserve">e remiten los informes de la Asesoría Jurídica, tanto del Estado y de la Comunidad como </w:t>
      </w:r>
      <w:r w:rsidR="002A556C">
        <w:rPr>
          <w:rFonts w:ascii="Arial" w:hAnsi="Arial" w:cs="Arial"/>
        </w:rPr>
        <w:t xml:space="preserve">un </w:t>
      </w:r>
      <w:r w:rsidR="00022105" w:rsidRPr="00021D75">
        <w:rPr>
          <w:rFonts w:ascii="Arial" w:hAnsi="Arial" w:cs="Arial"/>
        </w:rPr>
        <w:t xml:space="preserve"> informe de la IGAE, que aunque se emiten para dar solución a un tema de competencia, entra a determinar si se aplica o no el RDL en los diferentes supuestos dependiendo de la financiación.</w:t>
      </w:r>
    </w:p>
    <w:p w:rsidR="002A556C" w:rsidRPr="00021D75" w:rsidRDefault="002A556C" w:rsidP="005C2AF0">
      <w:pPr>
        <w:jc w:val="both"/>
        <w:rPr>
          <w:rFonts w:ascii="Arial" w:hAnsi="Arial" w:cs="Arial"/>
        </w:rPr>
      </w:pPr>
      <w:r>
        <w:rPr>
          <w:rFonts w:ascii="Arial" w:hAnsi="Arial" w:cs="Arial"/>
        </w:rPr>
        <w:t>C. No corresponde a este Centro Directivo dar respuesta a la aplicación o no de la normativa de la Comunidad de Madrid en los convenios subvención. Al tratarse de convenios, el Servicio Jurídico establecerá lo que proceda en su informe.</w:t>
      </w:r>
    </w:p>
    <w:p w:rsidR="00CB1A8E" w:rsidRDefault="00CB1A8E" w:rsidP="00354E23">
      <w:pPr>
        <w:spacing w:after="0"/>
        <w:jc w:val="both"/>
        <w:rPr>
          <w:rFonts w:ascii="Arial" w:hAnsi="Arial" w:cs="Arial"/>
        </w:rPr>
      </w:pPr>
      <w:r>
        <w:rPr>
          <w:rFonts w:ascii="Arial" w:hAnsi="Arial" w:cs="Arial"/>
        </w:rPr>
        <w:t xml:space="preserve">D. </w:t>
      </w:r>
      <w:r w:rsidR="002A556C" w:rsidRPr="00280BCC">
        <w:rPr>
          <w:rFonts w:ascii="Arial" w:hAnsi="Arial" w:cs="Arial"/>
        </w:rPr>
        <w:t xml:space="preserve">Sobre la necesidad o no de elaborar un instrumento de planificación estratégica, </w:t>
      </w:r>
      <w:r>
        <w:rPr>
          <w:rFonts w:ascii="Arial" w:hAnsi="Arial" w:cs="Arial"/>
        </w:rPr>
        <w:t xml:space="preserve">solo puede señalarse como regla general que </w:t>
      </w:r>
      <w:r w:rsidR="002A556C" w:rsidRPr="00280BCC">
        <w:rPr>
          <w:rFonts w:ascii="Arial" w:hAnsi="Arial" w:cs="Arial"/>
        </w:rPr>
        <w:t xml:space="preserve">dependerá del supuesto concreto. </w:t>
      </w:r>
    </w:p>
    <w:p w:rsidR="00354E23" w:rsidRPr="00354E23" w:rsidRDefault="00354E23" w:rsidP="00354E23">
      <w:pPr>
        <w:pStyle w:val="NormalWeb"/>
        <w:spacing w:after="0" w:afterAutospacing="0"/>
        <w:jc w:val="both"/>
        <w:rPr>
          <w:rFonts w:ascii="Tahoma" w:hAnsi="Tahoma" w:cs="Tahoma"/>
          <w:sz w:val="22"/>
          <w:szCs w:val="22"/>
        </w:rPr>
      </w:pPr>
      <w:r w:rsidRPr="00354E23">
        <w:rPr>
          <w:rFonts w:ascii="Arial" w:hAnsi="Arial" w:cs="Arial"/>
          <w:sz w:val="22"/>
          <w:szCs w:val="22"/>
        </w:rPr>
        <w:t xml:space="preserve">En las Bases reguladoras del Estado para la gestión de las ayudas del MRR, en las que somos beneficiarias las CCAA, hemos observado que en la exposición de motivos, y suponemos que también en la Memoria de análisis de impacto normativo (MAIN) de la </w:t>
      </w:r>
      <w:r w:rsidRPr="00354E23">
        <w:rPr>
          <w:rFonts w:ascii="Arial" w:hAnsi="Arial" w:cs="Arial"/>
          <w:sz w:val="22"/>
          <w:szCs w:val="22"/>
        </w:rPr>
        <w:lastRenderedPageBreak/>
        <w:t>norma, se está motivando por qué es necesario establecer esas subvenciones </w:t>
      </w:r>
      <w:r w:rsidRPr="00354E23">
        <w:rPr>
          <w:rStyle w:val="Textoennegrita"/>
          <w:rFonts w:ascii="Arial" w:hAnsi="Arial" w:cs="Arial"/>
          <w:sz w:val="22"/>
          <w:szCs w:val="22"/>
        </w:rPr>
        <w:t>aun no habiendo sido previstas en el PES</w:t>
      </w:r>
      <w:r w:rsidRPr="00354E23">
        <w:rPr>
          <w:rFonts w:ascii="Arial" w:hAnsi="Arial" w:cs="Arial"/>
          <w:sz w:val="22"/>
          <w:szCs w:val="22"/>
        </w:rPr>
        <w:t>.</w:t>
      </w:r>
    </w:p>
    <w:p w:rsidR="00354E23" w:rsidRDefault="00354E23" w:rsidP="00354E23">
      <w:pPr>
        <w:pStyle w:val="NormalWeb"/>
        <w:spacing w:before="0" w:beforeAutospacing="0" w:after="0" w:afterAutospacing="0"/>
        <w:jc w:val="both"/>
        <w:rPr>
          <w:rFonts w:ascii="Arial" w:hAnsi="Arial" w:cs="Arial"/>
          <w:sz w:val="22"/>
          <w:szCs w:val="22"/>
        </w:rPr>
      </w:pPr>
    </w:p>
    <w:p w:rsidR="00354E23" w:rsidRDefault="00354E23" w:rsidP="00354E23">
      <w:pPr>
        <w:pStyle w:val="NormalWeb"/>
        <w:spacing w:before="0" w:beforeAutospacing="0" w:after="0" w:afterAutospacing="0"/>
        <w:jc w:val="both"/>
        <w:rPr>
          <w:rFonts w:ascii="Arial" w:hAnsi="Arial" w:cs="Arial"/>
          <w:sz w:val="22"/>
          <w:szCs w:val="22"/>
        </w:rPr>
      </w:pPr>
      <w:r w:rsidRPr="00354E23">
        <w:rPr>
          <w:rFonts w:ascii="Arial" w:hAnsi="Arial" w:cs="Arial"/>
          <w:sz w:val="22"/>
          <w:szCs w:val="22"/>
        </w:rPr>
        <w:t>En términos semejantes aparece en la Instrucción del Interventor General de la Administración del Estado relativa al alcance y contenido del informe previo a la aprobación de las bases reguladoras de subvenciones que deben emitir las intervenciones delegadas de acuerdo con el artículo 17 de la ley 38/2003.</w:t>
      </w:r>
      <w:r w:rsidRPr="00354E23">
        <w:rPr>
          <w:rFonts w:ascii="Arial" w:hAnsi="Arial" w:cs="Arial"/>
          <w:sz w:val="22"/>
          <w:szCs w:val="22"/>
        </w:rPr>
        <w:br/>
      </w:r>
    </w:p>
    <w:p w:rsidR="00354E23" w:rsidRPr="00354E23" w:rsidRDefault="00354E23" w:rsidP="00354E23">
      <w:pPr>
        <w:pStyle w:val="NormalWeb"/>
        <w:spacing w:before="0" w:beforeAutospacing="0" w:after="0" w:afterAutospacing="0"/>
        <w:jc w:val="both"/>
        <w:rPr>
          <w:rFonts w:ascii="Arial" w:hAnsi="Arial" w:cs="Arial"/>
          <w:sz w:val="22"/>
          <w:szCs w:val="22"/>
        </w:rPr>
      </w:pPr>
      <w:r w:rsidRPr="00354E23">
        <w:rPr>
          <w:rFonts w:ascii="Arial" w:hAnsi="Arial" w:cs="Arial"/>
          <w:sz w:val="22"/>
          <w:szCs w:val="22"/>
        </w:rPr>
        <w:t xml:space="preserve">En otros casos, </w:t>
      </w:r>
      <w:r>
        <w:rPr>
          <w:rFonts w:ascii="Arial" w:hAnsi="Arial" w:cs="Arial"/>
          <w:sz w:val="22"/>
          <w:szCs w:val="22"/>
        </w:rPr>
        <w:t xml:space="preserve">se señala que </w:t>
      </w:r>
      <w:r w:rsidRPr="00354E23">
        <w:rPr>
          <w:rFonts w:ascii="Arial" w:hAnsi="Arial" w:cs="Arial"/>
          <w:sz w:val="22"/>
          <w:szCs w:val="22"/>
        </w:rPr>
        <w:t>la propuesta responde a planes estratégicos sectoriales tramitados o aprobados por el Estado, mientras que en otros se recoge</w:t>
      </w:r>
      <w:r>
        <w:rPr>
          <w:rFonts w:ascii="Arial" w:hAnsi="Arial" w:cs="Arial"/>
          <w:sz w:val="22"/>
          <w:szCs w:val="22"/>
        </w:rPr>
        <w:t xml:space="preserve"> que </w:t>
      </w:r>
      <w:r w:rsidRPr="00354E23">
        <w:rPr>
          <w:rFonts w:ascii="Arial" w:hAnsi="Arial" w:cs="Arial"/>
          <w:sz w:val="22"/>
          <w:szCs w:val="22"/>
        </w:rPr>
        <w:t xml:space="preserve">el propio Plan Nacional funciona como </w:t>
      </w:r>
      <w:r>
        <w:rPr>
          <w:rFonts w:ascii="Arial" w:hAnsi="Arial" w:cs="Arial"/>
          <w:sz w:val="22"/>
          <w:szCs w:val="22"/>
        </w:rPr>
        <w:t xml:space="preserve">PES </w:t>
      </w:r>
      <w:r w:rsidRPr="00354E23">
        <w:rPr>
          <w:rFonts w:ascii="Arial" w:hAnsi="Arial" w:cs="Arial"/>
          <w:sz w:val="22"/>
          <w:szCs w:val="22"/>
        </w:rPr>
        <w:t xml:space="preserve">o </w:t>
      </w:r>
      <w:r>
        <w:rPr>
          <w:rFonts w:ascii="Arial" w:hAnsi="Arial" w:cs="Arial"/>
          <w:sz w:val="22"/>
          <w:szCs w:val="22"/>
        </w:rPr>
        <w:t xml:space="preserve">que </w:t>
      </w:r>
      <w:r w:rsidRPr="00354E23">
        <w:rPr>
          <w:rFonts w:ascii="Arial" w:hAnsi="Arial" w:cs="Arial"/>
          <w:sz w:val="22"/>
          <w:szCs w:val="22"/>
        </w:rPr>
        <w:t xml:space="preserve">la aplicación de la normativa europea, </w:t>
      </w:r>
      <w:r>
        <w:rPr>
          <w:rFonts w:ascii="Arial" w:hAnsi="Arial" w:cs="Arial"/>
          <w:sz w:val="22"/>
          <w:szCs w:val="22"/>
        </w:rPr>
        <w:t xml:space="preserve">que tiene carácter </w:t>
      </w:r>
      <w:r w:rsidRPr="00354E23">
        <w:rPr>
          <w:rFonts w:ascii="Arial" w:hAnsi="Arial" w:cs="Arial"/>
          <w:sz w:val="22"/>
          <w:szCs w:val="22"/>
        </w:rPr>
        <w:t>preferente, establece un procedimiento especial en el que no cabe la tramitación de un plan estratégico.</w:t>
      </w:r>
    </w:p>
    <w:p w:rsidR="00354E23" w:rsidRPr="00354E23" w:rsidRDefault="00354E23" w:rsidP="00354E23">
      <w:pPr>
        <w:pStyle w:val="NormalWeb"/>
        <w:spacing w:after="0" w:afterAutospacing="0"/>
        <w:jc w:val="both"/>
        <w:rPr>
          <w:rFonts w:ascii="Tahoma" w:hAnsi="Tahoma" w:cs="Tahoma"/>
          <w:sz w:val="22"/>
          <w:szCs w:val="22"/>
        </w:rPr>
      </w:pPr>
      <w:r w:rsidRPr="00354E23">
        <w:rPr>
          <w:rFonts w:ascii="Arial" w:hAnsi="Arial" w:cs="Arial"/>
          <w:sz w:val="22"/>
          <w:szCs w:val="22"/>
        </w:rPr>
        <w:t>Siguiendo esa línea, las actuaciones que le corresponden realizar a la Comunidad de Madrid como consecuencia de la financiación procedente del MRR, tienen su origen y están reflejadas en un Plan Estatal de mayor alcance (PTRR o plan sectorial), por lo que la justificación de la no inclusión en el PES inicialmente aprobado por la Consejería sería fácil de motivar en el caso de las Bases reguladoras que se deban preparar.</w:t>
      </w:r>
    </w:p>
    <w:p w:rsidR="00354E23" w:rsidRPr="00354E23" w:rsidRDefault="00354E23" w:rsidP="00354E23">
      <w:pPr>
        <w:pStyle w:val="NormalWeb"/>
        <w:spacing w:after="0" w:afterAutospacing="0"/>
        <w:jc w:val="both"/>
        <w:rPr>
          <w:rFonts w:ascii="Tahoma" w:hAnsi="Tahoma" w:cs="Tahoma"/>
          <w:sz w:val="22"/>
          <w:szCs w:val="22"/>
        </w:rPr>
      </w:pPr>
      <w:r w:rsidRPr="00354E23">
        <w:rPr>
          <w:rFonts w:ascii="Arial" w:hAnsi="Arial" w:cs="Arial"/>
          <w:sz w:val="22"/>
          <w:szCs w:val="22"/>
        </w:rPr>
        <w:t>Por tanto, se podrá iniciar la tramitación de las Bases reguladoras que sean necesarias en desarrollo del MRR, siempre que se incluya la motivación señalada para su  no inclusión en el PES inicialmente aprobado por la Consejería, y se darán las indicaciones para que se puedan levantar los controles inicialmente  diseñados en Nexus subvenciones para que, en esas Bases reguladoras no se solicite código PES si están financiadas por el MRR.</w:t>
      </w:r>
    </w:p>
    <w:p w:rsidR="00354E23" w:rsidRDefault="00354E23" w:rsidP="00354E23">
      <w:pPr>
        <w:pStyle w:val="NormalWeb"/>
        <w:rPr>
          <w:rFonts w:ascii="Arial" w:hAnsi="Arial" w:cs="Arial"/>
          <w:sz w:val="22"/>
          <w:szCs w:val="22"/>
        </w:rPr>
      </w:pPr>
    </w:p>
    <w:p w:rsidR="00354E23" w:rsidRPr="00354E23" w:rsidRDefault="00354E23" w:rsidP="00354E23">
      <w:pPr>
        <w:pStyle w:val="NormalWeb"/>
        <w:rPr>
          <w:rFonts w:ascii="Arial" w:hAnsi="Arial" w:cs="Arial"/>
          <w:sz w:val="22"/>
          <w:szCs w:val="22"/>
        </w:rPr>
      </w:pPr>
      <w:r w:rsidRPr="00354E23">
        <w:rPr>
          <w:rFonts w:ascii="Arial" w:hAnsi="Arial" w:cs="Arial"/>
          <w:sz w:val="22"/>
          <w:szCs w:val="22"/>
        </w:rPr>
        <w:t xml:space="preserve">No obstante lo anterior, es muy posible que  el PES se tenga que modificar por haber sido alterados los planes iniciales de la actividad de fomento de la Consejería debido a la asunción de las actividades procedentes del MRR. </w:t>
      </w:r>
    </w:p>
    <w:p w:rsidR="00CB1A8E" w:rsidRPr="006915B9" w:rsidRDefault="00354E23" w:rsidP="006915B9">
      <w:pPr>
        <w:pStyle w:val="NormalWeb"/>
        <w:jc w:val="both"/>
        <w:rPr>
          <w:rFonts w:ascii="Tahoma" w:hAnsi="Tahoma" w:cs="Tahoma"/>
          <w:sz w:val="22"/>
          <w:szCs w:val="22"/>
        </w:rPr>
      </w:pPr>
      <w:r w:rsidRPr="00354E23">
        <w:rPr>
          <w:rFonts w:ascii="Arial" w:hAnsi="Arial" w:cs="Arial"/>
          <w:sz w:val="22"/>
          <w:szCs w:val="22"/>
        </w:rPr>
        <w:t>Tened en cuenta la necesidad de dar cumplimiento a otro de los requerimientos de la norma sobre los PES, que es  su sometimiento al  régimen de seguimiento y evaluación continua y la emisión del  informe final sobre el grado de avance de la aplicación del plan, sus efectos y las repercusiones presupuestarias y financieras que se derivan de su aplicación  a los que se refieren los artículos 12 y 14 del Reglamento de la Ley General de Subvenciones.</w:t>
      </w:r>
    </w:p>
    <w:p w:rsidR="002A556C" w:rsidRPr="00280BCC" w:rsidRDefault="002A556C" w:rsidP="00280BCC">
      <w:pPr>
        <w:jc w:val="both"/>
        <w:rPr>
          <w:rFonts w:ascii="Arial" w:hAnsi="Arial" w:cs="Arial"/>
        </w:rPr>
      </w:pPr>
      <w:r w:rsidRPr="00280BCC">
        <w:rPr>
          <w:rFonts w:ascii="Arial" w:hAnsi="Arial" w:cs="Arial"/>
        </w:rPr>
        <w:t>Dependerá, por lo tanto, del supuesto concreto y de la documentación que sirva de soporte. Cabe recordar que la planificación estratégica es previa al establecimiento de la subvención, momento que en muchos casos corresponde al Estado.</w:t>
      </w:r>
    </w:p>
    <w:p w:rsidR="00C54569" w:rsidRPr="00021D75" w:rsidRDefault="00280BCC" w:rsidP="00C54569">
      <w:pPr>
        <w:jc w:val="both"/>
        <w:rPr>
          <w:rFonts w:ascii="Arial" w:hAnsi="Arial" w:cs="Arial"/>
          <w:sz w:val="16"/>
          <w:szCs w:val="16"/>
        </w:rPr>
      </w:pPr>
      <w:r w:rsidRPr="00280BCC">
        <w:rPr>
          <w:rFonts w:ascii="Arial" w:hAnsi="Arial" w:cs="Arial"/>
        </w:rPr>
        <w:t>No obstante, la tramitación de estos expedientes sí podría alterar las previsiones de gestión normal del plan estratégico de la Consejería, por lo que deberían valorarse las consecuencias y su necesidad de modificación.</w:t>
      </w:r>
      <w:r w:rsidR="00023CF2" w:rsidRPr="00021D75">
        <w:rPr>
          <w:rFonts w:ascii="Arial" w:hAnsi="Arial" w:cs="Arial"/>
          <w:sz w:val="16"/>
          <w:szCs w:val="16"/>
        </w:rPr>
        <w:t xml:space="preserve"> </w:t>
      </w:r>
    </w:p>
    <w:p w:rsidR="00C54569" w:rsidRPr="00021D75" w:rsidRDefault="00C54569" w:rsidP="005C2AF0">
      <w:pPr>
        <w:jc w:val="both"/>
        <w:rPr>
          <w:rFonts w:ascii="Arial" w:hAnsi="Arial" w:cs="Arial"/>
          <w:sz w:val="16"/>
          <w:szCs w:val="16"/>
        </w:rPr>
      </w:pPr>
    </w:p>
    <w:sectPr w:rsidR="00C54569" w:rsidRPr="00021D75" w:rsidSect="00023CF2">
      <w:headerReference w:type="default" r:id="rId7"/>
      <w:pgSz w:w="11906" w:h="16838"/>
      <w:pgMar w:top="1418" w:right="1701" w:bottom="1418"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A5DBA" w:rsidRDefault="001A5DBA" w:rsidP="00BE58C2">
      <w:pPr>
        <w:spacing w:after="0" w:line="240" w:lineRule="auto"/>
      </w:pPr>
      <w:r>
        <w:separator/>
      </w:r>
    </w:p>
  </w:endnote>
  <w:endnote w:type="continuationSeparator" w:id="0">
    <w:p w:rsidR="001A5DBA" w:rsidRDefault="001A5DBA" w:rsidP="00BE58C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A5DBA" w:rsidRDefault="001A5DBA" w:rsidP="00BE58C2">
      <w:pPr>
        <w:spacing w:after="0" w:line="240" w:lineRule="auto"/>
      </w:pPr>
      <w:r>
        <w:separator/>
      </w:r>
    </w:p>
  </w:footnote>
  <w:footnote w:type="continuationSeparator" w:id="0">
    <w:p w:rsidR="001A5DBA" w:rsidRDefault="001A5DBA" w:rsidP="00BE58C2">
      <w:pPr>
        <w:spacing w:after="0" w:line="240" w:lineRule="auto"/>
      </w:pPr>
      <w:r>
        <w:continuationSeparator/>
      </w:r>
    </w:p>
  </w:footnote>
  <w:footnote w:id="1">
    <w:p w:rsidR="007D7C5C" w:rsidRDefault="007D7C5C" w:rsidP="007D7C5C">
      <w:pPr>
        <w:pStyle w:val="Textonotapie"/>
        <w:jc w:val="both"/>
      </w:pPr>
      <w:r>
        <w:rPr>
          <w:rStyle w:val="Refdenotaalpie"/>
        </w:rPr>
        <w:footnoteRef/>
      </w:r>
      <w:r>
        <w:t xml:space="preserve"> Del examen de la aplicación del artículo por parte del Estado, encontramos que existen varios modelos diferentes:</w:t>
      </w:r>
    </w:p>
    <w:p w:rsidR="007D7C5C" w:rsidRDefault="007D7C5C" w:rsidP="007D7C5C">
      <w:pPr>
        <w:pStyle w:val="Textonotapie"/>
        <w:jc w:val="both"/>
      </w:pPr>
      <w:r>
        <w:t>- Aquellos en los que la Orden se aprueba diferenciando el contenido de la base reguladora y de la convocatoria del ejercicio 2021, (entendemos que, porque podría darse el caso de tramitación de varias convocatorias anuales en el plazo de aplicación de los fondos Next Generation, con la misma base).</w:t>
      </w:r>
    </w:p>
    <w:p w:rsidR="007D7C5C" w:rsidRDefault="007D7C5C" w:rsidP="007D7C5C">
      <w:pPr>
        <w:pStyle w:val="Textonotapie"/>
        <w:jc w:val="both"/>
      </w:pPr>
      <w:r>
        <w:t>- Aquellos en los que no se diferencia, sino que se incorpora indistintamente el contenido de base reguladora y convocatoria en función de la ubicación que corresponda dentro de la estructura de la Orden.</w:t>
      </w:r>
    </w:p>
  </w:footnote>
  <w:footnote w:id="2">
    <w:p w:rsidR="00F1304C" w:rsidRDefault="00F1304C" w:rsidP="0036265E">
      <w:pPr>
        <w:pStyle w:val="Textonotapie"/>
        <w:jc w:val="both"/>
      </w:pPr>
      <w:r>
        <w:rPr>
          <w:rStyle w:val="Refdenotaalpie"/>
        </w:rPr>
        <w:footnoteRef/>
      </w:r>
      <w:r>
        <w:t xml:space="preserve"> En las preguntas frecuentes, la BDNS, si bien señala que su función es aclaratoria a los solos efectos de su competencia y no interpretativa de la norma, recoge lo siguiente: </w:t>
      </w:r>
      <w:r w:rsidR="0036265E">
        <w:t>“</w:t>
      </w:r>
      <w:r>
        <w:t>Aun cuando las disposiciones que regulan y establecen las bases para la concesión de subvenciones no tengan</w:t>
      </w:r>
      <w:r w:rsidR="0036265E">
        <w:t xml:space="preserve"> </w:t>
      </w:r>
      <w:r>
        <w:t xml:space="preserve">perdurabilidad en el </w:t>
      </w:r>
      <w:r w:rsidR="0036265E">
        <w:t>t</w:t>
      </w:r>
      <w:r>
        <w:t>iempo, la doctrina del Tribunal Supremo reconoce que, a pesar de ser “…disposiciones</w:t>
      </w:r>
      <w:r w:rsidR="0036265E">
        <w:t xml:space="preserve"> </w:t>
      </w:r>
      <w:r>
        <w:t>coyunturales, que no tienen voluntad de incorporase al Ordenamiento, y por tanto, no cabe reconocerles el</w:t>
      </w:r>
      <w:r w:rsidR="0036265E">
        <w:t xml:space="preserve"> </w:t>
      </w:r>
      <w:r>
        <w:t>carácter de disposiciones de carácter general…”, tienen “…carácter de híbrido, entre una norma jurídica</w:t>
      </w:r>
      <w:r w:rsidR="0036265E">
        <w:t xml:space="preserve"> </w:t>
      </w:r>
      <w:r>
        <w:t>propiamente dicha y un acto dirigido a una pluralidad indeterminada de sujetos…”, estando incluidas en el título</w:t>
      </w:r>
      <w:r w:rsidR="0036265E">
        <w:t xml:space="preserve"> </w:t>
      </w:r>
      <w:r>
        <w:t>preliminar del Código Civil (De las normas jurídicas, su aplicación y eficacia).</w:t>
      </w:r>
      <w:r w:rsidR="006E1C74">
        <w:t xml:space="preserve"> La sentencia a que se refieren pero que no citan es  es del año 1994, muy anterior a la aprobación de la Ley General de Subvenciones.</w:t>
      </w:r>
    </w:p>
  </w:footnote>
  <w:footnote w:id="3">
    <w:p w:rsidR="00EF2D94" w:rsidRDefault="00EF2D94" w:rsidP="00EF2D94">
      <w:pPr>
        <w:pStyle w:val="Textonotapie"/>
        <w:jc w:val="both"/>
      </w:pPr>
      <w:r>
        <w:rPr>
          <w:rStyle w:val="Refdenotaalpie"/>
        </w:rPr>
        <w:footnoteRef/>
      </w:r>
      <w:r>
        <w:t xml:space="preserve"> L</w:t>
      </w:r>
      <w:r w:rsidRPr="00EF2D94">
        <w:t>as dudas se suscitan p</w:t>
      </w:r>
      <w:r>
        <w:t xml:space="preserve">or el hecho de que </w:t>
      </w:r>
      <w:r w:rsidRPr="00EF2D94">
        <w:t xml:space="preserve">las normas de procedimiento se refieren en general a la necesidad de incorporar a los expedientes </w:t>
      </w:r>
      <w:r>
        <w:t>los informes preceptivos de forma genérica</w:t>
      </w:r>
      <w:r w:rsidRPr="00EF2D94">
        <w:t xml:space="preserve">, pero la necesidad de solicitarlos deriva de la aplicación de normas sustantivas, a veces con rango de Ley Orgánica o </w:t>
      </w:r>
      <w:r>
        <w:t xml:space="preserve">incluso </w:t>
      </w:r>
      <w:r w:rsidRPr="00EF2D94">
        <w:t>autonómica</w:t>
      </w:r>
      <w:r>
        <w:t>s</w:t>
      </w:r>
      <w:r w:rsidRPr="00EF2D94">
        <w:t xml:space="preserve">, </w:t>
      </w:r>
      <w:r>
        <w:t xml:space="preserve">por lo que tratándose de un Real Decreto-ley estatal, resulta dudosa la posibilidad de modificación de lo dispuesto en este tipo de normas.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016EE" w:rsidRDefault="000016EE">
    <w:pPr>
      <w:pStyle w:val="Encabezado"/>
    </w:pPr>
  </w:p>
  <w:p w:rsidR="000016EE" w:rsidRDefault="000016E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57B6D"/>
    <w:rsid w:val="000016EE"/>
    <w:rsid w:val="00015091"/>
    <w:rsid w:val="00016499"/>
    <w:rsid w:val="00021D75"/>
    <w:rsid w:val="00022105"/>
    <w:rsid w:val="00023CF2"/>
    <w:rsid w:val="00057B6D"/>
    <w:rsid w:val="00142D1C"/>
    <w:rsid w:val="00175C55"/>
    <w:rsid w:val="001812B1"/>
    <w:rsid w:val="001A5DBA"/>
    <w:rsid w:val="001C2800"/>
    <w:rsid w:val="001C43F7"/>
    <w:rsid w:val="001F6BAC"/>
    <w:rsid w:val="00244A6C"/>
    <w:rsid w:val="00280BCC"/>
    <w:rsid w:val="002A1553"/>
    <w:rsid w:val="002A556C"/>
    <w:rsid w:val="002B23EB"/>
    <w:rsid w:val="002B647B"/>
    <w:rsid w:val="002F4B2A"/>
    <w:rsid w:val="003026DA"/>
    <w:rsid w:val="00321E15"/>
    <w:rsid w:val="00354E23"/>
    <w:rsid w:val="0036265E"/>
    <w:rsid w:val="00373F24"/>
    <w:rsid w:val="00376F94"/>
    <w:rsid w:val="003D1408"/>
    <w:rsid w:val="003E3D0F"/>
    <w:rsid w:val="00422484"/>
    <w:rsid w:val="004316EF"/>
    <w:rsid w:val="0043651B"/>
    <w:rsid w:val="00436F2B"/>
    <w:rsid w:val="00487915"/>
    <w:rsid w:val="004C2C96"/>
    <w:rsid w:val="004D4796"/>
    <w:rsid w:val="004F66A6"/>
    <w:rsid w:val="005366D9"/>
    <w:rsid w:val="0059118F"/>
    <w:rsid w:val="005A7358"/>
    <w:rsid w:val="005A7A32"/>
    <w:rsid w:val="005C2AF0"/>
    <w:rsid w:val="005E2DDF"/>
    <w:rsid w:val="005F32FB"/>
    <w:rsid w:val="00602EB6"/>
    <w:rsid w:val="0060688B"/>
    <w:rsid w:val="00675A66"/>
    <w:rsid w:val="006915B9"/>
    <w:rsid w:val="006A7603"/>
    <w:rsid w:val="006C0929"/>
    <w:rsid w:val="006E1C74"/>
    <w:rsid w:val="007030F8"/>
    <w:rsid w:val="007075FA"/>
    <w:rsid w:val="00716AC7"/>
    <w:rsid w:val="00785A89"/>
    <w:rsid w:val="00795C7D"/>
    <w:rsid w:val="007A40DD"/>
    <w:rsid w:val="007D7C5C"/>
    <w:rsid w:val="007F2D4E"/>
    <w:rsid w:val="008005D1"/>
    <w:rsid w:val="0080266F"/>
    <w:rsid w:val="00876CAF"/>
    <w:rsid w:val="008C1907"/>
    <w:rsid w:val="008C5AB2"/>
    <w:rsid w:val="008E5F99"/>
    <w:rsid w:val="0090599D"/>
    <w:rsid w:val="009338F7"/>
    <w:rsid w:val="00980943"/>
    <w:rsid w:val="00A1012D"/>
    <w:rsid w:val="00A51D8B"/>
    <w:rsid w:val="00AB6C98"/>
    <w:rsid w:val="00AB7406"/>
    <w:rsid w:val="00AC1968"/>
    <w:rsid w:val="00AC4DB3"/>
    <w:rsid w:val="00AD3644"/>
    <w:rsid w:val="00B065EC"/>
    <w:rsid w:val="00B23199"/>
    <w:rsid w:val="00B46893"/>
    <w:rsid w:val="00B47B0D"/>
    <w:rsid w:val="00BE58C2"/>
    <w:rsid w:val="00C54569"/>
    <w:rsid w:val="00C57BDF"/>
    <w:rsid w:val="00CB1A8E"/>
    <w:rsid w:val="00D23CA0"/>
    <w:rsid w:val="00D45586"/>
    <w:rsid w:val="00DD2810"/>
    <w:rsid w:val="00DE0A88"/>
    <w:rsid w:val="00E17393"/>
    <w:rsid w:val="00E63C19"/>
    <w:rsid w:val="00E83DC5"/>
    <w:rsid w:val="00EC2049"/>
    <w:rsid w:val="00ED1553"/>
    <w:rsid w:val="00ED39A6"/>
    <w:rsid w:val="00EF2D94"/>
    <w:rsid w:val="00F1304C"/>
    <w:rsid w:val="00F200C3"/>
    <w:rsid w:val="00F2355A"/>
    <w:rsid w:val="00F719FB"/>
    <w:rsid w:val="00F77C30"/>
    <w:rsid w:val="00FC3708"/>
    <w:rsid w:val="00FE230E"/>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31640738-54F6-4A95-BBBD-AA60A2B6AA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E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styleId="Hipervnculo">
    <w:name w:val="Hyperlink"/>
    <w:basedOn w:val="Fuentedeprrafopredeter"/>
    <w:uiPriority w:val="99"/>
    <w:unhideWhenUsed/>
    <w:rsid w:val="005C2AF0"/>
    <w:rPr>
      <w:color w:val="0563C1" w:themeColor="hyperlink"/>
      <w:u w:val="single"/>
    </w:rPr>
  </w:style>
  <w:style w:type="table" w:styleId="Tablaconcuadrcula">
    <w:name w:val="Table Grid"/>
    <w:basedOn w:val="Tablanormal"/>
    <w:uiPriority w:val="39"/>
    <w:rsid w:val="003D14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onotapie">
    <w:name w:val="footnote text"/>
    <w:basedOn w:val="Normal"/>
    <w:link w:val="TextonotapieCar"/>
    <w:uiPriority w:val="99"/>
    <w:semiHidden/>
    <w:unhideWhenUsed/>
    <w:rsid w:val="00BE58C2"/>
    <w:pPr>
      <w:spacing w:after="0" w:line="240" w:lineRule="auto"/>
    </w:pPr>
    <w:rPr>
      <w:sz w:val="20"/>
      <w:szCs w:val="20"/>
    </w:rPr>
  </w:style>
  <w:style w:type="character" w:customStyle="1" w:styleId="TextonotapieCar">
    <w:name w:val="Texto nota pie Car"/>
    <w:basedOn w:val="Fuentedeprrafopredeter"/>
    <w:link w:val="Textonotapie"/>
    <w:uiPriority w:val="99"/>
    <w:semiHidden/>
    <w:rsid w:val="00BE58C2"/>
    <w:rPr>
      <w:sz w:val="20"/>
      <w:szCs w:val="20"/>
    </w:rPr>
  </w:style>
  <w:style w:type="character" w:styleId="Refdenotaalpie">
    <w:name w:val="footnote reference"/>
    <w:basedOn w:val="Fuentedeprrafopredeter"/>
    <w:uiPriority w:val="99"/>
    <w:semiHidden/>
    <w:unhideWhenUsed/>
    <w:rsid w:val="00BE58C2"/>
    <w:rPr>
      <w:vertAlign w:val="superscript"/>
    </w:rPr>
  </w:style>
  <w:style w:type="paragraph" w:styleId="Encabezado">
    <w:name w:val="header"/>
    <w:basedOn w:val="Normal"/>
    <w:link w:val="EncabezadoCar"/>
    <w:uiPriority w:val="99"/>
    <w:unhideWhenUsed/>
    <w:rsid w:val="000016EE"/>
    <w:pPr>
      <w:tabs>
        <w:tab w:val="center" w:pos="4252"/>
        <w:tab w:val="right" w:pos="8504"/>
      </w:tabs>
      <w:spacing w:after="0" w:line="240" w:lineRule="auto"/>
    </w:pPr>
  </w:style>
  <w:style w:type="character" w:customStyle="1" w:styleId="EncabezadoCar">
    <w:name w:val="Encabezado Car"/>
    <w:basedOn w:val="Fuentedeprrafopredeter"/>
    <w:link w:val="Encabezado"/>
    <w:uiPriority w:val="99"/>
    <w:rsid w:val="000016EE"/>
  </w:style>
  <w:style w:type="paragraph" w:styleId="Piedepgina">
    <w:name w:val="footer"/>
    <w:basedOn w:val="Normal"/>
    <w:link w:val="PiedepginaCar"/>
    <w:uiPriority w:val="99"/>
    <w:unhideWhenUsed/>
    <w:rsid w:val="000016EE"/>
    <w:pPr>
      <w:tabs>
        <w:tab w:val="center" w:pos="4252"/>
        <w:tab w:val="right" w:pos="8504"/>
      </w:tabs>
      <w:spacing w:after="0" w:line="240" w:lineRule="auto"/>
    </w:pPr>
  </w:style>
  <w:style w:type="character" w:customStyle="1" w:styleId="PiedepginaCar">
    <w:name w:val="Pie de página Car"/>
    <w:basedOn w:val="Fuentedeprrafopredeter"/>
    <w:link w:val="Piedepgina"/>
    <w:uiPriority w:val="99"/>
    <w:rsid w:val="000016EE"/>
  </w:style>
  <w:style w:type="paragraph" w:styleId="NormalWeb">
    <w:name w:val="Normal (Web)"/>
    <w:basedOn w:val="Normal"/>
    <w:uiPriority w:val="99"/>
    <w:unhideWhenUsed/>
    <w:rsid w:val="00354E23"/>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354E23"/>
    <w:rPr>
      <w:b/>
      <w:bCs/>
    </w:rPr>
  </w:style>
  <w:style w:type="paragraph" w:customStyle="1" w:styleId="paragraph">
    <w:name w:val="paragraph"/>
    <w:basedOn w:val="Normal"/>
    <w:rsid w:val="00602EB6"/>
    <w:pPr>
      <w:spacing w:before="100" w:beforeAutospacing="1" w:after="100" w:afterAutospacing="1" w:line="240" w:lineRule="auto"/>
    </w:pPr>
    <w:rPr>
      <w:rFonts w:ascii="Times New Roman" w:eastAsia="Times New Roman" w:hAnsi="Times New Roman" w:cs="Times New Roman"/>
      <w:sz w:val="24"/>
      <w:szCs w:val="24"/>
      <w:lang w:eastAsia="es-ES"/>
    </w:rPr>
  </w:style>
  <w:style w:type="character" w:customStyle="1" w:styleId="normaltextrun">
    <w:name w:val="normaltextrun"/>
    <w:rsid w:val="00602EB6"/>
  </w:style>
  <w:style w:type="character" w:customStyle="1" w:styleId="eop">
    <w:name w:val="eop"/>
    <w:rsid w:val="00602EB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31071088">
      <w:bodyDiv w:val="1"/>
      <w:marLeft w:val="0"/>
      <w:marRight w:val="0"/>
      <w:marTop w:val="0"/>
      <w:marBottom w:val="0"/>
      <w:divBdr>
        <w:top w:val="none" w:sz="0" w:space="0" w:color="auto"/>
        <w:left w:val="none" w:sz="0" w:space="0" w:color="auto"/>
        <w:bottom w:val="none" w:sz="0" w:space="0" w:color="auto"/>
        <w:right w:val="none" w:sz="0" w:space="0" w:color="auto"/>
      </w:divBdr>
      <w:divsChild>
        <w:div w:id="1318745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220821951">
              <w:marLeft w:val="0"/>
              <w:marRight w:val="0"/>
              <w:marTop w:val="0"/>
              <w:marBottom w:val="0"/>
              <w:divBdr>
                <w:top w:val="none" w:sz="0" w:space="0" w:color="auto"/>
                <w:left w:val="none" w:sz="0" w:space="0" w:color="auto"/>
                <w:bottom w:val="none" w:sz="0" w:space="0" w:color="auto"/>
                <w:right w:val="none" w:sz="0" w:space="0" w:color="auto"/>
              </w:divBdr>
              <w:divsChild>
                <w:div w:id="41371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4.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customXml" Target="../customXml/item3.xml"/><Relationship Id="rId5" Type="http://schemas.openxmlformats.org/officeDocument/2006/relationships/footnotes" Target="footnotes.xml"/><Relationship Id="rId10" Type="http://schemas.openxmlformats.org/officeDocument/2006/relationships/customXml" Target="../customXml/item2.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o" ma:contentTypeID="0x0101004A0336C7DC3E0F45ABB1D27EAA5B9CE9" ma:contentTypeVersion="" ma:contentTypeDescription="Crear nuevo documento." ma:contentTypeScope="" ma:versionID="4ce135793bc3da0d460faf9c57087bbb">
  <xsd:schema xmlns:xsd="http://www.w3.org/2001/XMLSchema" xmlns:xs="http://www.w3.org/2001/XMLSchema" xmlns:p="http://schemas.microsoft.com/office/2006/metadata/properties" xmlns:ns2="BAA92BB6-DC08-49CA-A1DF-66ADF831DDC1" xmlns:ns3="46c31bdf-0a45-4935-a8a6-0d358e08cfce" xmlns:ns4="baa92bb6-dc08-49ca-a1df-66adf831ddc1" targetNamespace="http://schemas.microsoft.com/office/2006/metadata/properties" ma:root="true" ma:fieldsID="f0e87ccc89a3d7f844d27135919f1ec9" ns2:_="" ns3:_="" ns4:_="">
    <xsd:import namespace="BAA92BB6-DC08-49CA-A1DF-66ADF831DDC1"/>
    <xsd:import namespace="46c31bdf-0a45-4935-a8a6-0d358e08cfce"/>
    <xsd:import namespace="baa92bb6-dc08-49ca-a1df-66adf831ddc1"/>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4:MediaServiceAutoTags" minOccurs="0"/>
                <xsd:element ref="ns4:MediaServiceDateTaken" minOccurs="0"/>
                <xsd:element ref="ns4:MediaServiceOCR" minOccurs="0"/>
                <xsd:element ref="ns4:MediaServiceGenerationTime" minOccurs="0"/>
                <xsd:element ref="ns4:MediaServiceEventHashCode" minOccurs="0"/>
                <xsd:element ref="ns4:MediaServiceAutoKeyPoints" minOccurs="0"/>
                <xsd:element ref="ns4: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6c31bdf-0a45-4935-a8a6-0d358e08cfce" elementFormDefault="qualified">
    <xsd:import namespace="http://schemas.microsoft.com/office/2006/documentManagement/types"/>
    <xsd:import namespace="http://schemas.microsoft.com/office/infopath/2007/PartnerControls"/>
    <xsd:element name="SharedWithUsers" ma:index="10"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Detalles de uso compartido" ma:description=""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a92bb6-dc08-49ca-a1df-66adf831ddc1" elementFormDefault="qualified">
    <xsd:import namespace="http://schemas.microsoft.com/office/2006/documentManagement/types"/>
    <xsd:import namespace="http://schemas.microsoft.com/office/infopath/2007/PartnerControls"/>
    <xsd:element name="MediaServiceAutoTags" ma:index="12" nillable="true" ma:displayName="Tags" ma:internalName="MediaServiceAutoTags"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6F760307-4F13-48E5-9031-30E292D4DFC7}">
  <ds:schemaRefs>
    <ds:schemaRef ds:uri="http://schemas.openxmlformats.org/officeDocument/2006/bibliography"/>
  </ds:schemaRefs>
</ds:datastoreItem>
</file>

<file path=customXml/itemProps2.xml><?xml version="1.0" encoding="utf-8"?>
<ds:datastoreItem xmlns:ds="http://schemas.openxmlformats.org/officeDocument/2006/customXml" ds:itemID="{D48D5329-9469-43EE-80F0-67E159E13BFF}"/>
</file>

<file path=customXml/itemProps3.xml><?xml version="1.0" encoding="utf-8"?>
<ds:datastoreItem xmlns:ds="http://schemas.openxmlformats.org/officeDocument/2006/customXml" ds:itemID="{8B52E403-4151-45E3-A455-D8939C548F1A}"/>
</file>

<file path=customXml/itemProps4.xml><?xml version="1.0" encoding="utf-8"?>
<ds:datastoreItem xmlns:ds="http://schemas.openxmlformats.org/officeDocument/2006/customXml" ds:itemID="{61F08C04-4520-45C9-9555-DA205430DAD4}"/>
</file>

<file path=docProps/app.xml><?xml version="1.0" encoding="utf-8"?>
<Properties xmlns="http://schemas.openxmlformats.org/officeDocument/2006/extended-properties" xmlns:vt="http://schemas.openxmlformats.org/officeDocument/2006/docPropsVTypes">
  <Template>Normal.dotm</Template>
  <TotalTime>23</TotalTime>
  <Pages>7</Pages>
  <Words>3361</Words>
  <Characters>18488</Characters>
  <Application>Microsoft Office Word</Application>
  <DocSecurity>0</DocSecurity>
  <Lines>154</Lines>
  <Paragraphs>43</Paragraphs>
  <ScaleCrop>false</ScaleCrop>
  <HeadingPairs>
    <vt:vector size="2" baseType="variant">
      <vt:variant>
        <vt:lpstr>Título</vt:lpstr>
      </vt:variant>
      <vt:variant>
        <vt:i4>1</vt:i4>
      </vt:variant>
    </vt:vector>
  </HeadingPairs>
  <TitlesOfParts>
    <vt:vector size="1" baseType="lpstr">
      <vt:lpstr/>
    </vt:vector>
  </TitlesOfParts>
  <Company>Comunidad de Madrid</Company>
  <LinksUpToDate>false</LinksUpToDate>
  <CharactersWithSpaces>21806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CERRILLO VELASCO, M. JOSE</dc:creator>
  <cp:keywords/>
  <dc:description/>
  <cp:lastModifiedBy>MD</cp:lastModifiedBy>
  <cp:revision>5</cp:revision>
  <dcterms:created xsi:type="dcterms:W3CDTF">2021-11-16T16:46:00Z</dcterms:created>
  <dcterms:modified xsi:type="dcterms:W3CDTF">2021-11-29T12:37:00Z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0x0101004A0336C7DC3E0F45ABB1D27EAA5B9CE9</vt:lpwstr>
  </property>
</Properties>
</file>