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7083" w14:textId="19156940" w:rsidR="00AB602B" w:rsidRPr="00A76F50" w:rsidRDefault="00AB602B" w:rsidP="00A76F50">
      <w:pPr>
        <w:jc w:val="both"/>
        <w:rPr>
          <w:rFonts w:ascii="Avenir Book" w:hAnsi="Avenir Book"/>
        </w:rPr>
      </w:pPr>
    </w:p>
    <w:p w14:paraId="0BD9EA6B" w14:textId="77777777" w:rsidR="00A76F50" w:rsidRDefault="00E16071" w:rsidP="00A76F50">
      <w:pPr>
        <w:pStyle w:val="Ttulo1"/>
        <w:jc w:val="both"/>
        <w:rPr>
          <w:rFonts w:ascii="Avenir Book" w:hAnsi="Avenir Book"/>
          <w:b/>
          <w:bCs/>
          <w:sz w:val="40"/>
          <w:szCs w:val="40"/>
        </w:rPr>
      </w:pPr>
      <w:r w:rsidRPr="00A76F50">
        <w:rPr>
          <w:rFonts w:ascii="Avenir Book" w:hAnsi="Avenir Book"/>
          <w:b/>
          <w:bCs/>
          <w:sz w:val="40"/>
          <w:szCs w:val="40"/>
        </w:rPr>
        <w:t xml:space="preserve">TEMA 4: </w:t>
      </w:r>
    </w:p>
    <w:p w14:paraId="7D111AA9" w14:textId="720D85FB" w:rsidR="00E32580" w:rsidRPr="00A76F50" w:rsidRDefault="00E16071" w:rsidP="00A76F50">
      <w:pPr>
        <w:pStyle w:val="Ttulo1"/>
        <w:jc w:val="both"/>
        <w:rPr>
          <w:rFonts w:ascii="Avenir Book" w:hAnsi="Avenir Book"/>
          <w:b/>
          <w:bCs/>
          <w:sz w:val="40"/>
          <w:szCs w:val="40"/>
        </w:rPr>
      </w:pPr>
      <w:r w:rsidRPr="00A76F50">
        <w:rPr>
          <w:rFonts w:ascii="Avenir Book" w:hAnsi="Avenir Book"/>
          <w:b/>
          <w:bCs/>
          <w:sz w:val="40"/>
          <w:szCs w:val="40"/>
        </w:rPr>
        <w:t>DERIVACIÓN Y COORDINACIÓN CON UNIDADES DE REFERENCIA EN DSD</w:t>
      </w:r>
    </w:p>
    <w:p w14:paraId="22B3579C" w14:textId="69F8A8CB" w:rsidR="00E32580" w:rsidRPr="00A76F50" w:rsidRDefault="00451975" w:rsidP="00A76F50">
      <w:pPr>
        <w:spacing w:before="100" w:beforeAutospacing="1" w:after="100" w:afterAutospacing="1"/>
        <w:jc w:val="both"/>
        <w:outlineLvl w:val="2"/>
        <w:rPr>
          <w:rFonts w:ascii="Avenir Book" w:eastAsiaTheme="majorEastAsia" w:hAnsi="Avenir Book" w:cstheme="majorBidi"/>
          <w:b/>
          <w:bCs/>
          <w:color w:val="2F5496" w:themeColor="accent1" w:themeShade="BF"/>
          <w:sz w:val="32"/>
          <w:szCs w:val="32"/>
        </w:rPr>
      </w:pPr>
      <w:r w:rsidRPr="00A76F50">
        <w:rPr>
          <w:rFonts w:ascii="Avenir Book" w:eastAsiaTheme="majorEastAsia" w:hAnsi="Avenir Book" w:cstheme="majorBidi"/>
          <w:b/>
          <w:bCs/>
          <w:color w:val="2F5496" w:themeColor="accent1" w:themeShade="BF"/>
          <w:sz w:val="32"/>
          <w:szCs w:val="32"/>
        </w:rPr>
        <w:t>ÍNDICE:</w:t>
      </w:r>
    </w:p>
    <w:p w14:paraId="3A6EC064" w14:textId="77777777" w:rsidR="00E16071" w:rsidRPr="00A76F50" w:rsidRDefault="00E16071" w:rsidP="00A76F50">
      <w:pPr>
        <w:pStyle w:val="NormalWeb"/>
        <w:numPr>
          <w:ilvl w:val="0"/>
          <w:numId w:val="19"/>
        </w:numPr>
        <w:jc w:val="both"/>
        <w:rPr>
          <w:rFonts w:ascii="Avenir Book" w:hAnsi="Avenir Book"/>
        </w:rPr>
      </w:pPr>
      <w:r w:rsidRPr="00A76F50">
        <w:rPr>
          <w:rStyle w:val="Textoennegrita"/>
          <w:rFonts w:ascii="Avenir Book" w:hAnsi="Avenir Book"/>
        </w:rPr>
        <w:t>Unidades especializadas y centros de referencia para el abordaje de DSD: situación actual en España</w:t>
      </w:r>
    </w:p>
    <w:p w14:paraId="45D784EF"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Estado actual del proceso de designación de unidades de referencia específicas para DSD.</w:t>
      </w:r>
    </w:p>
    <w:p w14:paraId="78139F09"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Variabilidad en los circuitos de derivación según comunidades autónomas.</w:t>
      </w:r>
    </w:p>
    <w:p w14:paraId="23C910C9"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Papel de las unidades multidisciplinares en hospitales terciarios.</w:t>
      </w:r>
    </w:p>
    <w:p w14:paraId="7395B3E0" w14:textId="77777777" w:rsidR="00E16071" w:rsidRPr="00A76F50" w:rsidRDefault="00E16071" w:rsidP="00A76F50">
      <w:pPr>
        <w:pStyle w:val="NormalWeb"/>
        <w:numPr>
          <w:ilvl w:val="0"/>
          <w:numId w:val="19"/>
        </w:numPr>
        <w:jc w:val="both"/>
        <w:rPr>
          <w:rFonts w:ascii="Avenir Book" w:hAnsi="Avenir Book"/>
        </w:rPr>
      </w:pPr>
      <w:proofErr w:type="gramStart"/>
      <w:r w:rsidRPr="00A76F50">
        <w:rPr>
          <w:rStyle w:val="Textoennegrita"/>
          <w:rFonts w:ascii="Avenir Book" w:hAnsi="Avenir Book"/>
        </w:rPr>
        <w:t>Cuándo</w:t>
      </w:r>
      <w:proofErr w:type="gramEnd"/>
      <w:r w:rsidRPr="00A76F50">
        <w:rPr>
          <w:rStyle w:val="Textoennegrita"/>
          <w:rFonts w:ascii="Avenir Book" w:hAnsi="Avenir Book"/>
        </w:rPr>
        <w:t xml:space="preserve"> derivar: criterios específicos para derivación desde Atención Primaria</w:t>
      </w:r>
    </w:p>
    <w:p w14:paraId="512295CE"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Criterios clínicos de derivación urgente, preferente o programada.</w:t>
      </w:r>
    </w:p>
    <w:p w14:paraId="36D9DC60"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Casos que pueden ser manejados inicialmente en hospitales comarcales o terciarios.</w:t>
      </w:r>
    </w:p>
    <w:p w14:paraId="5EE80EDD"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Relevancia de una derivación bien justificada para evitar demoras.</w:t>
      </w:r>
    </w:p>
    <w:p w14:paraId="078F12C6" w14:textId="77777777" w:rsidR="00E16071" w:rsidRPr="00A76F50" w:rsidRDefault="00E16071" w:rsidP="00A76F50">
      <w:pPr>
        <w:pStyle w:val="NormalWeb"/>
        <w:numPr>
          <w:ilvl w:val="0"/>
          <w:numId w:val="19"/>
        </w:numPr>
        <w:jc w:val="both"/>
        <w:rPr>
          <w:rFonts w:ascii="Avenir Book" w:hAnsi="Avenir Book"/>
        </w:rPr>
      </w:pPr>
      <w:r w:rsidRPr="00A76F50">
        <w:rPr>
          <w:rStyle w:val="Textoennegrita"/>
          <w:rFonts w:ascii="Avenir Book" w:hAnsi="Avenir Book"/>
        </w:rPr>
        <w:t>Cómo realizar la derivación: contenido esencial del informe clínico desde AP</w:t>
      </w:r>
    </w:p>
    <w:p w14:paraId="16CFEB48"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Información imprescindible para orientar correctamente al nivel especializado.</w:t>
      </w:r>
    </w:p>
    <w:p w14:paraId="4181E938"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Importancia de la claridad y de adjuntar pruebas realizadas.</w:t>
      </w:r>
    </w:p>
    <w:p w14:paraId="2FDCEECC"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Valoración de la documentación fotográfica (consentida) para mejorar la precisión de la valoración inicial.</w:t>
      </w:r>
    </w:p>
    <w:p w14:paraId="49C1DFB3" w14:textId="77777777" w:rsidR="00E16071" w:rsidRPr="00A76F50" w:rsidRDefault="00E16071" w:rsidP="00A76F50">
      <w:pPr>
        <w:pStyle w:val="NormalWeb"/>
        <w:numPr>
          <w:ilvl w:val="0"/>
          <w:numId w:val="19"/>
        </w:numPr>
        <w:jc w:val="both"/>
        <w:rPr>
          <w:rFonts w:ascii="Avenir Book" w:hAnsi="Avenir Book"/>
        </w:rPr>
      </w:pPr>
      <w:r w:rsidRPr="00A76F50">
        <w:rPr>
          <w:rStyle w:val="Textoennegrita"/>
          <w:rFonts w:ascii="Avenir Book" w:hAnsi="Avenir Book"/>
        </w:rPr>
        <w:t>Coordinación entre Atención Primaria y unidades especializadas: mantener el vínculo tras la derivación</w:t>
      </w:r>
    </w:p>
    <w:p w14:paraId="2DAFBCD5"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El papel de AP en el acompañamiento y seguimiento de la familia tras el diagnóstico.</w:t>
      </w:r>
    </w:p>
    <w:p w14:paraId="49EBF2F2"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Cómo asegurar la comunicación bidireccional entre AP y el equipo especializado.</w:t>
      </w:r>
    </w:p>
    <w:p w14:paraId="7BD41743"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Importancia de la continuidad asistencial y el seguimiento compartido.</w:t>
      </w:r>
    </w:p>
    <w:p w14:paraId="128D4E05" w14:textId="77777777" w:rsidR="00E16071" w:rsidRPr="00A76F50" w:rsidRDefault="00E16071" w:rsidP="00A76F50">
      <w:pPr>
        <w:pStyle w:val="NormalWeb"/>
        <w:numPr>
          <w:ilvl w:val="0"/>
          <w:numId w:val="19"/>
        </w:numPr>
        <w:jc w:val="both"/>
        <w:rPr>
          <w:rFonts w:ascii="Avenir Book" w:hAnsi="Avenir Book"/>
        </w:rPr>
      </w:pPr>
      <w:r w:rsidRPr="00A76F50">
        <w:rPr>
          <w:rStyle w:val="Textoennegrita"/>
          <w:rFonts w:ascii="Avenir Book" w:hAnsi="Avenir Book"/>
        </w:rPr>
        <w:lastRenderedPageBreak/>
        <w:t>Apoyo logístico para familias que precisan desplazamiento a otras comunidades</w:t>
      </w:r>
    </w:p>
    <w:p w14:paraId="51F6BFDA"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Sistemas de cobertura de transporte, alojamiento y manutención para pacientes desplazados fuera de su comunidad autónoma.</w:t>
      </w:r>
    </w:p>
    <w:p w14:paraId="022AE438"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Procedimientos generales de solicitud de ayudas.</w:t>
      </w:r>
    </w:p>
    <w:p w14:paraId="4281D98A" w14:textId="77777777" w:rsidR="00E16071" w:rsidRPr="00A76F50" w:rsidRDefault="00E16071" w:rsidP="00A76F50">
      <w:pPr>
        <w:numPr>
          <w:ilvl w:val="1"/>
          <w:numId w:val="19"/>
        </w:numPr>
        <w:spacing w:before="100" w:beforeAutospacing="1" w:after="100" w:afterAutospacing="1"/>
        <w:jc w:val="both"/>
        <w:rPr>
          <w:rFonts w:ascii="Avenir Book" w:hAnsi="Avenir Book"/>
        </w:rPr>
      </w:pPr>
      <w:r w:rsidRPr="00A76F50">
        <w:rPr>
          <w:rFonts w:ascii="Avenir Book" w:hAnsi="Avenir Book"/>
        </w:rPr>
        <w:t>Papel de Trabajo Social en la tramitación de estas ayudas.</w:t>
      </w:r>
    </w:p>
    <w:p w14:paraId="0A834886" w14:textId="7E062FAA" w:rsidR="00E16071" w:rsidRPr="00A76F50" w:rsidRDefault="00E16071" w:rsidP="00A76F50">
      <w:pPr>
        <w:jc w:val="both"/>
        <w:rPr>
          <w:rFonts w:ascii="Avenir Book" w:hAnsi="Avenir Book"/>
        </w:rPr>
      </w:pPr>
    </w:p>
    <w:p w14:paraId="44679C0A" w14:textId="5E9AA3AB" w:rsidR="00E16071" w:rsidRPr="00A76F50" w:rsidRDefault="00E16071" w:rsidP="00A76F50">
      <w:pPr>
        <w:jc w:val="both"/>
        <w:rPr>
          <w:rFonts w:ascii="Avenir Book" w:hAnsi="Avenir Book"/>
        </w:rPr>
      </w:pPr>
    </w:p>
    <w:p w14:paraId="4CCC12CE" w14:textId="4BFA4F30" w:rsidR="00E16071" w:rsidRPr="00A76F50" w:rsidRDefault="00E16071" w:rsidP="00A76F50">
      <w:pPr>
        <w:jc w:val="both"/>
        <w:rPr>
          <w:rFonts w:ascii="Avenir Book" w:hAnsi="Avenir Book"/>
        </w:rPr>
      </w:pPr>
    </w:p>
    <w:p w14:paraId="5CBCC2EC" w14:textId="508EB372" w:rsidR="00E16071" w:rsidRPr="00A76F50" w:rsidRDefault="00E16071" w:rsidP="00A76F50">
      <w:pPr>
        <w:jc w:val="both"/>
        <w:rPr>
          <w:rFonts w:ascii="Avenir Book" w:hAnsi="Avenir Book"/>
        </w:rPr>
      </w:pPr>
    </w:p>
    <w:p w14:paraId="0D8702D8" w14:textId="77777777" w:rsidR="00E16071" w:rsidRPr="00A76F50" w:rsidRDefault="00E16071" w:rsidP="00A76F50">
      <w:pPr>
        <w:jc w:val="both"/>
        <w:rPr>
          <w:rFonts w:ascii="Avenir Book" w:hAnsi="Avenir Book"/>
        </w:rPr>
      </w:pPr>
    </w:p>
    <w:p w14:paraId="3D8435F7" w14:textId="77777777" w:rsidR="00E16071" w:rsidRPr="00A76F50" w:rsidRDefault="00E16071" w:rsidP="00A76F50">
      <w:pPr>
        <w:pStyle w:val="Ttulo2"/>
        <w:jc w:val="both"/>
        <w:rPr>
          <w:rFonts w:ascii="Avenir Book" w:hAnsi="Avenir Book"/>
        </w:rPr>
      </w:pPr>
      <w:r w:rsidRPr="00A76F50">
        <w:rPr>
          <w:rFonts w:ascii="Avenir Book" w:hAnsi="Avenir Book"/>
        </w:rPr>
        <w:t>1. Unidades especializadas y centros de referencia para el abordaje de DSD: situación actual en España</w:t>
      </w:r>
    </w:p>
    <w:p w14:paraId="14171F06"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El manejo de los </w:t>
      </w:r>
      <w:r w:rsidRPr="00A76F50">
        <w:rPr>
          <w:rStyle w:val="Textoennegrita"/>
          <w:rFonts w:ascii="Avenir Book" w:hAnsi="Avenir Book"/>
        </w:rPr>
        <w:t>trastornos del desarrollo sexual (DSD)</w:t>
      </w:r>
      <w:r w:rsidRPr="00A76F50">
        <w:rPr>
          <w:rFonts w:ascii="Avenir Book" w:hAnsi="Avenir Book"/>
        </w:rPr>
        <w:t xml:space="preserve"> es un claro ejemplo de cómo determinadas condiciones complejas, poco frecuentes y con importantes implicaciones médicas, quirúrgicas, psicosociales y éticas, requieren un abordaje en centros con </w:t>
      </w:r>
      <w:r w:rsidRPr="00A76F50">
        <w:rPr>
          <w:rStyle w:val="Textoennegrita"/>
          <w:rFonts w:ascii="Avenir Book" w:hAnsi="Avenir Book"/>
        </w:rPr>
        <w:t>alta especialización</w:t>
      </w:r>
      <w:r w:rsidRPr="00A76F50">
        <w:rPr>
          <w:rFonts w:ascii="Avenir Book" w:hAnsi="Avenir Book"/>
        </w:rPr>
        <w:t xml:space="preserve"> y equipos multidisciplinares altamente coordinados. En España, aunque existen ya </w:t>
      </w:r>
      <w:r w:rsidRPr="00A76F50">
        <w:rPr>
          <w:rStyle w:val="Textoennegrita"/>
          <w:rFonts w:ascii="Avenir Book" w:hAnsi="Avenir Book"/>
        </w:rPr>
        <w:t>unidades especializadas en DSD</w:t>
      </w:r>
      <w:r w:rsidRPr="00A76F50">
        <w:rPr>
          <w:rFonts w:ascii="Avenir Book" w:hAnsi="Avenir Book"/>
        </w:rPr>
        <w:t xml:space="preserve"> dentro de hospitales terciarios de referencia, el proceso formal de </w:t>
      </w:r>
      <w:r w:rsidRPr="00A76F50">
        <w:rPr>
          <w:rStyle w:val="Textoennegrita"/>
          <w:rFonts w:ascii="Avenir Book" w:hAnsi="Avenir Book"/>
        </w:rPr>
        <w:t>designación oficial de CSUR (Centros, Servicios y Unidades de Referencia)</w:t>
      </w:r>
      <w:r w:rsidRPr="00A76F50">
        <w:rPr>
          <w:rFonts w:ascii="Avenir Book" w:hAnsi="Avenir Book"/>
        </w:rPr>
        <w:t xml:space="preserve"> para DSD todavía no se ha completado.</w:t>
      </w:r>
    </w:p>
    <w:p w14:paraId="560DD7EF"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Actualmente, cada </w:t>
      </w:r>
      <w:r w:rsidRPr="00A76F50">
        <w:rPr>
          <w:rStyle w:val="Textoennegrita"/>
          <w:rFonts w:ascii="Avenir Book" w:hAnsi="Avenir Book"/>
        </w:rPr>
        <w:t>comunidad autónoma</w:t>
      </w:r>
      <w:r w:rsidRPr="00A76F50">
        <w:rPr>
          <w:rFonts w:ascii="Avenir Book" w:hAnsi="Avenir Book"/>
        </w:rPr>
        <w:t xml:space="preserve"> ha definido su propio circuito asistencial, de modo que pacientes con sospecha de DSD suelen ser derivados desde atención primaria o desde hospitales comarcales a </w:t>
      </w:r>
      <w:r w:rsidRPr="00A76F50">
        <w:rPr>
          <w:rStyle w:val="Textoennegrita"/>
          <w:rFonts w:ascii="Avenir Book" w:hAnsi="Avenir Book"/>
        </w:rPr>
        <w:t>unidades multidisciplinares de referencia regional</w:t>
      </w:r>
      <w:r w:rsidRPr="00A76F50">
        <w:rPr>
          <w:rFonts w:ascii="Avenir Book" w:hAnsi="Avenir Book"/>
        </w:rPr>
        <w:t xml:space="preserve">, generalmente ubicadas en hospitales terciarios con servicios consolidados de </w:t>
      </w:r>
      <w:r w:rsidRPr="00A76F50">
        <w:rPr>
          <w:rStyle w:val="Textoennegrita"/>
          <w:rFonts w:ascii="Avenir Book" w:hAnsi="Avenir Book"/>
        </w:rPr>
        <w:t>endocrinología pediátrica, genética clínica, cirugía pediátrica urológica y psicología/psiquiatría infantil</w:t>
      </w:r>
      <w:r w:rsidRPr="00A76F50">
        <w:rPr>
          <w:rFonts w:ascii="Avenir Book" w:hAnsi="Avenir Book"/>
        </w:rPr>
        <w:t xml:space="preserve">. Sin embargo, no existe aún un </w:t>
      </w:r>
      <w:r w:rsidRPr="00A76F50">
        <w:rPr>
          <w:rStyle w:val="Textoennegrita"/>
          <w:rFonts w:ascii="Avenir Book" w:hAnsi="Avenir Book"/>
        </w:rPr>
        <w:t>catálogo oficial único</w:t>
      </w:r>
      <w:r w:rsidRPr="00A76F50">
        <w:rPr>
          <w:rFonts w:ascii="Avenir Book" w:hAnsi="Avenir Book"/>
        </w:rPr>
        <w:t xml:space="preserve"> de unidades nacionales específicas para DSD.</w:t>
      </w:r>
    </w:p>
    <w:p w14:paraId="6C21D2D9"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En la práctica, esto implica que el destino final de un paciente con DSD puede </w:t>
      </w:r>
      <w:r w:rsidRPr="00A76F50">
        <w:rPr>
          <w:rStyle w:val="Textoennegrita"/>
          <w:rFonts w:ascii="Avenir Book" w:hAnsi="Avenir Book"/>
        </w:rPr>
        <w:t>variar significativamente</w:t>
      </w:r>
      <w:r w:rsidRPr="00A76F50">
        <w:rPr>
          <w:rFonts w:ascii="Avenir Book" w:hAnsi="Avenir Book"/>
        </w:rPr>
        <w:t xml:space="preserve"> según la comunidad autónoma de residencia. En algunas regiones, como Cataluña o Madrid, la derivación suele centralizarse en </w:t>
      </w:r>
      <w:r w:rsidRPr="00A76F50">
        <w:rPr>
          <w:rStyle w:val="Textoennegrita"/>
          <w:rFonts w:ascii="Avenir Book" w:hAnsi="Avenir Book"/>
        </w:rPr>
        <w:t>uno o dos hospitales terciarios</w:t>
      </w:r>
      <w:r w:rsidRPr="00A76F50">
        <w:rPr>
          <w:rFonts w:ascii="Avenir Book" w:hAnsi="Avenir Book"/>
        </w:rPr>
        <w:t xml:space="preserve"> con experiencia acumulada en el manejo de estos pacientes. En comunidades más pequeñas o con menor dotación especializada, el paciente puede ser derivado fuera de su comunidad, recurriendo a hospitales de referencia nacional.</w:t>
      </w:r>
    </w:p>
    <w:p w14:paraId="68A2C5AB" w14:textId="77777777" w:rsidR="00E16071" w:rsidRPr="00A76F50" w:rsidRDefault="00E16071" w:rsidP="00A76F50">
      <w:pPr>
        <w:pStyle w:val="NormalWeb"/>
        <w:jc w:val="both"/>
        <w:rPr>
          <w:rFonts w:ascii="Avenir Book" w:hAnsi="Avenir Book"/>
        </w:rPr>
      </w:pPr>
      <w:r w:rsidRPr="00A76F50">
        <w:rPr>
          <w:rFonts w:ascii="Avenir Book" w:hAnsi="Avenir Book"/>
        </w:rPr>
        <w:lastRenderedPageBreak/>
        <w:t xml:space="preserve">La falta de un </w:t>
      </w:r>
      <w:r w:rsidRPr="00A76F50">
        <w:rPr>
          <w:rStyle w:val="Textoennegrita"/>
          <w:rFonts w:ascii="Avenir Book" w:hAnsi="Avenir Book"/>
        </w:rPr>
        <w:t>circuito unificado</w:t>
      </w:r>
      <w:r w:rsidRPr="00A76F50">
        <w:rPr>
          <w:rFonts w:ascii="Avenir Book" w:hAnsi="Avenir Book"/>
        </w:rPr>
        <w:t xml:space="preserve"> y de criterios homogéneos de derivación puede generar ciertas dificultades para los médicos de atención primaria, que deben conocer y adaptarse al circuito concreto de su comunidad. Es fundamental que el pediatra o médico de familia sea consciente de esta realidad y, en caso de duda, consulte directamente con el equipo de neonatología, endocrinología pediátrica o genética de su hospital de referencia para garantizar una derivación correcta.</w:t>
      </w:r>
    </w:p>
    <w:p w14:paraId="47860E42"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A pesar de la ausencia de CSUR formales específicos para DSD, España cuenta con una </w:t>
      </w:r>
      <w:r w:rsidRPr="00A76F50">
        <w:rPr>
          <w:rStyle w:val="Textoennegrita"/>
          <w:rFonts w:ascii="Avenir Book" w:hAnsi="Avenir Book"/>
        </w:rPr>
        <w:t>red de hospitales terciarios con experiencia consolidada</w:t>
      </w:r>
      <w:r w:rsidRPr="00A76F50">
        <w:rPr>
          <w:rFonts w:ascii="Avenir Book" w:hAnsi="Avenir Book"/>
        </w:rPr>
        <w:t xml:space="preserve"> en el diagnóstico, manejo y seguimiento de estos pacientes, y que han participado activamente en la elaboración de las </w:t>
      </w:r>
      <w:r w:rsidRPr="00A76F50">
        <w:rPr>
          <w:rStyle w:val="Textoennegrita"/>
          <w:rFonts w:ascii="Avenir Book" w:hAnsi="Avenir Book"/>
        </w:rPr>
        <w:t>guías nacionales</w:t>
      </w:r>
      <w:r w:rsidRPr="00A76F50">
        <w:rPr>
          <w:rFonts w:ascii="Avenir Book" w:hAnsi="Avenir Book"/>
        </w:rPr>
        <w:t xml:space="preserve"> de abordaje clínico-asistencial. Por tanto, el médico de atención primaria no está solo en este proceso, y cuenta con herramientas y recursos para facilitar la derivación y asegurar que el paciente reciba la atención más adecuada.</w:t>
      </w:r>
    </w:p>
    <w:p w14:paraId="7CDDCB58" w14:textId="764E608A" w:rsidR="00E16071" w:rsidRPr="00A76F50" w:rsidRDefault="00E16071" w:rsidP="00A76F50">
      <w:pPr>
        <w:jc w:val="both"/>
        <w:rPr>
          <w:rFonts w:ascii="Avenir Book" w:hAnsi="Avenir Book"/>
        </w:rPr>
      </w:pPr>
    </w:p>
    <w:p w14:paraId="37DA74EF" w14:textId="77777777" w:rsidR="00E16071" w:rsidRPr="00A76F50" w:rsidRDefault="00E16071" w:rsidP="00A76F50">
      <w:pPr>
        <w:jc w:val="both"/>
        <w:rPr>
          <w:rFonts w:ascii="Avenir Book" w:hAnsi="Avenir Book"/>
        </w:rPr>
      </w:pPr>
    </w:p>
    <w:p w14:paraId="63CEF936" w14:textId="77777777" w:rsidR="00E16071" w:rsidRPr="00A76F50" w:rsidRDefault="00E16071" w:rsidP="00A76F50">
      <w:pPr>
        <w:pStyle w:val="Ttulo2"/>
        <w:jc w:val="both"/>
        <w:rPr>
          <w:rFonts w:ascii="Avenir Book" w:hAnsi="Avenir Book"/>
        </w:rPr>
      </w:pPr>
      <w:r w:rsidRPr="00A76F50">
        <w:rPr>
          <w:rFonts w:ascii="Avenir Book" w:hAnsi="Avenir Book"/>
        </w:rPr>
        <w:t>2. Cuándo derivar: criterios específicos para derivación desde Atención Primaria</w:t>
      </w:r>
    </w:p>
    <w:p w14:paraId="163B6B68"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La </w:t>
      </w:r>
      <w:r w:rsidRPr="00A76F50">
        <w:rPr>
          <w:rStyle w:val="Textoennegrita"/>
          <w:rFonts w:ascii="Avenir Book" w:hAnsi="Avenir Book"/>
        </w:rPr>
        <w:t>sospecha de un DSD</w:t>
      </w:r>
      <w:r w:rsidRPr="00A76F50">
        <w:rPr>
          <w:rFonts w:ascii="Avenir Book" w:hAnsi="Avenir Book"/>
        </w:rPr>
        <w:t xml:space="preserve"> en el ámbito de atención primaria debe ser siempre motivo de derivación, ya sea urgente o preferente, dependiendo de la gravedad de los hallazgos y del estado clínico del paciente. En la actualidad, no se considera apropiado que un médico de atención primaria intente resolver un posible DSD sin la valoración de un equipo multidisciplinar especializado. Por tanto, el criterio general debe ser </w:t>
      </w:r>
      <w:r w:rsidRPr="00A76F50">
        <w:rPr>
          <w:rStyle w:val="Textoennegrita"/>
          <w:rFonts w:ascii="Avenir Book" w:hAnsi="Avenir Book"/>
        </w:rPr>
        <w:t>sospecha = derivación</w:t>
      </w:r>
      <w:r w:rsidRPr="00A76F50">
        <w:rPr>
          <w:rFonts w:ascii="Avenir Book" w:hAnsi="Avenir Book"/>
        </w:rPr>
        <w:t>.</w:t>
      </w:r>
    </w:p>
    <w:p w14:paraId="00941FA5"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Las situaciones que justifican una </w:t>
      </w:r>
      <w:r w:rsidRPr="00A76F50">
        <w:rPr>
          <w:rStyle w:val="Textoennegrita"/>
          <w:rFonts w:ascii="Avenir Book" w:hAnsi="Avenir Book"/>
        </w:rPr>
        <w:t>derivación urgente</w:t>
      </w:r>
      <w:r w:rsidRPr="00A76F50">
        <w:rPr>
          <w:rFonts w:ascii="Avenir Book" w:hAnsi="Avenir Book"/>
        </w:rPr>
        <w:t xml:space="preserve"> son aquellas en las que existe una alteración evidente de la anatomía genital externa, una </w:t>
      </w:r>
      <w:r w:rsidRPr="00A76F50">
        <w:rPr>
          <w:rStyle w:val="Textoennegrita"/>
          <w:rFonts w:ascii="Avenir Book" w:hAnsi="Avenir Book"/>
        </w:rPr>
        <w:t>discordancia clara entre el fenotipo y el sexo asignado</w:t>
      </w:r>
      <w:r w:rsidRPr="00A76F50">
        <w:rPr>
          <w:rFonts w:ascii="Avenir Book" w:hAnsi="Avenir Book"/>
        </w:rPr>
        <w:t xml:space="preserve"> o signos clínicos que sugieran una </w:t>
      </w:r>
      <w:r w:rsidRPr="00A76F50">
        <w:rPr>
          <w:rStyle w:val="Textoennegrita"/>
          <w:rFonts w:ascii="Avenir Book" w:hAnsi="Avenir Book"/>
        </w:rPr>
        <w:t>crisis suprarrenal inminente</w:t>
      </w:r>
      <w:r w:rsidRPr="00A76F50">
        <w:rPr>
          <w:rFonts w:ascii="Avenir Book" w:hAnsi="Avenir Book"/>
        </w:rPr>
        <w:t xml:space="preserve">, como ocurre en algunas formas clásicas de </w:t>
      </w:r>
      <w:r w:rsidRPr="00A76F50">
        <w:rPr>
          <w:rStyle w:val="Textoennegrita"/>
          <w:rFonts w:ascii="Avenir Book" w:hAnsi="Avenir Book"/>
        </w:rPr>
        <w:t>hiperplasia suprarrenal congénita</w:t>
      </w:r>
      <w:r w:rsidRPr="00A76F50">
        <w:rPr>
          <w:rFonts w:ascii="Avenir Book" w:hAnsi="Avenir Book"/>
        </w:rPr>
        <w:t xml:space="preserve">. En estos casos, la derivación debe ser </w:t>
      </w:r>
      <w:r w:rsidRPr="00A76F50">
        <w:rPr>
          <w:rStyle w:val="Textoennegrita"/>
          <w:rFonts w:ascii="Avenir Book" w:hAnsi="Avenir Book"/>
        </w:rPr>
        <w:t>directa y urgente al hospital terciario o unidad de referencia regional</w:t>
      </w:r>
      <w:r w:rsidRPr="00A76F50">
        <w:rPr>
          <w:rFonts w:ascii="Avenir Book" w:hAnsi="Avenir Book"/>
        </w:rPr>
        <w:t>, sin esperar a completar estudios desde primaria.</w:t>
      </w:r>
    </w:p>
    <w:p w14:paraId="4D8EAC85"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En cambio, hay situaciones donde la derivación puede realizarse en </w:t>
      </w:r>
      <w:r w:rsidRPr="00A76F50">
        <w:rPr>
          <w:rStyle w:val="Textoennegrita"/>
          <w:rFonts w:ascii="Avenir Book" w:hAnsi="Avenir Book"/>
        </w:rPr>
        <w:t>plazo preferente</w:t>
      </w:r>
      <w:r w:rsidRPr="00A76F50">
        <w:rPr>
          <w:rFonts w:ascii="Avenir Book" w:hAnsi="Avenir Book"/>
        </w:rPr>
        <w:t xml:space="preserve">, como ocurre en niños con </w:t>
      </w:r>
      <w:r w:rsidRPr="00A76F50">
        <w:rPr>
          <w:rStyle w:val="Textoennegrita"/>
          <w:rFonts w:ascii="Avenir Book" w:hAnsi="Avenir Book"/>
        </w:rPr>
        <w:t>criptorquidia bilateral</w:t>
      </w:r>
      <w:r w:rsidRPr="00A76F50">
        <w:rPr>
          <w:rFonts w:ascii="Avenir Book" w:hAnsi="Avenir Book"/>
        </w:rPr>
        <w:t xml:space="preserve">, </w:t>
      </w:r>
      <w:r w:rsidRPr="00A76F50">
        <w:rPr>
          <w:rStyle w:val="Textoennegrita"/>
          <w:rFonts w:ascii="Avenir Book" w:hAnsi="Avenir Book"/>
        </w:rPr>
        <w:t>hipospadias proximal severo</w:t>
      </w:r>
      <w:r w:rsidRPr="00A76F50">
        <w:rPr>
          <w:rFonts w:ascii="Avenir Book" w:hAnsi="Avenir Book"/>
        </w:rPr>
        <w:t xml:space="preserve"> o </w:t>
      </w:r>
      <w:r w:rsidRPr="00A76F50">
        <w:rPr>
          <w:rStyle w:val="Textoennegrita"/>
          <w:rFonts w:ascii="Avenir Book" w:hAnsi="Avenir Book"/>
        </w:rPr>
        <w:t>pubertad discordante</w:t>
      </w:r>
      <w:r w:rsidRPr="00A76F50">
        <w:rPr>
          <w:rFonts w:ascii="Avenir Book" w:hAnsi="Avenir Book"/>
        </w:rPr>
        <w:t xml:space="preserve">. En estos casos, aunque no exista una urgencia vital, el diagnóstico y manejo precoz es fundamental para evitar retrasos que puedan comprometer el tratamiento o el apoyo psicosocial a la familia. Estas </w:t>
      </w:r>
      <w:r w:rsidRPr="00A76F50">
        <w:rPr>
          <w:rFonts w:ascii="Avenir Book" w:hAnsi="Avenir Book"/>
        </w:rPr>
        <w:lastRenderedPageBreak/>
        <w:t xml:space="preserve">derivaciones suelen dirigirse a </w:t>
      </w:r>
      <w:r w:rsidRPr="00A76F50">
        <w:rPr>
          <w:rStyle w:val="Textoennegrita"/>
          <w:rFonts w:ascii="Avenir Book" w:hAnsi="Avenir Book"/>
        </w:rPr>
        <w:t>endocrinología pediátrica</w:t>
      </w:r>
      <w:r w:rsidRPr="00A76F50">
        <w:rPr>
          <w:rFonts w:ascii="Avenir Book" w:hAnsi="Avenir Book"/>
        </w:rPr>
        <w:t>, aunque en algunas comunidades pueden coordinarse directamente con la unidad multidisciplinar regional.</w:t>
      </w:r>
    </w:p>
    <w:p w14:paraId="757D5144"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Una tercera categoría serían las derivaciones </w:t>
      </w:r>
      <w:r w:rsidRPr="00A76F50">
        <w:rPr>
          <w:rStyle w:val="Textoennegrita"/>
          <w:rFonts w:ascii="Avenir Book" w:hAnsi="Avenir Book"/>
        </w:rPr>
        <w:t>ordinarias o diferidas</w:t>
      </w:r>
      <w:r w:rsidRPr="00A76F50">
        <w:rPr>
          <w:rFonts w:ascii="Avenir Book" w:hAnsi="Avenir Book"/>
        </w:rPr>
        <w:t xml:space="preserve">, reservadas para situaciones menos urgentes, como hipospadias distal aislado o criptorquidia unilateral sin otros signos de alarma. Estos casos suelen derivarse inicialmente a </w:t>
      </w:r>
      <w:r w:rsidRPr="00A76F50">
        <w:rPr>
          <w:rStyle w:val="Textoennegrita"/>
          <w:rFonts w:ascii="Avenir Book" w:hAnsi="Avenir Book"/>
        </w:rPr>
        <w:t>urología pediátrica</w:t>
      </w:r>
      <w:r w:rsidRPr="00A76F50">
        <w:rPr>
          <w:rFonts w:ascii="Avenir Book" w:hAnsi="Avenir Book"/>
        </w:rPr>
        <w:t xml:space="preserve"> y solo progresan a unidades especializadas si se identifican hallazgos adicionales durante la evaluación.</w:t>
      </w:r>
    </w:p>
    <w:p w14:paraId="63A39909"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En cualquier caso, el médico de atención primaria debe recordar que su papel no es establecer un </w:t>
      </w:r>
      <w:r w:rsidRPr="00A76F50">
        <w:rPr>
          <w:rStyle w:val="Textoennegrita"/>
          <w:rFonts w:ascii="Avenir Book" w:hAnsi="Avenir Book"/>
        </w:rPr>
        <w:t>diagnóstico definitivo</w:t>
      </w:r>
      <w:r w:rsidRPr="00A76F50">
        <w:rPr>
          <w:rFonts w:ascii="Avenir Book" w:hAnsi="Avenir Book"/>
        </w:rPr>
        <w:t xml:space="preserve">, sino </w:t>
      </w:r>
      <w:r w:rsidRPr="00A76F50">
        <w:rPr>
          <w:rStyle w:val="Textoennegrita"/>
          <w:rFonts w:ascii="Avenir Book" w:hAnsi="Avenir Book"/>
        </w:rPr>
        <w:t>detectar, documentar y activar el circuito de derivación más adecuado</w:t>
      </w:r>
      <w:r w:rsidRPr="00A76F50">
        <w:rPr>
          <w:rFonts w:ascii="Avenir Book" w:hAnsi="Avenir Book"/>
        </w:rPr>
        <w:t xml:space="preserve">. En caso de duda sobre el nivel asistencial más apropiado (hospital comarcal, terciario o fuera de comunidad), es preferible optar por una </w:t>
      </w:r>
      <w:r w:rsidRPr="00A76F50">
        <w:rPr>
          <w:rStyle w:val="Textoennegrita"/>
          <w:rFonts w:ascii="Avenir Book" w:hAnsi="Avenir Book"/>
        </w:rPr>
        <w:t>derivación inicial amplia</w:t>
      </w:r>
      <w:r w:rsidRPr="00A76F50">
        <w:rPr>
          <w:rFonts w:ascii="Avenir Book" w:hAnsi="Avenir Book"/>
        </w:rPr>
        <w:t xml:space="preserve">, que posteriormente pueda redirigirse dentro del sistema, en lugar de asumir el riesgo de </w:t>
      </w:r>
      <w:proofErr w:type="spellStart"/>
      <w:r w:rsidRPr="00A76F50">
        <w:rPr>
          <w:rFonts w:ascii="Avenir Book" w:hAnsi="Avenir Book"/>
        </w:rPr>
        <w:t>infraevaluar</w:t>
      </w:r>
      <w:proofErr w:type="spellEnd"/>
      <w:r w:rsidRPr="00A76F50">
        <w:rPr>
          <w:rFonts w:ascii="Avenir Book" w:hAnsi="Avenir Book"/>
        </w:rPr>
        <w:t xml:space="preserve"> el caso y retrasar el diagnóstico correcto.</w:t>
      </w:r>
    </w:p>
    <w:p w14:paraId="4D4C1864" w14:textId="77777777" w:rsidR="00E16071" w:rsidRPr="00A76F50" w:rsidRDefault="00E16071" w:rsidP="00A76F50">
      <w:pPr>
        <w:pStyle w:val="Ttulo2"/>
        <w:jc w:val="both"/>
        <w:rPr>
          <w:rFonts w:ascii="Avenir Book" w:hAnsi="Avenir Book"/>
        </w:rPr>
      </w:pPr>
    </w:p>
    <w:p w14:paraId="29BD432F" w14:textId="6BC05A10" w:rsidR="00E16071" w:rsidRPr="00A76F50" w:rsidRDefault="00E16071" w:rsidP="00A76F50">
      <w:pPr>
        <w:pStyle w:val="Ttulo2"/>
        <w:jc w:val="both"/>
        <w:rPr>
          <w:rFonts w:ascii="Avenir Book" w:hAnsi="Avenir Book"/>
        </w:rPr>
      </w:pPr>
      <w:r w:rsidRPr="00A76F50">
        <w:rPr>
          <w:rFonts w:ascii="Avenir Book" w:hAnsi="Avenir Book"/>
        </w:rPr>
        <w:t>3. Cómo realizar la derivación: contenido esencial del informe clínico desde Atención Primaria</w:t>
      </w:r>
    </w:p>
    <w:p w14:paraId="5CC73325"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La calidad de la </w:t>
      </w:r>
      <w:r w:rsidRPr="00A76F50">
        <w:rPr>
          <w:rStyle w:val="Textoennegrita"/>
          <w:rFonts w:ascii="Avenir Book" w:hAnsi="Avenir Book"/>
        </w:rPr>
        <w:t>derivación</w:t>
      </w:r>
      <w:r w:rsidRPr="00A76F50">
        <w:rPr>
          <w:rFonts w:ascii="Avenir Book" w:hAnsi="Avenir Book"/>
        </w:rPr>
        <w:t xml:space="preserve"> es uno de los factores determinantes para garantizar que el paciente sea atendido con la celeridad y el nivel de complejidad adecuados. En el contexto de los </w:t>
      </w:r>
      <w:r w:rsidRPr="00A76F50">
        <w:rPr>
          <w:rStyle w:val="Textoennegrita"/>
          <w:rFonts w:ascii="Avenir Book" w:hAnsi="Avenir Book"/>
        </w:rPr>
        <w:t>DSD</w:t>
      </w:r>
      <w:r w:rsidRPr="00A76F50">
        <w:rPr>
          <w:rFonts w:ascii="Avenir Book" w:hAnsi="Avenir Book"/>
        </w:rPr>
        <w:t xml:space="preserve">, un informe clínico completo, bien estructurado y ajustado a los hallazgos es especialmente relevante, ya que muchas de estas situaciones exigen una </w:t>
      </w:r>
      <w:r w:rsidRPr="00A76F50">
        <w:rPr>
          <w:rStyle w:val="Textoennegrita"/>
          <w:rFonts w:ascii="Avenir Book" w:hAnsi="Avenir Book"/>
        </w:rPr>
        <w:t>valoración multidisciplinar rápida</w:t>
      </w:r>
      <w:r w:rsidRPr="00A76F50">
        <w:rPr>
          <w:rFonts w:ascii="Avenir Book" w:hAnsi="Avenir Book"/>
        </w:rPr>
        <w:t xml:space="preserve"> y con </w:t>
      </w:r>
      <w:r w:rsidRPr="00A76F50">
        <w:rPr>
          <w:rStyle w:val="Textoennegrita"/>
          <w:rFonts w:ascii="Avenir Book" w:hAnsi="Avenir Book"/>
        </w:rPr>
        <w:t>información clínica precisa</w:t>
      </w:r>
      <w:r w:rsidRPr="00A76F50">
        <w:rPr>
          <w:rFonts w:ascii="Avenir Book" w:hAnsi="Avenir Book"/>
        </w:rPr>
        <w:t xml:space="preserve"> desde el primer momento.</w:t>
      </w:r>
    </w:p>
    <w:p w14:paraId="610200CF" w14:textId="77777777" w:rsidR="00E16071" w:rsidRPr="00A76F50" w:rsidRDefault="00E16071" w:rsidP="00A76F50">
      <w:pPr>
        <w:pStyle w:val="NormalWeb"/>
        <w:jc w:val="both"/>
        <w:rPr>
          <w:rFonts w:ascii="Avenir Book" w:hAnsi="Avenir Book"/>
        </w:rPr>
      </w:pPr>
      <w:r w:rsidRPr="00A76F50">
        <w:rPr>
          <w:rFonts w:ascii="Avenir Book" w:hAnsi="Avenir Book"/>
        </w:rPr>
        <w:t>El informe de derivación debe contener, como mínimo, los siguientes elementos:</w:t>
      </w:r>
    </w:p>
    <w:p w14:paraId="24E5F465" w14:textId="77777777" w:rsidR="00E16071" w:rsidRPr="00A76F50" w:rsidRDefault="00E16071" w:rsidP="00A76F50">
      <w:pPr>
        <w:pStyle w:val="Ttulo3"/>
        <w:jc w:val="both"/>
        <w:rPr>
          <w:rFonts w:ascii="Avenir Book" w:hAnsi="Avenir Book"/>
        </w:rPr>
      </w:pPr>
      <w:r w:rsidRPr="00A76F50">
        <w:rPr>
          <w:rFonts w:ascii="Avenir Book" w:hAnsi="Avenir Book"/>
        </w:rPr>
        <w:t>Datos identificativos</w:t>
      </w:r>
    </w:p>
    <w:p w14:paraId="24DD8F73" w14:textId="77777777" w:rsidR="00E16071" w:rsidRPr="00A76F50" w:rsidRDefault="00E16071" w:rsidP="00A76F50">
      <w:pPr>
        <w:numPr>
          <w:ilvl w:val="0"/>
          <w:numId w:val="21"/>
        </w:numPr>
        <w:spacing w:before="100" w:beforeAutospacing="1" w:after="100" w:afterAutospacing="1"/>
        <w:jc w:val="both"/>
        <w:rPr>
          <w:rFonts w:ascii="Avenir Book" w:hAnsi="Avenir Book"/>
        </w:rPr>
      </w:pPr>
      <w:r w:rsidRPr="00A76F50">
        <w:rPr>
          <w:rFonts w:ascii="Avenir Book" w:hAnsi="Avenir Book"/>
        </w:rPr>
        <w:t>Datos completos del paciente (nombre, apellidos, DNI o número de historia, fecha de nacimiento).</w:t>
      </w:r>
    </w:p>
    <w:p w14:paraId="62D4F090" w14:textId="77777777" w:rsidR="00E16071" w:rsidRPr="00A76F50" w:rsidRDefault="00E16071" w:rsidP="00A76F50">
      <w:pPr>
        <w:numPr>
          <w:ilvl w:val="0"/>
          <w:numId w:val="21"/>
        </w:numPr>
        <w:spacing w:before="100" w:beforeAutospacing="1" w:after="100" w:afterAutospacing="1"/>
        <w:jc w:val="both"/>
        <w:rPr>
          <w:rFonts w:ascii="Avenir Book" w:hAnsi="Avenir Book"/>
        </w:rPr>
      </w:pPr>
      <w:r w:rsidRPr="00A76F50">
        <w:rPr>
          <w:rFonts w:ascii="Avenir Book" w:hAnsi="Avenir Book"/>
        </w:rPr>
        <w:t>Sexo registrado al nacimiento (si procede) y fecha de asignación.</w:t>
      </w:r>
    </w:p>
    <w:p w14:paraId="1E1DB096" w14:textId="77777777" w:rsidR="00E16071" w:rsidRPr="00A76F50" w:rsidRDefault="00E16071" w:rsidP="00A76F50">
      <w:pPr>
        <w:pStyle w:val="Ttulo3"/>
        <w:jc w:val="both"/>
        <w:rPr>
          <w:rFonts w:ascii="Avenir Book" w:hAnsi="Avenir Book"/>
        </w:rPr>
      </w:pPr>
      <w:r w:rsidRPr="00A76F50">
        <w:rPr>
          <w:rFonts w:ascii="Avenir Book" w:hAnsi="Avenir Book"/>
        </w:rPr>
        <w:t>Motivo de derivación</w:t>
      </w:r>
    </w:p>
    <w:p w14:paraId="740C3006" w14:textId="77777777" w:rsidR="00E16071" w:rsidRPr="00A76F50" w:rsidRDefault="00E16071" w:rsidP="00A76F50">
      <w:pPr>
        <w:numPr>
          <w:ilvl w:val="0"/>
          <w:numId w:val="22"/>
        </w:numPr>
        <w:spacing w:before="100" w:beforeAutospacing="1" w:after="100" w:afterAutospacing="1"/>
        <w:jc w:val="both"/>
        <w:rPr>
          <w:rFonts w:ascii="Avenir Book" w:hAnsi="Avenir Book"/>
        </w:rPr>
      </w:pPr>
      <w:r w:rsidRPr="00A76F50">
        <w:rPr>
          <w:rFonts w:ascii="Avenir Book" w:hAnsi="Avenir Book"/>
        </w:rPr>
        <w:t>Descripción breve y clara del hallazgo que motiva la sospecha de DSD.</w:t>
      </w:r>
    </w:p>
    <w:p w14:paraId="129B459A" w14:textId="77777777" w:rsidR="00E16071" w:rsidRPr="00A76F50" w:rsidRDefault="00E16071" w:rsidP="00A76F50">
      <w:pPr>
        <w:numPr>
          <w:ilvl w:val="0"/>
          <w:numId w:val="22"/>
        </w:numPr>
        <w:spacing w:before="100" w:beforeAutospacing="1" w:after="100" w:afterAutospacing="1"/>
        <w:jc w:val="both"/>
        <w:rPr>
          <w:rFonts w:ascii="Avenir Book" w:hAnsi="Avenir Book"/>
        </w:rPr>
      </w:pPr>
      <w:r w:rsidRPr="00A76F50">
        <w:rPr>
          <w:rFonts w:ascii="Avenir Book" w:hAnsi="Avenir Book"/>
        </w:rPr>
        <w:lastRenderedPageBreak/>
        <w:t>Fecha y contexto de la primera detección (alta hospitalaria, revisión pediátrica, consulta por motivo específico).</w:t>
      </w:r>
    </w:p>
    <w:p w14:paraId="69C9DC51" w14:textId="77777777" w:rsidR="00E16071" w:rsidRPr="00A76F50" w:rsidRDefault="00E16071" w:rsidP="00A76F50">
      <w:pPr>
        <w:pStyle w:val="Ttulo3"/>
        <w:jc w:val="both"/>
        <w:rPr>
          <w:rFonts w:ascii="Avenir Book" w:hAnsi="Avenir Book"/>
        </w:rPr>
      </w:pPr>
      <w:r w:rsidRPr="00A76F50">
        <w:rPr>
          <w:rFonts w:ascii="Avenir Book" w:hAnsi="Avenir Book"/>
        </w:rPr>
        <w:t>Antecedentes perinatales y familiares</w:t>
      </w:r>
    </w:p>
    <w:p w14:paraId="0015F22F" w14:textId="77777777" w:rsidR="00E16071" w:rsidRPr="00A76F50" w:rsidRDefault="00E16071" w:rsidP="00A76F50">
      <w:pPr>
        <w:numPr>
          <w:ilvl w:val="0"/>
          <w:numId w:val="23"/>
        </w:numPr>
        <w:spacing w:before="100" w:beforeAutospacing="1" w:after="100" w:afterAutospacing="1"/>
        <w:jc w:val="both"/>
        <w:rPr>
          <w:rFonts w:ascii="Avenir Book" w:hAnsi="Avenir Book"/>
        </w:rPr>
      </w:pPr>
      <w:r w:rsidRPr="00A76F50">
        <w:rPr>
          <w:rFonts w:ascii="Avenir Book" w:hAnsi="Avenir Book"/>
        </w:rPr>
        <w:t>Resumen de antecedentes familiares relevantes: historia de genitales ambiguos, hipospadias severo, infertilidad o amenorrea primaria en familiares directos.</w:t>
      </w:r>
    </w:p>
    <w:p w14:paraId="64F8B7FC" w14:textId="77777777" w:rsidR="00E16071" w:rsidRPr="00A76F50" w:rsidRDefault="00E16071" w:rsidP="00A76F50">
      <w:pPr>
        <w:numPr>
          <w:ilvl w:val="0"/>
          <w:numId w:val="23"/>
        </w:numPr>
        <w:spacing w:before="100" w:beforeAutospacing="1" w:after="100" w:afterAutospacing="1"/>
        <w:jc w:val="both"/>
        <w:rPr>
          <w:rFonts w:ascii="Avenir Book" w:hAnsi="Avenir Book"/>
        </w:rPr>
      </w:pPr>
      <w:r w:rsidRPr="00A76F50">
        <w:rPr>
          <w:rFonts w:ascii="Avenir Book" w:hAnsi="Avenir Book"/>
        </w:rPr>
        <w:t>Datos del embarazo y parto (exposición a fármacos, hallazgos ecográficos prenatales, partos prematuros, PEG, etc.).</w:t>
      </w:r>
    </w:p>
    <w:p w14:paraId="34B72041" w14:textId="77777777" w:rsidR="00E16071" w:rsidRPr="00A76F50" w:rsidRDefault="00E16071" w:rsidP="00A76F50">
      <w:pPr>
        <w:numPr>
          <w:ilvl w:val="0"/>
          <w:numId w:val="23"/>
        </w:numPr>
        <w:spacing w:before="100" w:beforeAutospacing="1" w:after="100" w:afterAutospacing="1"/>
        <w:jc w:val="both"/>
        <w:rPr>
          <w:rFonts w:ascii="Avenir Book" w:hAnsi="Avenir Book"/>
        </w:rPr>
      </w:pPr>
      <w:r w:rsidRPr="00A76F50">
        <w:rPr>
          <w:rFonts w:ascii="Avenir Book" w:hAnsi="Avenir Book"/>
        </w:rPr>
        <w:t>Información neonatal relevante: peso, talla, exploración genital inicial.</w:t>
      </w:r>
    </w:p>
    <w:p w14:paraId="705D3FB1" w14:textId="77777777" w:rsidR="00E16071" w:rsidRPr="00A76F50" w:rsidRDefault="00E16071" w:rsidP="00A76F50">
      <w:pPr>
        <w:pStyle w:val="Ttulo3"/>
        <w:jc w:val="both"/>
        <w:rPr>
          <w:rFonts w:ascii="Avenir Book" w:hAnsi="Avenir Book"/>
        </w:rPr>
      </w:pPr>
      <w:r w:rsidRPr="00A76F50">
        <w:rPr>
          <w:rFonts w:ascii="Avenir Book" w:hAnsi="Avenir Book"/>
        </w:rPr>
        <w:t>Exploración física actual</w:t>
      </w:r>
    </w:p>
    <w:p w14:paraId="44616096" w14:textId="77777777" w:rsidR="00E16071" w:rsidRPr="00A76F50" w:rsidRDefault="00E16071" w:rsidP="00A76F50">
      <w:pPr>
        <w:numPr>
          <w:ilvl w:val="0"/>
          <w:numId w:val="24"/>
        </w:numPr>
        <w:spacing w:before="100" w:beforeAutospacing="1" w:after="100" w:afterAutospacing="1"/>
        <w:jc w:val="both"/>
        <w:rPr>
          <w:rFonts w:ascii="Avenir Book" w:hAnsi="Avenir Book"/>
        </w:rPr>
      </w:pPr>
      <w:r w:rsidRPr="00A76F50">
        <w:rPr>
          <w:rFonts w:ascii="Avenir Book" w:hAnsi="Avenir Book"/>
        </w:rPr>
        <w:t xml:space="preserve">Descripción detallada de los genitales externos: </w:t>
      </w:r>
    </w:p>
    <w:p w14:paraId="66C33AEC" w14:textId="77777777" w:rsidR="00E16071" w:rsidRPr="00A76F50" w:rsidRDefault="00E16071" w:rsidP="00A76F50">
      <w:pPr>
        <w:numPr>
          <w:ilvl w:val="1"/>
          <w:numId w:val="24"/>
        </w:numPr>
        <w:spacing w:before="100" w:beforeAutospacing="1" w:after="100" w:afterAutospacing="1"/>
        <w:jc w:val="both"/>
        <w:rPr>
          <w:rFonts w:ascii="Avenir Book" w:hAnsi="Avenir Book"/>
        </w:rPr>
      </w:pPr>
      <w:r w:rsidRPr="00A76F50">
        <w:rPr>
          <w:rFonts w:ascii="Avenir Book" w:hAnsi="Avenir Book"/>
        </w:rPr>
        <w:t>Posición y morfología de los labios, escroto o estructuras externas.</w:t>
      </w:r>
    </w:p>
    <w:p w14:paraId="6AB8672B" w14:textId="77777777" w:rsidR="00E16071" w:rsidRPr="00A76F50" w:rsidRDefault="00E16071" w:rsidP="00A76F50">
      <w:pPr>
        <w:numPr>
          <w:ilvl w:val="1"/>
          <w:numId w:val="24"/>
        </w:numPr>
        <w:spacing w:before="100" w:beforeAutospacing="1" w:after="100" w:afterAutospacing="1"/>
        <w:jc w:val="both"/>
        <w:rPr>
          <w:rFonts w:ascii="Avenir Book" w:hAnsi="Avenir Book"/>
        </w:rPr>
      </w:pPr>
      <w:r w:rsidRPr="00A76F50">
        <w:rPr>
          <w:rFonts w:ascii="Avenir Book" w:hAnsi="Avenir Book"/>
        </w:rPr>
        <w:t>Tamaño y forma del clítoris o pene (con mediciones si es posible).</w:t>
      </w:r>
    </w:p>
    <w:p w14:paraId="3F5ACAFE" w14:textId="77777777" w:rsidR="00E16071" w:rsidRPr="00A76F50" w:rsidRDefault="00E16071" w:rsidP="00A76F50">
      <w:pPr>
        <w:numPr>
          <w:ilvl w:val="1"/>
          <w:numId w:val="24"/>
        </w:numPr>
        <w:spacing w:before="100" w:beforeAutospacing="1" w:after="100" w:afterAutospacing="1"/>
        <w:jc w:val="both"/>
        <w:rPr>
          <w:rFonts w:ascii="Avenir Book" w:hAnsi="Avenir Book"/>
        </w:rPr>
      </w:pPr>
      <w:r w:rsidRPr="00A76F50">
        <w:rPr>
          <w:rFonts w:ascii="Avenir Book" w:hAnsi="Avenir Book"/>
        </w:rPr>
        <w:t>Localización y consistencia de las gónadas palpables (si lo son).</w:t>
      </w:r>
    </w:p>
    <w:p w14:paraId="192A3B1B" w14:textId="77777777" w:rsidR="00E16071" w:rsidRPr="00A76F50" w:rsidRDefault="00E16071" w:rsidP="00A76F50">
      <w:pPr>
        <w:numPr>
          <w:ilvl w:val="1"/>
          <w:numId w:val="24"/>
        </w:numPr>
        <w:spacing w:before="100" w:beforeAutospacing="1" w:after="100" w:afterAutospacing="1"/>
        <w:jc w:val="both"/>
        <w:rPr>
          <w:rFonts w:ascii="Avenir Book" w:hAnsi="Avenir Book"/>
        </w:rPr>
      </w:pPr>
      <w:r w:rsidRPr="00A76F50">
        <w:rPr>
          <w:rFonts w:ascii="Avenir Book" w:hAnsi="Avenir Book"/>
        </w:rPr>
        <w:t>Presencia o ausencia de orificio vaginal o uretral visible.</w:t>
      </w:r>
    </w:p>
    <w:p w14:paraId="042A4391" w14:textId="77777777" w:rsidR="00E16071" w:rsidRPr="00A76F50" w:rsidRDefault="00E16071" w:rsidP="00A76F50">
      <w:pPr>
        <w:numPr>
          <w:ilvl w:val="0"/>
          <w:numId w:val="24"/>
        </w:numPr>
        <w:spacing w:before="100" w:beforeAutospacing="1" w:after="100" w:afterAutospacing="1"/>
        <w:jc w:val="both"/>
        <w:rPr>
          <w:rFonts w:ascii="Avenir Book" w:hAnsi="Avenir Book"/>
        </w:rPr>
      </w:pPr>
      <w:r w:rsidRPr="00A76F50">
        <w:rPr>
          <w:rFonts w:ascii="Avenir Book" w:hAnsi="Avenir Book"/>
        </w:rPr>
        <w:t>Otros hallazgos físicos relevantes (talla, proporciones corporales, signos de virilización o feminización secundaria).</w:t>
      </w:r>
    </w:p>
    <w:p w14:paraId="646ED376" w14:textId="7062EC05" w:rsidR="00E16071" w:rsidRPr="00A76F50" w:rsidRDefault="00E16071" w:rsidP="00A76F50">
      <w:pPr>
        <w:pStyle w:val="Ttulo3"/>
        <w:jc w:val="both"/>
        <w:rPr>
          <w:rFonts w:ascii="Avenir Book" w:hAnsi="Avenir Book"/>
        </w:rPr>
      </w:pPr>
      <w:r w:rsidRPr="00A76F50">
        <w:rPr>
          <w:rFonts w:ascii="Avenir Book" w:hAnsi="Avenir Book"/>
        </w:rPr>
        <w:t xml:space="preserve">Pruebas complementarias realizadas </w:t>
      </w:r>
    </w:p>
    <w:p w14:paraId="0AB34224" w14:textId="77777777" w:rsidR="00E16071" w:rsidRPr="00A76F50" w:rsidRDefault="00E16071" w:rsidP="00A76F50">
      <w:pPr>
        <w:numPr>
          <w:ilvl w:val="0"/>
          <w:numId w:val="25"/>
        </w:numPr>
        <w:spacing w:before="100" w:beforeAutospacing="1" w:after="100" w:afterAutospacing="1"/>
        <w:jc w:val="both"/>
        <w:rPr>
          <w:rFonts w:ascii="Avenir Book" w:hAnsi="Avenir Book"/>
        </w:rPr>
      </w:pPr>
      <w:r w:rsidRPr="00A76F50">
        <w:rPr>
          <w:rFonts w:ascii="Avenir Book" w:hAnsi="Avenir Book"/>
        </w:rPr>
        <w:t xml:space="preserve">Listado de pruebas solicitadas en Atención Primaria, con sus resultados: </w:t>
      </w:r>
    </w:p>
    <w:p w14:paraId="19FD249D" w14:textId="77777777" w:rsidR="00E16071" w:rsidRPr="00A76F50" w:rsidRDefault="00E16071" w:rsidP="00A76F50">
      <w:pPr>
        <w:numPr>
          <w:ilvl w:val="1"/>
          <w:numId w:val="25"/>
        </w:numPr>
        <w:spacing w:before="100" w:beforeAutospacing="1" w:after="100" w:afterAutospacing="1"/>
        <w:jc w:val="both"/>
        <w:rPr>
          <w:rFonts w:ascii="Avenir Book" w:hAnsi="Avenir Book"/>
        </w:rPr>
      </w:pPr>
      <w:r w:rsidRPr="00A76F50">
        <w:rPr>
          <w:rFonts w:ascii="Avenir Book" w:hAnsi="Avenir Book"/>
        </w:rPr>
        <w:t>Hormonas iniciales (FSH, LH, 17-OHP, testosterona).</w:t>
      </w:r>
    </w:p>
    <w:p w14:paraId="1F726418" w14:textId="77777777" w:rsidR="00E16071" w:rsidRPr="00A76F50" w:rsidRDefault="00E16071" w:rsidP="00A76F50">
      <w:pPr>
        <w:numPr>
          <w:ilvl w:val="1"/>
          <w:numId w:val="25"/>
        </w:numPr>
        <w:spacing w:before="100" w:beforeAutospacing="1" w:after="100" w:afterAutospacing="1"/>
        <w:jc w:val="both"/>
        <w:rPr>
          <w:rFonts w:ascii="Avenir Book" w:hAnsi="Avenir Book"/>
        </w:rPr>
      </w:pPr>
      <w:r w:rsidRPr="00A76F50">
        <w:rPr>
          <w:rFonts w:ascii="Avenir Book" w:hAnsi="Avenir Book"/>
        </w:rPr>
        <w:t>Ecografía abdominal o genital.</w:t>
      </w:r>
    </w:p>
    <w:p w14:paraId="0276A405" w14:textId="77777777" w:rsidR="00E16071" w:rsidRPr="00A76F50" w:rsidRDefault="00E16071" w:rsidP="00A76F50">
      <w:pPr>
        <w:numPr>
          <w:ilvl w:val="1"/>
          <w:numId w:val="25"/>
        </w:numPr>
        <w:spacing w:before="100" w:beforeAutospacing="1" w:after="100" w:afterAutospacing="1"/>
        <w:jc w:val="both"/>
        <w:rPr>
          <w:rFonts w:ascii="Avenir Book" w:hAnsi="Avenir Book"/>
        </w:rPr>
      </w:pPr>
      <w:r w:rsidRPr="00A76F50">
        <w:rPr>
          <w:rFonts w:ascii="Avenir Book" w:hAnsi="Avenir Book"/>
        </w:rPr>
        <w:t>Ionograma y glucemia (si se sospecha pérdida de sal).</w:t>
      </w:r>
    </w:p>
    <w:p w14:paraId="1C7F093E" w14:textId="77777777" w:rsidR="00E16071" w:rsidRPr="00A76F50" w:rsidRDefault="00E16071" w:rsidP="00A76F50">
      <w:pPr>
        <w:numPr>
          <w:ilvl w:val="0"/>
          <w:numId w:val="25"/>
        </w:numPr>
        <w:spacing w:before="100" w:beforeAutospacing="1" w:after="100" w:afterAutospacing="1"/>
        <w:jc w:val="both"/>
        <w:rPr>
          <w:rFonts w:ascii="Avenir Book" w:hAnsi="Avenir Book"/>
        </w:rPr>
      </w:pPr>
      <w:r w:rsidRPr="00A76F50">
        <w:rPr>
          <w:rFonts w:ascii="Avenir Book" w:hAnsi="Avenir Book"/>
        </w:rPr>
        <w:t>Interpretación preliminar (sin emitir diagnósticos definitivos).</w:t>
      </w:r>
    </w:p>
    <w:p w14:paraId="5092568F" w14:textId="77777777" w:rsidR="00E16071" w:rsidRPr="00A76F50" w:rsidRDefault="00E16071" w:rsidP="00A76F50">
      <w:pPr>
        <w:pStyle w:val="Ttulo3"/>
        <w:jc w:val="both"/>
        <w:rPr>
          <w:rFonts w:ascii="Avenir Book" w:hAnsi="Avenir Book"/>
        </w:rPr>
      </w:pPr>
      <w:r w:rsidRPr="00A76F50">
        <w:rPr>
          <w:rFonts w:ascii="Avenir Book" w:hAnsi="Avenir Book"/>
        </w:rPr>
        <w:t>Documentación fotográfica (opcional)</w:t>
      </w:r>
    </w:p>
    <w:p w14:paraId="190F7DEC"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En algunos casos, especialmente ante </w:t>
      </w:r>
      <w:r w:rsidRPr="00A76F50">
        <w:rPr>
          <w:rStyle w:val="Textoennegrita"/>
          <w:rFonts w:ascii="Avenir Book" w:hAnsi="Avenir Book"/>
        </w:rPr>
        <w:t>genitales ambiguos evidentes</w:t>
      </w:r>
      <w:r w:rsidRPr="00A76F50">
        <w:rPr>
          <w:rFonts w:ascii="Avenir Book" w:hAnsi="Avenir Book"/>
        </w:rPr>
        <w:t xml:space="preserve"> o situaciones en las que el fenotipo es discordante y puede modificarse entre exploraciones, puede ser útil adjuntar </w:t>
      </w:r>
      <w:r w:rsidRPr="00A76F50">
        <w:rPr>
          <w:rStyle w:val="Textoennegrita"/>
          <w:rFonts w:ascii="Avenir Book" w:hAnsi="Avenir Book"/>
        </w:rPr>
        <w:t>fotografías clínicas</w:t>
      </w:r>
      <w:r w:rsidRPr="00A76F50">
        <w:rPr>
          <w:rFonts w:ascii="Avenir Book" w:hAnsi="Avenir Book"/>
        </w:rPr>
        <w:t>. Estas deben ser siempre:</w:t>
      </w:r>
    </w:p>
    <w:p w14:paraId="025E95A3" w14:textId="77777777" w:rsidR="00E16071" w:rsidRPr="00A76F50" w:rsidRDefault="00E16071" w:rsidP="00A76F50">
      <w:pPr>
        <w:numPr>
          <w:ilvl w:val="0"/>
          <w:numId w:val="26"/>
        </w:numPr>
        <w:spacing w:before="100" w:beforeAutospacing="1" w:after="100" w:afterAutospacing="1"/>
        <w:jc w:val="both"/>
        <w:rPr>
          <w:rFonts w:ascii="Avenir Book" w:hAnsi="Avenir Book"/>
        </w:rPr>
      </w:pPr>
      <w:r w:rsidRPr="00A76F50">
        <w:rPr>
          <w:rFonts w:ascii="Avenir Book" w:hAnsi="Avenir Book"/>
        </w:rPr>
        <w:t>Realizadas con consentimiento informado expreso de los padres.</w:t>
      </w:r>
    </w:p>
    <w:p w14:paraId="019F4BF6" w14:textId="77777777" w:rsidR="00E16071" w:rsidRPr="00A76F50" w:rsidRDefault="00E16071" w:rsidP="00A76F50">
      <w:pPr>
        <w:numPr>
          <w:ilvl w:val="0"/>
          <w:numId w:val="26"/>
        </w:numPr>
        <w:spacing w:before="100" w:beforeAutospacing="1" w:after="100" w:afterAutospacing="1"/>
        <w:jc w:val="both"/>
        <w:rPr>
          <w:rFonts w:ascii="Avenir Book" w:hAnsi="Avenir Book"/>
        </w:rPr>
      </w:pPr>
      <w:r w:rsidRPr="00A76F50">
        <w:rPr>
          <w:rFonts w:ascii="Avenir Book" w:hAnsi="Avenir Book"/>
        </w:rPr>
        <w:t>Incorporadas a la historia clínica con protección de datos.</w:t>
      </w:r>
    </w:p>
    <w:p w14:paraId="5731C342" w14:textId="77777777" w:rsidR="00E16071" w:rsidRPr="00A76F50" w:rsidRDefault="00E16071" w:rsidP="00A76F50">
      <w:pPr>
        <w:numPr>
          <w:ilvl w:val="0"/>
          <w:numId w:val="26"/>
        </w:numPr>
        <w:spacing w:before="100" w:beforeAutospacing="1" w:after="100" w:afterAutospacing="1"/>
        <w:jc w:val="both"/>
        <w:rPr>
          <w:rFonts w:ascii="Avenir Book" w:hAnsi="Avenir Book"/>
        </w:rPr>
      </w:pPr>
      <w:r w:rsidRPr="00A76F50">
        <w:rPr>
          <w:rFonts w:ascii="Avenir Book" w:hAnsi="Avenir Book"/>
        </w:rPr>
        <w:t>Enviadas solo a través de canales seguros, evitando mensajería no protegida.</w:t>
      </w:r>
    </w:p>
    <w:p w14:paraId="2B1C8FDE" w14:textId="77777777" w:rsidR="00E16071" w:rsidRPr="00A76F50" w:rsidRDefault="00E16071" w:rsidP="00A76F50">
      <w:pPr>
        <w:pStyle w:val="Ttulo3"/>
        <w:jc w:val="both"/>
        <w:rPr>
          <w:rFonts w:ascii="Avenir Book" w:hAnsi="Avenir Book"/>
        </w:rPr>
      </w:pPr>
      <w:r w:rsidRPr="00A76F50">
        <w:rPr>
          <w:rFonts w:ascii="Avenir Book" w:hAnsi="Avenir Book"/>
        </w:rPr>
        <w:lastRenderedPageBreak/>
        <w:t>Prioridad de la derivación</w:t>
      </w:r>
    </w:p>
    <w:p w14:paraId="01C7F6AB" w14:textId="77777777" w:rsidR="00E16071" w:rsidRPr="00A76F50" w:rsidRDefault="00E16071" w:rsidP="00A76F50">
      <w:pPr>
        <w:numPr>
          <w:ilvl w:val="0"/>
          <w:numId w:val="27"/>
        </w:numPr>
        <w:spacing w:before="100" w:beforeAutospacing="1" w:after="100" w:afterAutospacing="1"/>
        <w:jc w:val="both"/>
        <w:rPr>
          <w:rFonts w:ascii="Avenir Book" w:hAnsi="Avenir Book"/>
        </w:rPr>
      </w:pPr>
      <w:r w:rsidRPr="00A76F50">
        <w:rPr>
          <w:rFonts w:ascii="Avenir Book" w:hAnsi="Avenir Book"/>
        </w:rPr>
        <w:t>Justificación de la urgencia (si procede).</w:t>
      </w:r>
    </w:p>
    <w:p w14:paraId="6F4EA861" w14:textId="77777777" w:rsidR="00E16071" w:rsidRPr="00A76F50" w:rsidRDefault="00E16071" w:rsidP="00A76F50">
      <w:pPr>
        <w:numPr>
          <w:ilvl w:val="0"/>
          <w:numId w:val="27"/>
        </w:numPr>
        <w:spacing w:before="100" w:beforeAutospacing="1" w:after="100" w:afterAutospacing="1"/>
        <w:jc w:val="both"/>
        <w:rPr>
          <w:rFonts w:ascii="Avenir Book" w:hAnsi="Avenir Book"/>
        </w:rPr>
      </w:pPr>
      <w:r w:rsidRPr="00A76F50">
        <w:rPr>
          <w:rFonts w:ascii="Avenir Book" w:hAnsi="Avenir Book"/>
        </w:rPr>
        <w:t xml:space="preserve">Indicación de que el paciente presenta una posible </w:t>
      </w:r>
      <w:r w:rsidRPr="00A76F50">
        <w:rPr>
          <w:rStyle w:val="Textoennegrita"/>
          <w:rFonts w:ascii="Avenir Book" w:hAnsi="Avenir Book"/>
        </w:rPr>
        <w:t>variación del desarrollo sexual</w:t>
      </w:r>
      <w:r w:rsidRPr="00A76F50">
        <w:rPr>
          <w:rFonts w:ascii="Avenir Book" w:hAnsi="Avenir Book"/>
        </w:rPr>
        <w:t xml:space="preserve"> que requiere valoración multidisciplinar.</w:t>
      </w:r>
    </w:p>
    <w:p w14:paraId="379E7C2A" w14:textId="77777777" w:rsidR="00E16071" w:rsidRPr="00A76F50" w:rsidRDefault="00E16071" w:rsidP="00A76F50">
      <w:pPr>
        <w:numPr>
          <w:ilvl w:val="0"/>
          <w:numId w:val="27"/>
        </w:numPr>
        <w:spacing w:before="100" w:beforeAutospacing="1" w:after="100" w:afterAutospacing="1"/>
        <w:jc w:val="both"/>
        <w:rPr>
          <w:rFonts w:ascii="Avenir Book" w:hAnsi="Avenir Book"/>
        </w:rPr>
      </w:pPr>
      <w:r w:rsidRPr="00A76F50">
        <w:rPr>
          <w:rFonts w:ascii="Avenir Book" w:hAnsi="Avenir Book"/>
        </w:rPr>
        <w:t>Si existe un circuito regional específico, referencia directa al mismo.</w:t>
      </w:r>
    </w:p>
    <w:p w14:paraId="52096DDC" w14:textId="77777777" w:rsidR="00E16071" w:rsidRPr="00A76F50" w:rsidRDefault="00E16071" w:rsidP="00A76F50">
      <w:pPr>
        <w:pStyle w:val="Ttulo2"/>
        <w:jc w:val="both"/>
        <w:rPr>
          <w:rFonts w:ascii="Avenir Book" w:hAnsi="Avenir Book"/>
        </w:rPr>
      </w:pPr>
    </w:p>
    <w:p w14:paraId="6E02C47B" w14:textId="1E057295" w:rsidR="00E16071" w:rsidRPr="00A76F50" w:rsidRDefault="00E16071" w:rsidP="00A76F50">
      <w:pPr>
        <w:pStyle w:val="Ttulo2"/>
        <w:jc w:val="both"/>
        <w:rPr>
          <w:rFonts w:ascii="Avenir Book" w:hAnsi="Avenir Book"/>
        </w:rPr>
      </w:pPr>
      <w:r w:rsidRPr="00A76F50">
        <w:rPr>
          <w:rFonts w:ascii="Avenir Book" w:hAnsi="Avenir Book"/>
        </w:rPr>
        <w:t>4. Coordinación entre Atención Primaria y unidades especializadas: mantener el vínculo tras la derivación</w:t>
      </w:r>
    </w:p>
    <w:p w14:paraId="7B388356"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El papel de </w:t>
      </w:r>
      <w:r w:rsidRPr="00A76F50">
        <w:rPr>
          <w:rStyle w:val="Textoennegrita"/>
          <w:rFonts w:ascii="Avenir Book" w:hAnsi="Avenir Book"/>
        </w:rPr>
        <w:t>Atención Primaria</w:t>
      </w:r>
      <w:r w:rsidRPr="00A76F50">
        <w:rPr>
          <w:rFonts w:ascii="Avenir Book" w:hAnsi="Avenir Book"/>
        </w:rPr>
        <w:t xml:space="preserve"> en el manejo de pacientes con DSD no finaliza con la derivación. Incluso tras la confirmación diagnóstica y la asunción del caso por parte de una </w:t>
      </w:r>
      <w:r w:rsidRPr="00A76F50">
        <w:rPr>
          <w:rStyle w:val="Textoennegrita"/>
          <w:rFonts w:ascii="Avenir Book" w:hAnsi="Avenir Book"/>
        </w:rPr>
        <w:t>unidad especializada o un hospital de referencia</w:t>
      </w:r>
      <w:r w:rsidRPr="00A76F50">
        <w:rPr>
          <w:rFonts w:ascii="Avenir Book" w:hAnsi="Avenir Book"/>
        </w:rPr>
        <w:t xml:space="preserve">, el pediatra o médico de familia sigue siendo una </w:t>
      </w:r>
      <w:r w:rsidRPr="00A76F50">
        <w:rPr>
          <w:rStyle w:val="Textoennegrita"/>
          <w:rFonts w:ascii="Avenir Book" w:hAnsi="Avenir Book"/>
        </w:rPr>
        <w:t>figura clave</w:t>
      </w:r>
      <w:r w:rsidRPr="00A76F50">
        <w:rPr>
          <w:rFonts w:ascii="Avenir Book" w:hAnsi="Avenir Book"/>
        </w:rPr>
        <w:t xml:space="preserve"> para la familia y para el propio equipo especializado.</w:t>
      </w:r>
    </w:p>
    <w:p w14:paraId="421386BC" w14:textId="77777777" w:rsidR="00E16071" w:rsidRPr="00A76F50" w:rsidRDefault="00E16071" w:rsidP="00A76F50">
      <w:pPr>
        <w:pStyle w:val="Ttulo3"/>
        <w:jc w:val="both"/>
        <w:rPr>
          <w:rFonts w:ascii="Avenir Book" w:hAnsi="Avenir Book"/>
        </w:rPr>
      </w:pPr>
      <w:r w:rsidRPr="00A76F50">
        <w:rPr>
          <w:rFonts w:ascii="Avenir Book" w:hAnsi="Avenir Book"/>
        </w:rPr>
        <w:t>Papel de Atención Primaria tras la derivación</w:t>
      </w:r>
    </w:p>
    <w:p w14:paraId="0224A3F5" w14:textId="77777777" w:rsidR="00E16071" w:rsidRPr="00A76F50" w:rsidRDefault="00E16071" w:rsidP="00A76F50">
      <w:pPr>
        <w:numPr>
          <w:ilvl w:val="0"/>
          <w:numId w:val="28"/>
        </w:numPr>
        <w:spacing w:before="100" w:beforeAutospacing="1" w:after="100" w:afterAutospacing="1"/>
        <w:jc w:val="both"/>
        <w:rPr>
          <w:rFonts w:ascii="Avenir Book" w:hAnsi="Avenir Book"/>
        </w:rPr>
      </w:pPr>
      <w:r w:rsidRPr="00A76F50">
        <w:rPr>
          <w:rStyle w:val="Textoennegrita"/>
          <w:rFonts w:ascii="Avenir Book" w:hAnsi="Avenir Book"/>
        </w:rPr>
        <w:t>Acompañamiento y apoyo emocional</w:t>
      </w:r>
      <w:r w:rsidRPr="00A76F50">
        <w:rPr>
          <w:rFonts w:ascii="Avenir Book" w:hAnsi="Avenir Book"/>
        </w:rPr>
        <w:t>: La sospecha y confirmación de un DSD generan un fuerte impacto emocional en las familias, que suelen recurrir a su médico de confianza (pediatra de AP o médico de familia) para resolver dudas, expresar miedos y solicitar orientación adicional.</w:t>
      </w:r>
    </w:p>
    <w:p w14:paraId="52B29052" w14:textId="77777777" w:rsidR="00E16071" w:rsidRPr="00A76F50" w:rsidRDefault="00E16071" w:rsidP="00A76F50">
      <w:pPr>
        <w:numPr>
          <w:ilvl w:val="0"/>
          <w:numId w:val="28"/>
        </w:numPr>
        <w:spacing w:before="100" w:beforeAutospacing="1" w:after="100" w:afterAutospacing="1"/>
        <w:jc w:val="both"/>
        <w:rPr>
          <w:rFonts w:ascii="Avenir Book" w:hAnsi="Avenir Book"/>
        </w:rPr>
      </w:pPr>
      <w:r w:rsidRPr="00A76F50">
        <w:rPr>
          <w:rStyle w:val="Textoennegrita"/>
          <w:rFonts w:ascii="Avenir Book" w:hAnsi="Avenir Book"/>
        </w:rPr>
        <w:t>Coordinación de cuidados generales</w:t>
      </w:r>
      <w:r w:rsidRPr="00A76F50">
        <w:rPr>
          <w:rFonts w:ascii="Avenir Book" w:hAnsi="Avenir Book"/>
        </w:rPr>
        <w:t xml:space="preserve">: El médico de AP es responsable de la salud global del niño o adolescente, incluyendo aspectos como la </w:t>
      </w:r>
      <w:r w:rsidRPr="00A76F50">
        <w:rPr>
          <w:rStyle w:val="Textoennegrita"/>
          <w:rFonts w:ascii="Avenir Book" w:hAnsi="Avenir Book"/>
        </w:rPr>
        <w:t>vacunación, seguimiento del crecimiento y desarrollo</w:t>
      </w:r>
      <w:r w:rsidRPr="00A76F50">
        <w:rPr>
          <w:rFonts w:ascii="Avenir Book" w:hAnsi="Avenir Book"/>
        </w:rPr>
        <w:t>, y la prevención de comorbilidades.</w:t>
      </w:r>
    </w:p>
    <w:p w14:paraId="27577AFA" w14:textId="77777777" w:rsidR="00E16071" w:rsidRPr="00A76F50" w:rsidRDefault="00E16071" w:rsidP="00A76F50">
      <w:pPr>
        <w:numPr>
          <w:ilvl w:val="0"/>
          <w:numId w:val="28"/>
        </w:numPr>
        <w:spacing w:before="100" w:beforeAutospacing="1" w:after="100" w:afterAutospacing="1"/>
        <w:jc w:val="both"/>
        <w:rPr>
          <w:rFonts w:ascii="Avenir Book" w:hAnsi="Avenir Book"/>
        </w:rPr>
      </w:pPr>
      <w:r w:rsidRPr="00A76F50">
        <w:rPr>
          <w:rStyle w:val="Textoennegrita"/>
          <w:rFonts w:ascii="Avenir Book" w:hAnsi="Avenir Book"/>
        </w:rPr>
        <w:t>Vigilancia de complicaciones</w:t>
      </w:r>
      <w:r w:rsidRPr="00A76F50">
        <w:rPr>
          <w:rFonts w:ascii="Avenir Book" w:hAnsi="Avenir Book"/>
        </w:rPr>
        <w:t>: Algunos DSD conllevan riesgos específicos (hiperplasia suprarrenal y crisis suprarrenales, disgenesia gonadal y riesgo tumoral, etc.) que pueden manifestarse en el entorno de AP. Conocer estos riesgos es esencial.</w:t>
      </w:r>
    </w:p>
    <w:p w14:paraId="6215837D" w14:textId="77777777" w:rsidR="00E16071" w:rsidRPr="00A76F50" w:rsidRDefault="00E16071" w:rsidP="00A76F50">
      <w:pPr>
        <w:numPr>
          <w:ilvl w:val="0"/>
          <w:numId w:val="28"/>
        </w:numPr>
        <w:spacing w:before="100" w:beforeAutospacing="1" w:after="100" w:afterAutospacing="1"/>
        <w:jc w:val="both"/>
        <w:rPr>
          <w:rFonts w:ascii="Avenir Book" w:hAnsi="Avenir Book"/>
        </w:rPr>
      </w:pPr>
      <w:r w:rsidRPr="00A76F50">
        <w:rPr>
          <w:rStyle w:val="Textoennegrita"/>
          <w:rFonts w:ascii="Avenir Book" w:hAnsi="Avenir Book"/>
        </w:rPr>
        <w:t>Asegurar el cumplimiento de revisiones especializadas</w:t>
      </w:r>
      <w:r w:rsidRPr="00A76F50">
        <w:rPr>
          <w:rFonts w:ascii="Avenir Book" w:hAnsi="Avenir Book"/>
        </w:rPr>
        <w:t xml:space="preserve">: En muchas ocasiones, el pediatra de AP debe recordar o reforzar la </w:t>
      </w:r>
      <w:r w:rsidRPr="00A76F50">
        <w:rPr>
          <w:rStyle w:val="Textoennegrita"/>
          <w:rFonts w:ascii="Avenir Book" w:hAnsi="Avenir Book"/>
        </w:rPr>
        <w:t>importancia de las citas periódicas</w:t>
      </w:r>
      <w:r w:rsidRPr="00A76F50">
        <w:rPr>
          <w:rFonts w:ascii="Avenir Book" w:hAnsi="Avenir Book"/>
        </w:rPr>
        <w:t xml:space="preserve"> en la unidad especializada y puede colaborar en la </w:t>
      </w:r>
      <w:r w:rsidRPr="00A76F50">
        <w:rPr>
          <w:rStyle w:val="Textoennegrita"/>
          <w:rFonts w:ascii="Avenir Book" w:hAnsi="Avenir Book"/>
        </w:rPr>
        <w:t>adherencia a tratamientos hormonales o de sustitución</w:t>
      </w:r>
      <w:r w:rsidRPr="00A76F50">
        <w:rPr>
          <w:rFonts w:ascii="Avenir Book" w:hAnsi="Avenir Book"/>
        </w:rPr>
        <w:t>.</w:t>
      </w:r>
    </w:p>
    <w:p w14:paraId="78028009" w14:textId="77777777" w:rsidR="00E16071" w:rsidRPr="00A76F50" w:rsidRDefault="00E16071" w:rsidP="00A76F50">
      <w:pPr>
        <w:pStyle w:val="Ttulo3"/>
        <w:jc w:val="both"/>
        <w:rPr>
          <w:rFonts w:ascii="Avenir Book" w:hAnsi="Avenir Book"/>
        </w:rPr>
      </w:pPr>
    </w:p>
    <w:p w14:paraId="7F38E365" w14:textId="77777777" w:rsidR="00A76F50" w:rsidRDefault="00A76F50" w:rsidP="00A76F50">
      <w:pPr>
        <w:pStyle w:val="Ttulo3"/>
        <w:jc w:val="both"/>
        <w:rPr>
          <w:rFonts w:ascii="Avenir Book" w:hAnsi="Avenir Book"/>
        </w:rPr>
      </w:pPr>
    </w:p>
    <w:p w14:paraId="6E6234DD" w14:textId="4202C47E" w:rsidR="00E16071" w:rsidRPr="00A76F50" w:rsidRDefault="00E16071" w:rsidP="00A76F50">
      <w:pPr>
        <w:pStyle w:val="Ttulo3"/>
        <w:jc w:val="both"/>
        <w:rPr>
          <w:rFonts w:ascii="Avenir Book" w:hAnsi="Avenir Book"/>
        </w:rPr>
      </w:pPr>
      <w:r w:rsidRPr="00A76F50">
        <w:rPr>
          <w:rFonts w:ascii="Avenir Book" w:hAnsi="Avenir Book"/>
        </w:rPr>
        <w:lastRenderedPageBreak/>
        <w:t>Comunicación bidireccional</w:t>
      </w:r>
    </w:p>
    <w:p w14:paraId="4892F60D"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Para que esta coordinación sea efectiva, es fundamental establecer un canal de comunicación fluido entre la unidad especializada y Atención Primaria. En el contexto ideal, cada paciente con DSD debería contar con un </w:t>
      </w:r>
      <w:r w:rsidRPr="00A76F50">
        <w:rPr>
          <w:rStyle w:val="Textoennegrita"/>
          <w:rFonts w:ascii="Avenir Book" w:hAnsi="Avenir Book"/>
        </w:rPr>
        <w:t>plan de seguimiento compartido</w:t>
      </w:r>
      <w:r w:rsidRPr="00A76F50">
        <w:rPr>
          <w:rFonts w:ascii="Avenir Book" w:hAnsi="Avenir Book"/>
        </w:rPr>
        <w:t>, donde se definan:</w:t>
      </w:r>
    </w:p>
    <w:p w14:paraId="48F61CA0" w14:textId="77777777" w:rsidR="00E16071" w:rsidRPr="00A76F50" w:rsidRDefault="00E16071" w:rsidP="00A76F50">
      <w:pPr>
        <w:numPr>
          <w:ilvl w:val="0"/>
          <w:numId w:val="29"/>
        </w:numPr>
        <w:spacing w:before="100" w:beforeAutospacing="1" w:after="100" w:afterAutospacing="1"/>
        <w:jc w:val="both"/>
        <w:rPr>
          <w:rFonts w:ascii="Avenir Book" w:hAnsi="Avenir Book"/>
        </w:rPr>
      </w:pPr>
      <w:r w:rsidRPr="00A76F50">
        <w:rPr>
          <w:rStyle w:val="Textoennegrita"/>
          <w:rFonts w:ascii="Avenir Book" w:hAnsi="Avenir Book"/>
        </w:rPr>
        <w:t>Funciones de cada nivel asistencial</w:t>
      </w:r>
      <w:r w:rsidRPr="00A76F50">
        <w:rPr>
          <w:rFonts w:ascii="Avenir Book" w:hAnsi="Avenir Book"/>
        </w:rPr>
        <w:t xml:space="preserve"> (qué controles realiza cada uno).</w:t>
      </w:r>
    </w:p>
    <w:p w14:paraId="24B5000A" w14:textId="77777777" w:rsidR="00E16071" w:rsidRPr="00A76F50" w:rsidRDefault="00E16071" w:rsidP="00A76F50">
      <w:pPr>
        <w:numPr>
          <w:ilvl w:val="0"/>
          <w:numId w:val="29"/>
        </w:numPr>
        <w:spacing w:before="100" w:beforeAutospacing="1" w:after="100" w:afterAutospacing="1"/>
        <w:jc w:val="both"/>
        <w:rPr>
          <w:rFonts w:ascii="Avenir Book" w:hAnsi="Avenir Book"/>
        </w:rPr>
      </w:pPr>
      <w:r w:rsidRPr="00A76F50">
        <w:rPr>
          <w:rStyle w:val="Textoennegrita"/>
          <w:rFonts w:ascii="Avenir Book" w:hAnsi="Avenir Book"/>
        </w:rPr>
        <w:t>Pruebas que pueden solicitarse desde AP</w:t>
      </w:r>
      <w:r w:rsidRPr="00A76F50">
        <w:rPr>
          <w:rFonts w:ascii="Avenir Book" w:hAnsi="Avenir Book"/>
        </w:rPr>
        <w:t xml:space="preserve"> y cuándo.</w:t>
      </w:r>
    </w:p>
    <w:p w14:paraId="4ECF5846" w14:textId="77777777" w:rsidR="00E16071" w:rsidRPr="00A76F50" w:rsidRDefault="00E16071" w:rsidP="00A76F50">
      <w:pPr>
        <w:numPr>
          <w:ilvl w:val="0"/>
          <w:numId w:val="29"/>
        </w:numPr>
        <w:spacing w:before="100" w:beforeAutospacing="1" w:after="100" w:afterAutospacing="1"/>
        <w:jc w:val="both"/>
        <w:rPr>
          <w:rFonts w:ascii="Avenir Book" w:hAnsi="Avenir Book"/>
        </w:rPr>
      </w:pPr>
      <w:r w:rsidRPr="00A76F50">
        <w:rPr>
          <w:rStyle w:val="Textoennegrita"/>
          <w:rFonts w:ascii="Avenir Book" w:hAnsi="Avenir Book"/>
        </w:rPr>
        <w:t>Vías de consulta rápida o interconsulta no presencial</w:t>
      </w:r>
      <w:r w:rsidRPr="00A76F50">
        <w:rPr>
          <w:rFonts w:ascii="Avenir Book" w:hAnsi="Avenir Book"/>
        </w:rPr>
        <w:t xml:space="preserve"> ante dudas o signos de alarma.</w:t>
      </w:r>
    </w:p>
    <w:p w14:paraId="037A4AB4" w14:textId="77777777" w:rsidR="00E16071" w:rsidRPr="00A76F50" w:rsidRDefault="00E16071" w:rsidP="00A76F50">
      <w:pPr>
        <w:pStyle w:val="NormalWeb"/>
        <w:jc w:val="both"/>
        <w:rPr>
          <w:rFonts w:ascii="Avenir Book" w:hAnsi="Avenir Book"/>
        </w:rPr>
      </w:pPr>
      <w:r w:rsidRPr="00A76F50">
        <w:rPr>
          <w:rFonts w:ascii="Avenir Book" w:hAnsi="Avenir Book"/>
        </w:rPr>
        <w:t>En la práctica, estos circuitos no siempre están formalizados, por lo que es recomendable que el pediatra de AP o médico de familia:</w:t>
      </w:r>
    </w:p>
    <w:p w14:paraId="059083A2" w14:textId="77777777" w:rsidR="00E16071" w:rsidRPr="00A76F50" w:rsidRDefault="00E16071" w:rsidP="00A76F50">
      <w:pPr>
        <w:numPr>
          <w:ilvl w:val="0"/>
          <w:numId w:val="30"/>
        </w:numPr>
        <w:spacing w:before="100" w:beforeAutospacing="1" w:after="100" w:afterAutospacing="1"/>
        <w:jc w:val="both"/>
        <w:rPr>
          <w:rFonts w:ascii="Avenir Book" w:hAnsi="Avenir Book"/>
        </w:rPr>
      </w:pPr>
      <w:r w:rsidRPr="00A76F50">
        <w:rPr>
          <w:rFonts w:ascii="Avenir Book" w:hAnsi="Avenir Book"/>
        </w:rPr>
        <w:t>Identifique claramente al profesional de referencia en la unidad especializada.</w:t>
      </w:r>
    </w:p>
    <w:p w14:paraId="14167FB9" w14:textId="77777777" w:rsidR="00E16071" w:rsidRPr="00A76F50" w:rsidRDefault="00E16071" w:rsidP="00A76F50">
      <w:pPr>
        <w:numPr>
          <w:ilvl w:val="0"/>
          <w:numId w:val="30"/>
        </w:numPr>
        <w:spacing w:before="100" w:beforeAutospacing="1" w:after="100" w:afterAutospacing="1"/>
        <w:jc w:val="both"/>
        <w:rPr>
          <w:rFonts w:ascii="Avenir Book" w:hAnsi="Avenir Book"/>
        </w:rPr>
      </w:pPr>
      <w:r w:rsidRPr="00A76F50">
        <w:rPr>
          <w:rFonts w:ascii="Avenir Book" w:hAnsi="Avenir Book"/>
        </w:rPr>
        <w:t xml:space="preserve">Solicite por escrito o de forma informal un </w:t>
      </w:r>
      <w:r w:rsidRPr="00A76F50">
        <w:rPr>
          <w:rStyle w:val="Textoennegrita"/>
          <w:rFonts w:ascii="Avenir Book" w:hAnsi="Avenir Book"/>
        </w:rPr>
        <w:t>plan de seguimiento inicial</w:t>
      </w:r>
      <w:r w:rsidRPr="00A76F50">
        <w:rPr>
          <w:rFonts w:ascii="Avenir Book" w:hAnsi="Avenir Book"/>
        </w:rPr>
        <w:t>.</w:t>
      </w:r>
    </w:p>
    <w:p w14:paraId="3E2E9394" w14:textId="77777777" w:rsidR="00E16071" w:rsidRPr="00A76F50" w:rsidRDefault="00E16071" w:rsidP="00A76F50">
      <w:pPr>
        <w:numPr>
          <w:ilvl w:val="0"/>
          <w:numId w:val="30"/>
        </w:numPr>
        <w:spacing w:before="100" w:beforeAutospacing="1" w:after="100" w:afterAutospacing="1"/>
        <w:jc w:val="both"/>
        <w:rPr>
          <w:rFonts w:ascii="Avenir Book" w:hAnsi="Avenir Book"/>
        </w:rPr>
      </w:pPr>
      <w:r w:rsidRPr="00A76F50">
        <w:rPr>
          <w:rFonts w:ascii="Avenir Book" w:hAnsi="Avenir Book"/>
        </w:rPr>
        <w:t xml:space="preserve">Mantenga un contacto periódico, especialmente tras </w:t>
      </w:r>
      <w:r w:rsidRPr="00A76F50">
        <w:rPr>
          <w:rStyle w:val="Textoennegrita"/>
          <w:rFonts w:ascii="Avenir Book" w:hAnsi="Avenir Book"/>
        </w:rPr>
        <w:t>revisiones clave o cambios de tratamiento</w:t>
      </w:r>
      <w:r w:rsidRPr="00A76F50">
        <w:rPr>
          <w:rFonts w:ascii="Avenir Book" w:hAnsi="Avenir Book"/>
        </w:rPr>
        <w:t>.</w:t>
      </w:r>
    </w:p>
    <w:p w14:paraId="1BE07786" w14:textId="77777777" w:rsidR="00E16071" w:rsidRPr="00A76F50" w:rsidRDefault="00E16071" w:rsidP="00A76F50">
      <w:pPr>
        <w:pStyle w:val="Ttulo3"/>
        <w:jc w:val="both"/>
        <w:rPr>
          <w:rFonts w:ascii="Avenir Book" w:hAnsi="Avenir Book"/>
        </w:rPr>
      </w:pPr>
      <w:r w:rsidRPr="00A76F50">
        <w:rPr>
          <w:rFonts w:ascii="Avenir Book" w:hAnsi="Avenir Book"/>
        </w:rPr>
        <w:t>Continuidad asistencial</w:t>
      </w:r>
    </w:p>
    <w:p w14:paraId="0D561298"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Los DSD son </w:t>
      </w:r>
      <w:r w:rsidRPr="00A76F50">
        <w:rPr>
          <w:rStyle w:val="Textoennegrita"/>
          <w:rFonts w:ascii="Avenir Book" w:hAnsi="Avenir Book"/>
        </w:rPr>
        <w:t>condiciones crónicas</w:t>
      </w:r>
      <w:r w:rsidRPr="00A76F50">
        <w:rPr>
          <w:rFonts w:ascii="Avenir Book" w:hAnsi="Avenir Book"/>
        </w:rPr>
        <w:t xml:space="preserve">, cuyo impacto puede prolongarse a lo largo de toda la vida. En este contexto, la </w:t>
      </w:r>
      <w:r w:rsidRPr="00A76F50">
        <w:rPr>
          <w:rStyle w:val="Textoennegrita"/>
          <w:rFonts w:ascii="Avenir Book" w:hAnsi="Avenir Book"/>
        </w:rPr>
        <w:t>continuidad asistencial</w:t>
      </w:r>
      <w:r w:rsidRPr="00A76F50">
        <w:rPr>
          <w:rFonts w:ascii="Avenir Book" w:hAnsi="Avenir Book"/>
        </w:rPr>
        <w:t xml:space="preserve"> es clave, y el médico de Atención Primaria actúa como el </w:t>
      </w:r>
      <w:r w:rsidRPr="00A76F50">
        <w:rPr>
          <w:rStyle w:val="Textoennegrita"/>
          <w:rFonts w:ascii="Avenir Book" w:hAnsi="Avenir Book"/>
        </w:rPr>
        <w:t>nexo permanente</w:t>
      </w:r>
      <w:r w:rsidRPr="00A76F50">
        <w:rPr>
          <w:rFonts w:ascii="Avenir Book" w:hAnsi="Avenir Book"/>
        </w:rPr>
        <w:t xml:space="preserve"> entre la familia y el sistema sanitario, facilitando el tránsito desde la infancia a la adolescencia y, posteriormente, a la atención en adultos.</w:t>
      </w:r>
    </w:p>
    <w:p w14:paraId="03705A67" w14:textId="12F6E17E" w:rsidR="00E16071" w:rsidRPr="00A76F50" w:rsidRDefault="00E16071" w:rsidP="00A76F50">
      <w:pPr>
        <w:jc w:val="both"/>
        <w:rPr>
          <w:rFonts w:ascii="Avenir Book" w:eastAsia="Times New Roman" w:hAnsi="Avenir Book" w:cs="Times New Roman"/>
          <w:b/>
          <w:bCs/>
          <w:sz w:val="27"/>
          <w:szCs w:val="27"/>
          <w:lang w:eastAsia="es-ES_tradnl"/>
        </w:rPr>
      </w:pPr>
    </w:p>
    <w:p w14:paraId="5960F687" w14:textId="77777777" w:rsidR="00E16071" w:rsidRPr="00A76F50" w:rsidRDefault="00E16071" w:rsidP="00A76F50">
      <w:pPr>
        <w:pStyle w:val="Ttulo2"/>
        <w:jc w:val="both"/>
        <w:rPr>
          <w:rFonts w:ascii="Avenir Book" w:hAnsi="Avenir Book"/>
        </w:rPr>
      </w:pPr>
      <w:r w:rsidRPr="00A76F50">
        <w:rPr>
          <w:rFonts w:ascii="Avenir Book" w:hAnsi="Avenir Book"/>
        </w:rPr>
        <w:t>5. Apoyo logístico para familias que precisan desplazamiento a otras comunidades</w:t>
      </w:r>
    </w:p>
    <w:p w14:paraId="77DE7234"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Cuando una familia debe trasladarse a otra comunidad autónoma para que su hijo o hija reciba atención especializada en un </w:t>
      </w:r>
      <w:r w:rsidRPr="00A76F50">
        <w:rPr>
          <w:rStyle w:val="Textoennegrita"/>
          <w:rFonts w:ascii="Avenir Book" w:hAnsi="Avenir Book"/>
        </w:rPr>
        <w:t>trastorno del desarrollo sexual (DSD)</w:t>
      </w:r>
      <w:r w:rsidRPr="00A76F50">
        <w:rPr>
          <w:rFonts w:ascii="Avenir Book" w:hAnsi="Avenir Book"/>
        </w:rPr>
        <w:t xml:space="preserve">, es fundamental conocer las </w:t>
      </w:r>
      <w:r w:rsidRPr="00A76F50">
        <w:rPr>
          <w:rStyle w:val="Textoennegrita"/>
          <w:rFonts w:ascii="Avenir Book" w:hAnsi="Avenir Book"/>
        </w:rPr>
        <w:t>ayudas disponibles</w:t>
      </w:r>
      <w:r w:rsidRPr="00A76F50">
        <w:rPr>
          <w:rFonts w:ascii="Avenir Book" w:hAnsi="Avenir Book"/>
        </w:rPr>
        <w:t xml:space="preserve"> para cubrir gastos de desplazamiento, alojamiento y manutención. Aunque la regulación de estas ayudas varía según la comunidad autónoma, existen mecanismos generales que buscan minimizar el impacto económico de estos desplazamientos.</w:t>
      </w:r>
    </w:p>
    <w:p w14:paraId="2BD03AF0" w14:textId="77777777" w:rsidR="00E16071" w:rsidRPr="00A76F50" w:rsidRDefault="00E16071" w:rsidP="00A76F50">
      <w:pPr>
        <w:pStyle w:val="Ttulo3"/>
        <w:jc w:val="both"/>
        <w:rPr>
          <w:rFonts w:ascii="Avenir Book" w:hAnsi="Avenir Book"/>
        </w:rPr>
      </w:pPr>
      <w:r w:rsidRPr="00A76F50">
        <w:rPr>
          <w:rFonts w:ascii="Avenir Book" w:hAnsi="Avenir Book"/>
        </w:rPr>
        <w:lastRenderedPageBreak/>
        <w:t>Procedimiento general para solicitar ayudas</w:t>
      </w:r>
    </w:p>
    <w:p w14:paraId="6E71E160" w14:textId="425E0D54" w:rsidR="00E16071" w:rsidRPr="00A76F50" w:rsidRDefault="00E16071" w:rsidP="00A76F50">
      <w:pPr>
        <w:pStyle w:val="NormalWeb"/>
        <w:numPr>
          <w:ilvl w:val="0"/>
          <w:numId w:val="32"/>
        </w:numPr>
        <w:jc w:val="both"/>
        <w:rPr>
          <w:rFonts w:ascii="Avenir Book" w:hAnsi="Avenir Book"/>
        </w:rPr>
      </w:pPr>
      <w:r w:rsidRPr="00A76F50">
        <w:rPr>
          <w:rStyle w:val="Textoennegrita"/>
          <w:rFonts w:ascii="Avenir Book" w:hAnsi="Avenir Book"/>
        </w:rPr>
        <w:t>Indicación médica y autorización</w:t>
      </w:r>
      <w:r w:rsidRPr="00A76F50">
        <w:rPr>
          <w:rFonts w:ascii="Avenir Book" w:hAnsi="Avenir Book"/>
        </w:rPr>
        <w:t xml:space="preserve">: El facultativo responsable debe justificar la necesidad del desplazamiento por motivos asistenciales. Esta indicación suele requerir la autorización de la </w:t>
      </w:r>
      <w:r w:rsidRPr="00A76F50">
        <w:rPr>
          <w:rStyle w:val="Textoennegrita"/>
          <w:rFonts w:ascii="Avenir Book" w:hAnsi="Avenir Book"/>
        </w:rPr>
        <w:t>Gerencia de Asistencia Sanitaria</w:t>
      </w:r>
      <w:r w:rsidRPr="00A76F50">
        <w:rPr>
          <w:rFonts w:ascii="Avenir Book" w:hAnsi="Avenir Book"/>
        </w:rPr>
        <w:t xml:space="preserve"> o la </w:t>
      </w:r>
      <w:r w:rsidRPr="00A76F50">
        <w:rPr>
          <w:rStyle w:val="Textoennegrita"/>
          <w:rFonts w:ascii="Avenir Book" w:hAnsi="Avenir Book"/>
        </w:rPr>
        <w:t>Gerencia de Salud de Área</w:t>
      </w:r>
      <w:r w:rsidRPr="00A76F50">
        <w:rPr>
          <w:rFonts w:ascii="Avenir Book" w:hAnsi="Avenir Book"/>
        </w:rPr>
        <w:t xml:space="preserve"> correspondiente. </w:t>
      </w:r>
    </w:p>
    <w:p w14:paraId="21E01810" w14:textId="4D1052E9" w:rsidR="00E16071" w:rsidRPr="00A76F50" w:rsidRDefault="00E16071" w:rsidP="00A76F50">
      <w:pPr>
        <w:pStyle w:val="NormalWeb"/>
        <w:numPr>
          <w:ilvl w:val="0"/>
          <w:numId w:val="32"/>
        </w:numPr>
        <w:jc w:val="both"/>
        <w:rPr>
          <w:rFonts w:ascii="Avenir Book" w:hAnsi="Avenir Book"/>
        </w:rPr>
      </w:pPr>
      <w:r w:rsidRPr="00A76F50">
        <w:rPr>
          <w:rStyle w:val="Textoennegrita"/>
          <w:rFonts w:ascii="Avenir Book" w:hAnsi="Avenir Book"/>
        </w:rPr>
        <w:t>Solicitud de ayudas</w:t>
      </w:r>
      <w:r w:rsidRPr="00A76F50">
        <w:rPr>
          <w:rFonts w:ascii="Avenir Book" w:hAnsi="Avenir Book"/>
        </w:rPr>
        <w:t xml:space="preserve">: Una vez autorizada la derivación, la familia puede solicitar ayudas para cubrir los gastos derivados del desplazamiento. Estas solicitudes se presentan en los registros de las </w:t>
      </w:r>
      <w:r w:rsidRPr="00A76F50">
        <w:rPr>
          <w:rStyle w:val="Textoennegrita"/>
          <w:rFonts w:ascii="Avenir Book" w:hAnsi="Avenir Book"/>
        </w:rPr>
        <w:t>Gerencias de Salud de Área</w:t>
      </w:r>
      <w:r w:rsidRPr="00A76F50">
        <w:rPr>
          <w:rFonts w:ascii="Avenir Book" w:hAnsi="Avenir Book"/>
        </w:rPr>
        <w:t xml:space="preserve">, centros e instituciones sanitarias adscritas a la </w:t>
      </w:r>
      <w:r w:rsidRPr="00A76F50">
        <w:rPr>
          <w:rStyle w:val="Textoennegrita"/>
          <w:rFonts w:ascii="Avenir Book" w:hAnsi="Avenir Book"/>
        </w:rPr>
        <w:t>Gerencia Regional de Salud</w:t>
      </w:r>
      <w:r w:rsidRPr="00A76F50">
        <w:rPr>
          <w:rFonts w:ascii="Avenir Book" w:hAnsi="Avenir Book"/>
        </w:rPr>
        <w:t xml:space="preserve">, o a través de las oficinas de asistencia en materia de registros de la comunidad autónoma correspondiente. </w:t>
      </w:r>
    </w:p>
    <w:p w14:paraId="2D07DEC7" w14:textId="0649802D" w:rsidR="00E16071" w:rsidRPr="00A76F50" w:rsidRDefault="00E16071" w:rsidP="00A76F50">
      <w:pPr>
        <w:pStyle w:val="NormalWeb"/>
        <w:numPr>
          <w:ilvl w:val="0"/>
          <w:numId w:val="32"/>
        </w:numPr>
        <w:jc w:val="both"/>
        <w:rPr>
          <w:rFonts w:ascii="Avenir Book" w:hAnsi="Avenir Book"/>
        </w:rPr>
      </w:pPr>
      <w:r w:rsidRPr="00A76F50">
        <w:rPr>
          <w:rStyle w:val="Textoennegrita"/>
          <w:rFonts w:ascii="Avenir Book" w:hAnsi="Avenir Book"/>
        </w:rPr>
        <w:t>Documentación necesaria</w:t>
      </w:r>
      <w:r w:rsidRPr="00A76F50">
        <w:rPr>
          <w:rFonts w:ascii="Avenir Book" w:hAnsi="Avenir Book"/>
        </w:rPr>
        <w:t>: Generalmente, se requiere presentar:</w:t>
      </w:r>
    </w:p>
    <w:p w14:paraId="21FA3E47" w14:textId="4CC6F56B" w:rsidR="00E16071" w:rsidRPr="00A76F50" w:rsidRDefault="00E16071" w:rsidP="00A76F50">
      <w:pPr>
        <w:numPr>
          <w:ilvl w:val="1"/>
          <w:numId w:val="32"/>
        </w:numPr>
        <w:spacing w:before="100" w:beforeAutospacing="1" w:after="100" w:afterAutospacing="1"/>
        <w:jc w:val="both"/>
        <w:rPr>
          <w:rFonts w:ascii="Avenir Book" w:hAnsi="Avenir Book"/>
        </w:rPr>
      </w:pPr>
      <w:r w:rsidRPr="00A76F50">
        <w:rPr>
          <w:rFonts w:ascii="Avenir Book" w:hAnsi="Avenir Book"/>
        </w:rPr>
        <w:t>Justificante de la cita o tratamiento en el centro de destino.</w:t>
      </w:r>
    </w:p>
    <w:p w14:paraId="1833F64C" w14:textId="07C1F71F" w:rsidR="00E16071" w:rsidRPr="00A76F50" w:rsidRDefault="00E16071" w:rsidP="00A76F50">
      <w:pPr>
        <w:numPr>
          <w:ilvl w:val="1"/>
          <w:numId w:val="32"/>
        </w:numPr>
        <w:spacing w:before="100" w:beforeAutospacing="1" w:after="100" w:afterAutospacing="1"/>
        <w:jc w:val="both"/>
        <w:rPr>
          <w:rFonts w:ascii="Avenir Book" w:hAnsi="Avenir Book"/>
        </w:rPr>
      </w:pPr>
      <w:r w:rsidRPr="00A76F50">
        <w:rPr>
          <w:rFonts w:ascii="Avenir Book" w:hAnsi="Avenir Book"/>
        </w:rPr>
        <w:t>Informes médicos que respalden la necesidad del desplazamiento.</w:t>
      </w:r>
    </w:p>
    <w:p w14:paraId="1C7C868C" w14:textId="37320D4B" w:rsidR="00E16071" w:rsidRPr="00A76F50" w:rsidRDefault="00E16071" w:rsidP="00A76F50">
      <w:pPr>
        <w:numPr>
          <w:ilvl w:val="1"/>
          <w:numId w:val="32"/>
        </w:numPr>
        <w:spacing w:before="100" w:beforeAutospacing="1" w:after="100" w:afterAutospacing="1"/>
        <w:jc w:val="both"/>
        <w:rPr>
          <w:rFonts w:ascii="Avenir Book" w:hAnsi="Avenir Book"/>
        </w:rPr>
      </w:pPr>
      <w:r w:rsidRPr="00A76F50">
        <w:rPr>
          <w:rFonts w:ascii="Avenir Book" w:hAnsi="Avenir Book"/>
        </w:rPr>
        <w:t>Facturas o justificantes de gastos de transporte, alojamiento y manutención.</w:t>
      </w:r>
    </w:p>
    <w:p w14:paraId="70426087" w14:textId="1634D675" w:rsidR="00E16071" w:rsidRPr="00A76F50" w:rsidRDefault="00E16071" w:rsidP="00A76F50">
      <w:pPr>
        <w:pStyle w:val="NormalWeb"/>
        <w:numPr>
          <w:ilvl w:val="0"/>
          <w:numId w:val="32"/>
        </w:numPr>
        <w:jc w:val="both"/>
        <w:rPr>
          <w:rFonts w:ascii="Avenir Book" w:hAnsi="Avenir Book"/>
        </w:rPr>
      </w:pPr>
      <w:r w:rsidRPr="00A76F50">
        <w:rPr>
          <w:rStyle w:val="Textoennegrita"/>
          <w:rFonts w:ascii="Avenir Book" w:hAnsi="Avenir Book"/>
        </w:rPr>
        <w:t>Evaluación y resolución</w:t>
      </w:r>
      <w:r w:rsidRPr="00A76F50">
        <w:rPr>
          <w:rFonts w:ascii="Avenir Book" w:hAnsi="Avenir Book"/>
        </w:rPr>
        <w:t>: Las autoridades sanitarias evaluarán la solicitud y, de ser aprobada, se procederá al reembolso total o parcial de los gastos, según la normativa vigente en cada comunidad autónoma.</w:t>
      </w:r>
    </w:p>
    <w:p w14:paraId="3D7E19AC" w14:textId="77777777" w:rsidR="00E16071" w:rsidRPr="00A76F50" w:rsidRDefault="00E16071" w:rsidP="00A76F50">
      <w:pPr>
        <w:pStyle w:val="Ttulo3"/>
        <w:jc w:val="both"/>
        <w:rPr>
          <w:rFonts w:ascii="Avenir Book" w:hAnsi="Avenir Book"/>
        </w:rPr>
      </w:pPr>
      <w:r w:rsidRPr="00A76F50">
        <w:rPr>
          <w:rFonts w:ascii="Avenir Book" w:hAnsi="Avenir Book"/>
        </w:rPr>
        <w:t>Variabilidad entre comunidades autónomas</w:t>
      </w:r>
    </w:p>
    <w:p w14:paraId="29ABB46D" w14:textId="77777777" w:rsidR="00E16071" w:rsidRPr="00A76F50" w:rsidRDefault="00E16071" w:rsidP="00A76F50">
      <w:pPr>
        <w:pStyle w:val="NormalWeb"/>
        <w:jc w:val="both"/>
        <w:rPr>
          <w:rFonts w:ascii="Avenir Book" w:hAnsi="Avenir Book"/>
        </w:rPr>
      </w:pPr>
      <w:r w:rsidRPr="00A76F50">
        <w:rPr>
          <w:rFonts w:ascii="Avenir Book" w:hAnsi="Avenir Book"/>
        </w:rPr>
        <w:t xml:space="preserve">Es importante destacar que cada comunidad autónoma puede tener </w:t>
      </w:r>
      <w:r w:rsidRPr="00A76F50">
        <w:rPr>
          <w:rStyle w:val="Textoennegrita"/>
          <w:rFonts w:ascii="Avenir Book" w:hAnsi="Avenir Book"/>
        </w:rPr>
        <w:t>regulaciones específicas</w:t>
      </w:r>
      <w:r w:rsidRPr="00A76F50">
        <w:rPr>
          <w:rFonts w:ascii="Avenir Book" w:hAnsi="Avenir Book"/>
        </w:rPr>
        <w:t xml:space="preserve"> respecto a estas ayudas. Por ejemplo:</w:t>
      </w:r>
    </w:p>
    <w:p w14:paraId="3B358460" w14:textId="28BBF339" w:rsidR="00E16071" w:rsidRPr="00A76F50" w:rsidRDefault="00E16071" w:rsidP="00A76F50">
      <w:pPr>
        <w:pStyle w:val="NormalWeb"/>
        <w:numPr>
          <w:ilvl w:val="0"/>
          <w:numId w:val="33"/>
        </w:numPr>
        <w:jc w:val="both"/>
        <w:rPr>
          <w:rFonts w:ascii="Avenir Book" w:hAnsi="Avenir Book"/>
        </w:rPr>
      </w:pPr>
      <w:r w:rsidRPr="00A76F50">
        <w:rPr>
          <w:rStyle w:val="Textoennegrita"/>
          <w:rFonts w:ascii="Avenir Book" w:hAnsi="Avenir Book"/>
        </w:rPr>
        <w:t>Castilla y León</w:t>
      </w:r>
      <w:r w:rsidRPr="00A76F50">
        <w:rPr>
          <w:rFonts w:ascii="Avenir Book" w:hAnsi="Avenir Book"/>
        </w:rPr>
        <w:t xml:space="preserve">: Ofrece ayudas para desplazamiento, alojamiento y manutención a pacientes y, en su caso, a sus acompañantes, cuando se trasladan para recibir asistencia sanitaria en una localidad diferente a la de su residencia. </w:t>
      </w:r>
    </w:p>
    <w:p w14:paraId="0F243B5B" w14:textId="0C903D52" w:rsidR="00E16071" w:rsidRPr="00A76F50" w:rsidRDefault="00E16071" w:rsidP="00A76F50">
      <w:pPr>
        <w:pStyle w:val="NormalWeb"/>
        <w:numPr>
          <w:ilvl w:val="0"/>
          <w:numId w:val="33"/>
        </w:numPr>
        <w:jc w:val="both"/>
        <w:rPr>
          <w:rFonts w:ascii="Avenir Book" w:hAnsi="Avenir Book"/>
        </w:rPr>
      </w:pPr>
      <w:r w:rsidRPr="00A76F50">
        <w:rPr>
          <w:rStyle w:val="Textoennegrita"/>
          <w:rFonts w:ascii="Avenir Book" w:hAnsi="Avenir Book"/>
        </w:rPr>
        <w:t>Galicia</w:t>
      </w:r>
      <w:r w:rsidRPr="00A76F50">
        <w:rPr>
          <w:rFonts w:ascii="Avenir Book" w:hAnsi="Avenir Book"/>
        </w:rPr>
        <w:t xml:space="preserve">: Ha establecido un procedimiento de compensación por gastos de desplazamiento, alojamiento y manutención en el ámbito del sistema público de salud. </w:t>
      </w:r>
    </w:p>
    <w:p w14:paraId="7C05DBC9" w14:textId="4DC9B797" w:rsidR="00E16071" w:rsidRPr="00A76F50" w:rsidRDefault="00E16071" w:rsidP="00A76F50">
      <w:pPr>
        <w:pStyle w:val="NormalWeb"/>
        <w:numPr>
          <w:ilvl w:val="0"/>
          <w:numId w:val="33"/>
        </w:numPr>
        <w:jc w:val="both"/>
        <w:rPr>
          <w:rFonts w:ascii="Avenir Book" w:hAnsi="Avenir Book"/>
        </w:rPr>
      </w:pPr>
      <w:r w:rsidRPr="00A76F50">
        <w:rPr>
          <w:rStyle w:val="Textoennegrita"/>
          <w:rFonts w:ascii="Avenir Book" w:hAnsi="Avenir Book"/>
        </w:rPr>
        <w:t>Comunidad Valenciana</w:t>
      </w:r>
      <w:r w:rsidRPr="00A76F50">
        <w:rPr>
          <w:rFonts w:ascii="Avenir Book" w:hAnsi="Avenir Book"/>
        </w:rPr>
        <w:t xml:space="preserve">: Subvenciona los gastos de desplazamiento, hospedaje y manutención de usuarios remitidos en transporte no concertado y por prescripción facultativa a centros sanitarios fuera de su entorno habitual. </w:t>
      </w:r>
    </w:p>
    <w:p w14:paraId="07CDA409" w14:textId="4E94FDC9" w:rsidR="00E16071" w:rsidRDefault="00E16071" w:rsidP="00A76F50">
      <w:pPr>
        <w:pStyle w:val="NormalWeb"/>
        <w:jc w:val="both"/>
        <w:rPr>
          <w:rFonts w:ascii="Avenir Book" w:hAnsi="Avenir Book"/>
        </w:rPr>
      </w:pPr>
      <w:r w:rsidRPr="00A76F50">
        <w:rPr>
          <w:rFonts w:ascii="Avenir Book" w:hAnsi="Avenir Book"/>
        </w:rPr>
        <w:t xml:space="preserve">Dado que la normativa puede variar y actualizarse, se recomienda que las familias consulten directamente con los servicios de </w:t>
      </w:r>
      <w:r w:rsidRPr="00A76F50">
        <w:rPr>
          <w:rStyle w:val="Textoennegrita"/>
          <w:rFonts w:ascii="Avenir Book" w:hAnsi="Avenir Book"/>
        </w:rPr>
        <w:t>Trabajo Social Sanitario</w:t>
      </w:r>
      <w:r w:rsidRPr="00A76F50">
        <w:rPr>
          <w:rFonts w:ascii="Avenir Book" w:hAnsi="Avenir Book"/>
        </w:rPr>
        <w:t xml:space="preserve"> de su área o </w:t>
      </w:r>
      <w:r w:rsidRPr="00A76F50">
        <w:rPr>
          <w:rFonts w:ascii="Avenir Book" w:hAnsi="Avenir Book"/>
        </w:rPr>
        <w:lastRenderedPageBreak/>
        <w:t xml:space="preserve">con las </w:t>
      </w:r>
      <w:r w:rsidRPr="00A76F50">
        <w:rPr>
          <w:rStyle w:val="Textoennegrita"/>
          <w:rFonts w:ascii="Avenir Book" w:hAnsi="Avenir Book"/>
        </w:rPr>
        <w:t>unidades de atención al paciente</w:t>
      </w:r>
      <w:r w:rsidRPr="00A76F50">
        <w:rPr>
          <w:rFonts w:ascii="Avenir Book" w:hAnsi="Avenir Book"/>
        </w:rPr>
        <w:t xml:space="preserve"> de su hospital de referencia para recibir orientación específica sobre las ayudas disponibles en su comunidad.</w:t>
      </w:r>
    </w:p>
    <w:p w14:paraId="25C3E44F" w14:textId="77777777" w:rsidR="00A76F50" w:rsidRDefault="00A76F50" w:rsidP="00A76F50">
      <w:pPr>
        <w:jc w:val="both"/>
        <w:rPr>
          <w:rFonts w:ascii="Avenir Book" w:hAnsi="Avenir Book"/>
        </w:rPr>
      </w:pPr>
    </w:p>
    <w:p w14:paraId="7B53823B" w14:textId="77777777" w:rsidR="00A76F50" w:rsidRDefault="00A76F50" w:rsidP="00A76F50">
      <w:pPr>
        <w:jc w:val="both"/>
        <w:rPr>
          <w:rFonts w:ascii="Avenir Book" w:hAnsi="Avenir Book"/>
        </w:rPr>
      </w:pPr>
    </w:p>
    <w:p w14:paraId="26F72981" w14:textId="77777777" w:rsidR="00A76F50" w:rsidRDefault="00A76F50" w:rsidP="00A76F50">
      <w:pPr>
        <w:jc w:val="both"/>
        <w:rPr>
          <w:rFonts w:ascii="Avenir Book" w:hAnsi="Avenir Book"/>
        </w:rPr>
      </w:pPr>
    </w:p>
    <w:p w14:paraId="62A22D59" w14:textId="77777777" w:rsidR="00A76F50" w:rsidRDefault="00A76F50" w:rsidP="00A76F50">
      <w:pPr>
        <w:jc w:val="both"/>
        <w:rPr>
          <w:rFonts w:ascii="Avenir Book" w:hAnsi="Avenir Book"/>
        </w:rPr>
      </w:pPr>
    </w:p>
    <w:p w14:paraId="1A0B0335" w14:textId="77777777" w:rsidR="00A76F50" w:rsidRDefault="00A76F50" w:rsidP="00A76F50">
      <w:pPr>
        <w:jc w:val="both"/>
        <w:rPr>
          <w:rFonts w:ascii="Avenir Book" w:hAnsi="Avenir Book"/>
        </w:rPr>
      </w:pPr>
    </w:p>
    <w:p w14:paraId="5241A497" w14:textId="77777777" w:rsidR="00A76F50" w:rsidRDefault="00A76F50" w:rsidP="00A76F50">
      <w:pPr>
        <w:jc w:val="both"/>
        <w:rPr>
          <w:rFonts w:ascii="Avenir Book" w:hAnsi="Avenir Book"/>
        </w:rPr>
      </w:pPr>
    </w:p>
    <w:p w14:paraId="25F20FBD" w14:textId="77777777" w:rsidR="00A76F50" w:rsidRDefault="00A76F50" w:rsidP="00A76F50">
      <w:pPr>
        <w:jc w:val="both"/>
        <w:rPr>
          <w:rFonts w:ascii="Avenir Book" w:hAnsi="Avenir Book"/>
        </w:rPr>
      </w:pPr>
    </w:p>
    <w:p w14:paraId="18EECBCF" w14:textId="3B5423E6" w:rsidR="00A76F50" w:rsidRPr="00985558" w:rsidRDefault="00A76F50" w:rsidP="00A76F50">
      <w:pPr>
        <w:jc w:val="both"/>
        <w:rPr>
          <w:rFonts w:ascii="Avenir Book" w:hAnsi="Avenir Book"/>
        </w:rPr>
      </w:pPr>
      <w:r>
        <w:rPr>
          <w:rFonts w:ascii="Avenir Book" w:hAnsi="Avenir Book"/>
        </w:rPr>
        <w:t xml:space="preserve">Autores: C. Tordable Ojeda, D. </w:t>
      </w:r>
      <w:proofErr w:type="spellStart"/>
      <w:r>
        <w:rPr>
          <w:rFonts w:ascii="Avenir Book" w:hAnsi="Avenir Book"/>
        </w:rPr>
        <w:t>Cabezalí</w:t>
      </w:r>
      <w:proofErr w:type="spellEnd"/>
      <w:r>
        <w:rPr>
          <w:rFonts w:ascii="Avenir Book" w:hAnsi="Avenir Book"/>
        </w:rPr>
        <w:t xml:space="preserve"> </w:t>
      </w:r>
      <w:proofErr w:type="spellStart"/>
      <w:r>
        <w:rPr>
          <w:rFonts w:ascii="Avenir Book" w:hAnsi="Avenir Book"/>
        </w:rPr>
        <w:t>Barbancho</w:t>
      </w:r>
      <w:proofErr w:type="spellEnd"/>
    </w:p>
    <w:p w14:paraId="62BD2C0A" w14:textId="0E4F607D" w:rsidR="00A76F50" w:rsidRDefault="00A76F50">
      <w:pPr>
        <w:rPr>
          <w:rFonts w:ascii="Avenir Book" w:eastAsia="Times New Roman" w:hAnsi="Avenir Book" w:cs="Times New Roman"/>
          <w:lang w:eastAsia="es-ES_tradnl"/>
        </w:rPr>
      </w:pPr>
      <w:r>
        <w:rPr>
          <w:rFonts w:ascii="Avenir Book" w:hAnsi="Avenir Book"/>
        </w:rPr>
        <w:br w:type="page"/>
      </w:r>
    </w:p>
    <w:p w14:paraId="1635619F" w14:textId="77777777" w:rsidR="00A76F50" w:rsidRPr="00A76F50" w:rsidRDefault="00A76F50" w:rsidP="00A76F50">
      <w:pPr>
        <w:pStyle w:val="NormalWeb"/>
        <w:jc w:val="both"/>
        <w:rPr>
          <w:rFonts w:ascii="Avenir Book" w:hAnsi="Avenir Book"/>
        </w:rPr>
      </w:pPr>
    </w:p>
    <w:p w14:paraId="4E676DC7" w14:textId="3327EF57" w:rsidR="00E16071" w:rsidRPr="00A76F50" w:rsidRDefault="00E16071" w:rsidP="00A76F50">
      <w:pPr>
        <w:pStyle w:val="Ttulo2"/>
        <w:jc w:val="both"/>
        <w:rPr>
          <w:rFonts w:ascii="Avenir Book" w:hAnsi="Avenir Book"/>
          <w:sz w:val="32"/>
          <w:szCs w:val="32"/>
        </w:rPr>
      </w:pPr>
      <w:r w:rsidRPr="00A76F50">
        <w:rPr>
          <w:rFonts w:ascii="Avenir Book" w:hAnsi="Avenir Book"/>
          <w:sz w:val="32"/>
          <w:szCs w:val="32"/>
        </w:rPr>
        <w:t>BIBLIOGRAFÍA</w:t>
      </w:r>
    </w:p>
    <w:p w14:paraId="70EB4FD8"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Ministerio de Sanidad, Servicios Sociales e Igualdad. Documento de consenso sobre el abordaje clínico-asistencial de las personas con diferencias del desarrollo sexual (DSD). Madrid: Ministerio de Sanidad; 2015. Disponible en: </w:t>
      </w:r>
      <w:hyperlink r:id="rId7" w:history="1">
        <w:r w:rsidRPr="00A76F50">
          <w:rPr>
            <w:rStyle w:val="Hipervnculo"/>
            <w:rFonts w:ascii="Avenir Book" w:hAnsi="Avenir Book"/>
          </w:rPr>
          <w:t>https://www.sanidad.gob.es/profesionales/CentrosDeReferencia/docs/TrastornosDesarrolloSexual.pdf</w:t>
        </w:r>
      </w:hyperlink>
    </w:p>
    <w:p w14:paraId="0E630888"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Ministerio de Sanidad. Real Decreto 1302/2006, de 10 de noviembre, por el que se regula la designación y funcionamiento de los centros, servicios y unidades de referencia del Sistema Nacional de Salud. BOE núm. 278, de 21 de noviembre de 2006.</w:t>
      </w:r>
    </w:p>
    <w:p w14:paraId="084B1503"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Sociedad Española de Endocrinología Pediátrica (SEEP). Guía de diagnóstico y manejo inicial de las diferencias del desarrollo sexual. Madrid: SEEP; 2021. Disponible en: </w:t>
      </w:r>
      <w:hyperlink r:id="rId8" w:history="1">
        <w:r w:rsidRPr="00A76F50">
          <w:rPr>
            <w:rStyle w:val="Hipervnculo"/>
            <w:rFonts w:ascii="Avenir Book" w:hAnsi="Avenir Book"/>
          </w:rPr>
          <w:t>https://www.seep.es</w:t>
        </w:r>
      </w:hyperlink>
    </w:p>
    <w:p w14:paraId="4371D221"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Grupo de Trabajo de Pediatría Basada en la Evidencia de la </w:t>
      </w:r>
      <w:proofErr w:type="spellStart"/>
      <w:r w:rsidRPr="00A76F50">
        <w:rPr>
          <w:rFonts w:ascii="Avenir Book" w:hAnsi="Avenir Book"/>
        </w:rPr>
        <w:t>AEPap</w:t>
      </w:r>
      <w:proofErr w:type="spellEnd"/>
      <w:r w:rsidRPr="00A76F50">
        <w:rPr>
          <w:rFonts w:ascii="Avenir Book" w:hAnsi="Avenir Book"/>
        </w:rPr>
        <w:t xml:space="preserve">. Trastornos del desarrollo sexual: manejo inicial en atención primaria. </w:t>
      </w:r>
      <w:proofErr w:type="spellStart"/>
      <w:r w:rsidRPr="00A76F50">
        <w:rPr>
          <w:rFonts w:ascii="Avenir Book" w:hAnsi="Avenir Book"/>
        </w:rPr>
        <w:t>Evid</w:t>
      </w:r>
      <w:proofErr w:type="spellEnd"/>
      <w:r w:rsidRPr="00A76F50">
        <w:rPr>
          <w:rFonts w:ascii="Avenir Book" w:hAnsi="Avenir Book"/>
        </w:rPr>
        <w:t xml:space="preserve"> </w:t>
      </w:r>
      <w:proofErr w:type="spellStart"/>
      <w:r w:rsidRPr="00A76F50">
        <w:rPr>
          <w:rFonts w:ascii="Avenir Book" w:hAnsi="Avenir Book"/>
        </w:rPr>
        <w:t>Pediatr</w:t>
      </w:r>
      <w:proofErr w:type="spellEnd"/>
      <w:r w:rsidRPr="00A76F50">
        <w:rPr>
          <w:rFonts w:ascii="Avenir Book" w:hAnsi="Avenir Book"/>
        </w:rPr>
        <w:t>. 2017;13(3</w:t>
      </w:r>
      <w:proofErr w:type="gramStart"/>
      <w:r w:rsidRPr="00A76F50">
        <w:rPr>
          <w:rFonts w:ascii="Avenir Book" w:hAnsi="Avenir Book"/>
        </w:rPr>
        <w:t>):e</w:t>
      </w:r>
      <w:proofErr w:type="gramEnd"/>
      <w:r w:rsidRPr="00A76F50">
        <w:rPr>
          <w:rFonts w:ascii="Avenir Book" w:hAnsi="Avenir Book"/>
        </w:rPr>
        <w:t>13010.</w:t>
      </w:r>
    </w:p>
    <w:p w14:paraId="0097251E"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García Rodríguez R, Gracia </w:t>
      </w:r>
      <w:proofErr w:type="spellStart"/>
      <w:r w:rsidRPr="00A76F50">
        <w:rPr>
          <w:rFonts w:ascii="Avenir Book" w:hAnsi="Avenir Book"/>
        </w:rPr>
        <w:t>Bouthelier</w:t>
      </w:r>
      <w:proofErr w:type="spellEnd"/>
      <w:r w:rsidRPr="00A76F50">
        <w:rPr>
          <w:rFonts w:ascii="Avenir Book" w:hAnsi="Avenir Book"/>
        </w:rPr>
        <w:t xml:space="preserve"> R, </w:t>
      </w:r>
      <w:proofErr w:type="spellStart"/>
      <w:r w:rsidRPr="00A76F50">
        <w:rPr>
          <w:rFonts w:ascii="Avenir Book" w:hAnsi="Avenir Book"/>
        </w:rPr>
        <w:t>Albajara</w:t>
      </w:r>
      <w:proofErr w:type="spellEnd"/>
      <w:r w:rsidRPr="00A76F50">
        <w:rPr>
          <w:rFonts w:ascii="Avenir Book" w:hAnsi="Avenir Book"/>
        </w:rPr>
        <w:t xml:space="preserve"> Velasco C, et al. Abordaje multidisciplinar en los trastornos del desarrollo sexual. Experiencia de una unidad de referencia hospitalaria. </w:t>
      </w:r>
      <w:proofErr w:type="spellStart"/>
      <w:r w:rsidRPr="00A76F50">
        <w:rPr>
          <w:rFonts w:ascii="Avenir Book" w:hAnsi="Avenir Book"/>
        </w:rPr>
        <w:t>An</w:t>
      </w:r>
      <w:proofErr w:type="spellEnd"/>
      <w:r w:rsidRPr="00A76F50">
        <w:rPr>
          <w:rFonts w:ascii="Avenir Book" w:hAnsi="Avenir Book"/>
        </w:rPr>
        <w:t xml:space="preserve"> </w:t>
      </w:r>
      <w:proofErr w:type="spellStart"/>
      <w:r w:rsidRPr="00A76F50">
        <w:rPr>
          <w:rFonts w:ascii="Avenir Book" w:hAnsi="Avenir Book"/>
        </w:rPr>
        <w:t>Pediatr</w:t>
      </w:r>
      <w:proofErr w:type="spellEnd"/>
      <w:r w:rsidRPr="00A76F50">
        <w:rPr>
          <w:rFonts w:ascii="Avenir Book" w:hAnsi="Avenir Book"/>
        </w:rPr>
        <w:t xml:space="preserve"> (</w:t>
      </w:r>
      <w:proofErr w:type="spellStart"/>
      <w:r w:rsidRPr="00A76F50">
        <w:rPr>
          <w:rFonts w:ascii="Avenir Book" w:hAnsi="Avenir Book"/>
        </w:rPr>
        <w:t>Barc</w:t>
      </w:r>
      <w:proofErr w:type="spellEnd"/>
      <w:r w:rsidRPr="00A76F50">
        <w:rPr>
          <w:rFonts w:ascii="Avenir Book" w:hAnsi="Avenir Book"/>
        </w:rPr>
        <w:t>). 2019;91(1):36-44.</w:t>
      </w:r>
    </w:p>
    <w:p w14:paraId="41779D4E"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Tramitacastillayleon.jcyl.es [Internet]. Procedimiento de solicitud de ayudas por desplazamiento para asistencia sanitaria fuera de la comunidad autónoma; [consultado 28 feb 2025]. Disponible en: </w:t>
      </w:r>
      <w:hyperlink r:id="rId9" w:history="1">
        <w:r w:rsidRPr="00A76F50">
          <w:rPr>
            <w:rStyle w:val="Hipervnculo"/>
            <w:rFonts w:ascii="Avenir Book" w:hAnsi="Avenir Book"/>
          </w:rPr>
          <w:t>https://www.tramitacastillayleon.jcyl.es</w:t>
        </w:r>
      </w:hyperlink>
    </w:p>
    <w:p w14:paraId="24DA9606"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Generalitat Valenciana [Internet]. Subvenciones a desplazamientos por asistencia sanitaria fuera del entorno habitual; [consultado 28 feb 2025]. Disponible en: </w:t>
      </w:r>
      <w:hyperlink r:id="rId10" w:history="1">
        <w:r w:rsidRPr="00A76F50">
          <w:rPr>
            <w:rStyle w:val="Hipervnculo"/>
            <w:rFonts w:ascii="Avenir Book" w:hAnsi="Avenir Book"/>
          </w:rPr>
          <w:t>https://www.gva.es</w:t>
        </w:r>
      </w:hyperlink>
    </w:p>
    <w:p w14:paraId="70BA3D91"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Foro Español de Pacientes. Directorio de asociaciones de pacientes en España. Foro Español de Pacientes; 2024. Disponible en: </w:t>
      </w:r>
      <w:hyperlink r:id="rId11" w:history="1">
        <w:r w:rsidRPr="00A76F50">
          <w:rPr>
            <w:rStyle w:val="Hipervnculo"/>
            <w:rFonts w:ascii="Avenir Book" w:hAnsi="Avenir Book"/>
          </w:rPr>
          <w:t>https://forodepacientes.org/asociacionismo/</w:t>
        </w:r>
      </w:hyperlink>
    </w:p>
    <w:p w14:paraId="33D8D844"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lang w:val="en-US"/>
        </w:rPr>
        <w:t xml:space="preserve">Cools M, </w:t>
      </w:r>
      <w:proofErr w:type="spellStart"/>
      <w:r w:rsidRPr="00A76F50">
        <w:rPr>
          <w:rFonts w:ascii="Avenir Book" w:hAnsi="Avenir Book"/>
          <w:lang w:val="en-US"/>
        </w:rPr>
        <w:t>Nordenström</w:t>
      </w:r>
      <w:proofErr w:type="spellEnd"/>
      <w:r w:rsidRPr="00A76F50">
        <w:rPr>
          <w:rFonts w:ascii="Avenir Book" w:hAnsi="Avenir Book"/>
          <w:lang w:val="en-US"/>
        </w:rPr>
        <w:t xml:space="preserve"> A, </w:t>
      </w:r>
      <w:proofErr w:type="spellStart"/>
      <w:r w:rsidRPr="00A76F50">
        <w:rPr>
          <w:rFonts w:ascii="Avenir Book" w:hAnsi="Avenir Book"/>
          <w:lang w:val="en-US"/>
        </w:rPr>
        <w:t>Robeva</w:t>
      </w:r>
      <w:proofErr w:type="spellEnd"/>
      <w:r w:rsidRPr="00A76F50">
        <w:rPr>
          <w:rFonts w:ascii="Avenir Book" w:hAnsi="Avenir Book"/>
          <w:lang w:val="en-US"/>
        </w:rPr>
        <w:t xml:space="preserve"> R, Hall J, </w:t>
      </w:r>
      <w:proofErr w:type="spellStart"/>
      <w:r w:rsidRPr="00A76F50">
        <w:rPr>
          <w:rFonts w:ascii="Avenir Book" w:hAnsi="Avenir Book"/>
          <w:lang w:val="en-US"/>
        </w:rPr>
        <w:t>Westerveld</w:t>
      </w:r>
      <w:proofErr w:type="spellEnd"/>
      <w:r w:rsidRPr="00A76F50">
        <w:rPr>
          <w:rFonts w:ascii="Avenir Book" w:hAnsi="Avenir Book"/>
          <w:lang w:val="en-US"/>
        </w:rPr>
        <w:t xml:space="preserve"> P, </w:t>
      </w:r>
      <w:proofErr w:type="spellStart"/>
      <w:r w:rsidRPr="00A76F50">
        <w:rPr>
          <w:rFonts w:ascii="Avenir Book" w:hAnsi="Avenir Book"/>
          <w:lang w:val="en-US"/>
        </w:rPr>
        <w:t>Flück</w:t>
      </w:r>
      <w:proofErr w:type="spellEnd"/>
      <w:r w:rsidRPr="00A76F50">
        <w:rPr>
          <w:rFonts w:ascii="Avenir Book" w:hAnsi="Avenir Book"/>
          <w:lang w:val="en-US"/>
        </w:rPr>
        <w:t xml:space="preserve"> C, et al. Caring for individuals with a difference of sex development (DSD): A consensus statement. </w:t>
      </w:r>
      <w:proofErr w:type="spellStart"/>
      <w:r w:rsidRPr="00A76F50">
        <w:rPr>
          <w:rFonts w:ascii="Avenir Book" w:hAnsi="Avenir Book"/>
        </w:rPr>
        <w:t>Nat</w:t>
      </w:r>
      <w:proofErr w:type="spellEnd"/>
      <w:r w:rsidRPr="00A76F50">
        <w:rPr>
          <w:rFonts w:ascii="Avenir Book" w:hAnsi="Avenir Book"/>
        </w:rPr>
        <w:t xml:space="preserve"> </w:t>
      </w:r>
      <w:proofErr w:type="spellStart"/>
      <w:r w:rsidRPr="00A76F50">
        <w:rPr>
          <w:rFonts w:ascii="Avenir Book" w:hAnsi="Avenir Book"/>
        </w:rPr>
        <w:t>Rev</w:t>
      </w:r>
      <w:proofErr w:type="spellEnd"/>
      <w:r w:rsidRPr="00A76F50">
        <w:rPr>
          <w:rFonts w:ascii="Avenir Book" w:hAnsi="Avenir Book"/>
        </w:rPr>
        <w:t xml:space="preserve"> </w:t>
      </w:r>
      <w:proofErr w:type="spellStart"/>
      <w:r w:rsidRPr="00A76F50">
        <w:rPr>
          <w:rFonts w:ascii="Avenir Book" w:hAnsi="Avenir Book"/>
        </w:rPr>
        <w:t>Endocrinol</w:t>
      </w:r>
      <w:proofErr w:type="spellEnd"/>
      <w:r w:rsidRPr="00A76F50">
        <w:rPr>
          <w:rFonts w:ascii="Avenir Book" w:hAnsi="Avenir Book"/>
        </w:rPr>
        <w:t>. 2018;14(7):415-29.</w:t>
      </w:r>
    </w:p>
    <w:p w14:paraId="20ED7475"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lang w:val="en-US"/>
        </w:rPr>
        <w:t xml:space="preserve">Ahmed SF, </w:t>
      </w:r>
      <w:proofErr w:type="spellStart"/>
      <w:r w:rsidRPr="00A76F50">
        <w:rPr>
          <w:rFonts w:ascii="Avenir Book" w:hAnsi="Avenir Book"/>
          <w:lang w:val="en-US"/>
        </w:rPr>
        <w:t>Achermann</w:t>
      </w:r>
      <w:proofErr w:type="spellEnd"/>
      <w:r w:rsidRPr="00A76F50">
        <w:rPr>
          <w:rFonts w:ascii="Avenir Book" w:hAnsi="Avenir Book"/>
          <w:lang w:val="en-US"/>
        </w:rPr>
        <w:t xml:space="preserve"> JC, </w:t>
      </w:r>
      <w:proofErr w:type="spellStart"/>
      <w:r w:rsidRPr="00A76F50">
        <w:rPr>
          <w:rFonts w:ascii="Avenir Book" w:hAnsi="Avenir Book"/>
          <w:lang w:val="en-US"/>
        </w:rPr>
        <w:t>Arlt</w:t>
      </w:r>
      <w:proofErr w:type="spellEnd"/>
      <w:r w:rsidRPr="00A76F50">
        <w:rPr>
          <w:rFonts w:ascii="Avenir Book" w:hAnsi="Avenir Book"/>
          <w:lang w:val="en-US"/>
        </w:rPr>
        <w:t xml:space="preserve"> W, </w:t>
      </w:r>
      <w:proofErr w:type="spellStart"/>
      <w:r w:rsidRPr="00A76F50">
        <w:rPr>
          <w:rFonts w:ascii="Avenir Book" w:hAnsi="Avenir Book"/>
          <w:lang w:val="en-US"/>
        </w:rPr>
        <w:t>Balen</w:t>
      </w:r>
      <w:proofErr w:type="spellEnd"/>
      <w:r w:rsidRPr="00A76F50">
        <w:rPr>
          <w:rFonts w:ascii="Avenir Book" w:hAnsi="Avenir Book"/>
          <w:lang w:val="en-US"/>
        </w:rPr>
        <w:t xml:space="preserve"> AH, Conway G, et al. Society for Endocrinology UK Guidance on the initial evaluation of a suspected </w:t>
      </w:r>
      <w:r w:rsidRPr="00A76F50">
        <w:rPr>
          <w:rFonts w:ascii="Avenir Book" w:hAnsi="Avenir Book"/>
          <w:lang w:val="en-US"/>
        </w:rPr>
        <w:lastRenderedPageBreak/>
        <w:t xml:space="preserve">difference or disorder of sex development (DSD). </w:t>
      </w:r>
      <w:r w:rsidRPr="00A76F50">
        <w:rPr>
          <w:rFonts w:ascii="Avenir Book" w:hAnsi="Avenir Book"/>
        </w:rPr>
        <w:t xml:space="preserve">Clin </w:t>
      </w:r>
      <w:proofErr w:type="spellStart"/>
      <w:r w:rsidRPr="00A76F50">
        <w:rPr>
          <w:rFonts w:ascii="Avenir Book" w:hAnsi="Avenir Book"/>
        </w:rPr>
        <w:t>Endocrinol</w:t>
      </w:r>
      <w:proofErr w:type="spellEnd"/>
      <w:r w:rsidRPr="00A76F50">
        <w:rPr>
          <w:rFonts w:ascii="Avenir Book" w:hAnsi="Avenir Book"/>
        </w:rPr>
        <w:t xml:space="preserve"> (</w:t>
      </w:r>
      <w:proofErr w:type="spellStart"/>
      <w:r w:rsidRPr="00A76F50">
        <w:rPr>
          <w:rFonts w:ascii="Avenir Book" w:hAnsi="Avenir Book"/>
        </w:rPr>
        <w:t>Oxf</w:t>
      </w:r>
      <w:proofErr w:type="spellEnd"/>
      <w:r w:rsidRPr="00A76F50">
        <w:rPr>
          <w:rFonts w:ascii="Avenir Book" w:hAnsi="Avenir Book"/>
        </w:rPr>
        <w:t>). 2016;84(5):771-88.</w:t>
      </w:r>
    </w:p>
    <w:p w14:paraId="5099787B" w14:textId="77777777" w:rsidR="00E16071" w:rsidRPr="00A76F50" w:rsidRDefault="00E16071" w:rsidP="00A76F50">
      <w:pPr>
        <w:numPr>
          <w:ilvl w:val="0"/>
          <w:numId w:val="39"/>
        </w:numPr>
        <w:spacing w:before="100" w:beforeAutospacing="1" w:after="100" w:afterAutospacing="1"/>
        <w:jc w:val="both"/>
        <w:rPr>
          <w:rFonts w:ascii="Avenir Book" w:hAnsi="Avenir Book"/>
        </w:rPr>
      </w:pPr>
      <w:proofErr w:type="spellStart"/>
      <w:r w:rsidRPr="00A76F50">
        <w:rPr>
          <w:rFonts w:ascii="Avenir Book" w:hAnsi="Avenir Book"/>
          <w:lang w:val="en-US"/>
        </w:rPr>
        <w:t>Speiser</w:t>
      </w:r>
      <w:proofErr w:type="spellEnd"/>
      <w:r w:rsidRPr="00A76F50">
        <w:rPr>
          <w:rFonts w:ascii="Avenir Book" w:hAnsi="Avenir Book"/>
          <w:lang w:val="en-US"/>
        </w:rPr>
        <w:t xml:space="preserve"> PW, </w:t>
      </w:r>
      <w:proofErr w:type="spellStart"/>
      <w:r w:rsidRPr="00A76F50">
        <w:rPr>
          <w:rFonts w:ascii="Avenir Book" w:hAnsi="Avenir Book"/>
          <w:lang w:val="en-US"/>
        </w:rPr>
        <w:t>Arlt</w:t>
      </w:r>
      <w:proofErr w:type="spellEnd"/>
      <w:r w:rsidRPr="00A76F50">
        <w:rPr>
          <w:rFonts w:ascii="Avenir Book" w:hAnsi="Avenir Book"/>
          <w:lang w:val="en-US"/>
        </w:rPr>
        <w:t xml:space="preserve"> W, </w:t>
      </w:r>
      <w:proofErr w:type="spellStart"/>
      <w:r w:rsidRPr="00A76F50">
        <w:rPr>
          <w:rFonts w:ascii="Avenir Book" w:hAnsi="Avenir Book"/>
          <w:lang w:val="en-US"/>
        </w:rPr>
        <w:t>Auchus</w:t>
      </w:r>
      <w:proofErr w:type="spellEnd"/>
      <w:r w:rsidRPr="00A76F50">
        <w:rPr>
          <w:rFonts w:ascii="Avenir Book" w:hAnsi="Avenir Book"/>
          <w:lang w:val="en-US"/>
        </w:rPr>
        <w:t xml:space="preserve"> RJ, Baskin LS, Conway GS, </w:t>
      </w:r>
      <w:proofErr w:type="spellStart"/>
      <w:r w:rsidRPr="00A76F50">
        <w:rPr>
          <w:rFonts w:ascii="Avenir Book" w:hAnsi="Avenir Book"/>
          <w:lang w:val="en-US"/>
        </w:rPr>
        <w:t>Merke</w:t>
      </w:r>
      <w:proofErr w:type="spellEnd"/>
      <w:r w:rsidRPr="00A76F50">
        <w:rPr>
          <w:rFonts w:ascii="Avenir Book" w:hAnsi="Avenir Book"/>
          <w:lang w:val="en-US"/>
        </w:rPr>
        <w:t xml:space="preserve"> DP, et al. Congenital Adrenal Hyperplasia due to Steroid 21-Hydroxylase Deficiency: An Endocrine Society Clinical Practice Guideline. </w:t>
      </w:r>
      <w:r w:rsidRPr="00A76F50">
        <w:rPr>
          <w:rFonts w:ascii="Avenir Book" w:hAnsi="Avenir Book"/>
        </w:rPr>
        <w:t xml:space="preserve">J Clin </w:t>
      </w:r>
      <w:proofErr w:type="spellStart"/>
      <w:r w:rsidRPr="00A76F50">
        <w:rPr>
          <w:rFonts w:ascii="Avenir Book" w:hAnsi="Avenir Book"/>
        </w:rPr>
        <w:t>Endocrinol</w:t>
      </w:r>
      <w:proofErr w:type="spellEnd"/>
      <w:r w:rsidRPr="00A76F50">
        <w:rPr>
          <w:rFonts w:ascii="Avenir Book" w:hAnsi="Avenir Book"/>
        </w:rPr>
        <w:t xml:space="preserve"> </w:t>
      </w:r>
      <w:proofErr w:type="spellStart"/>
      <w:r w:rsidRPr="00A76F50">
        <w:rPr>
          <w:rFonts w:ascii="Avenir Book" w:hAnsi="Avenir Book"/>
        </w:rPr>
        <w:t>Metab</w:t>
      </w:r>
      <w:proofErr w:type="spellEnd"/>
      <w:r w:rsidRPr="00A76F50">
        <w:rPr>
          <w:rFonts w:ascii="Avenir Book" w:hAnsi="Avenir Book"/>
        </w:rPr>
        <w:t>. 2018;103(11):4043-88.</w:t>
      </w:r>
    </w:p>
    <w:p w14:paraId="2AAFE791"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Montero Campos M, Pérez Pastor E, Esquivel A, García AM. Evaluación clínica inicial de genitales ambiguos en el recién nacido. </w:t>
      </w:r>
      <w:proofErr w:type="spellStart"/>
      <w:r w:rsidRPr="00A76F50">
        <w:rPr>
          <w:rFonts w:ascii="Avenir Book" w:hAnsi="Avenir Book"/>
        </w:rPr>
        <w:t>An</w:t>
      </w:r>
      <w:proofErr w:type="spellEnd"/>
      <w:r w:rsidRPr="00A76F50">
        <w:rPr>
          <w:rFonts w:ascii="Avenir Book" w:hAnsi="Avenir Book"/>
        </w:rPr>
        <w:t xml:space="preserve"> </w:t>
      </w:r>
      <w:proofErr w:type="spellStart"/>
      <w:r w:rsidRPr="00A76F50">
        <w:rPr>
          <w:rFonts w:ascii="Avenir Book" w:hAnsi="Avenir Book"/>
        </w:rPr>
        <w:t>Pediatr</w:t>
      </w:r>
      <w:proofErr w:type="spellEnd"/>
      <w:r w:rsidRPr="00A76F50">
        <w:rPr>
          <w:rFonts w:ascii="Avenir Book" w:hAnsi="Avenir Book"/>
        </w:rPr>
        <w:t xml:space="preserve"> (</w:t>
      </w:r>
      <w:proofErr w:type="spellStart"/>
      <w:r w:rsidRPr="00A76F50">
        <w:rPr>
          <w:rFonts w:ascii="Avenir Book" w:hAnsi="Avenir Book"/>
        </w:rPr>
        <w:t>Barc</w:t>
      </w:r>
      <w:proofErr w:type="spellEnd"/>
      <w:r w:rsidRPr="00A76F50">
        <w:rPr>
          <w:rFonts w:ascii="Avenir Book" w:hAnsi="Avenir Book"/>
        </w:rPr>
        <w:t>). 2018;89(2</w:t>
      </w:r>
      <w:proofErr w:type="gramStart"/>
      <w:r w:rsidRPr="00A76F50">
        <w:rPr>
          <w:rFonts w:ascii="Avenir Book" w:hAnsi="Avenir Book"/>
        </w:rPr>
        <w:t>):133.e</w:t>
      </w:r>
      <w:proofErr w:type="gramEnd"/>
      <w:r w:rsidRPr="00A76F50">
        <w:rPr>
          <w:rFonts w:ascii="Avenir Book" w:hAnsi="Avenir Book"/>
        </w:rPr>
        <w:t>1-133.e9.</w:t>
      </w:r>
    </w:p>
    <w:p w14:paraId="39537A32"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Sociedad Española de Genética Clínica y Dismorfología (SEGCD). Recomendaciones para la derivación de pacientes con sospecha de anomalías genéticas desde Atención Primaria. SEGCD; 2022.</w:t>
      </w:r>
    </w:p>
    <w:p w14:paraId="5283A5CE"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Generalitat de Catalunya. Guía de atención a los niños y niñas con diferencias del desarrollo sexual. </w:t>
      </w:r>
      <w:proofErr w:type="spellStart"/>
      <w:r w:rsidRPr="00A76F50">
        <w:rPr>
          <w:rFonts w:ascii="Avenir Book" w:hAnsi="Avenir Book"/>
        </w:rPr>
        <w:t>Servei</w:t>
      </w:r>
      <w:proofErr w:type="spellEnd"/>
      <w:r w:rsidRPr="00A76F50">
        <w:rPr>
          <w:rFonts w:ascii="Avenir Book" w:hAnsi="Avenir Book"/>
        </w:rPr>
        <w:t xml:space="preserve"> </w:t>
      </w:r>
      <w:proofErr w:type="spellStart"/>
      <w:r w:rsidRPr="00A76F50">
        <w:rPr>
          <w:rFonts w:ascii="Avenir Book" w:hAnsi="Avenir Book"/>
        </w:rPr>
        <w:t>Català</w:t>
      </w:r>
      <w:proofErr w:type="spellEnd"/>
      <w:r w:rsidRPr="00A76F50">
        <w:rPr>
          <w:rFonts w:ascii="Avenir Book" w:hAnsi="Avenir Book"/>
        </w:rPr>
        <w:t xml:space="preserve"> de la </w:t>
      </w:r>
      <w:proofErr w:type="spellStart"/>
      <w:r w:rsidRPr="00A76F50">
        <w:rPr>
          <w:rFonts w:ascii="Avenir Book" w:hAnsi="Avenir Book"/>
        </w:rPr>
        <w:t>Salut</w:t>
      </w:r>
      <w:proofErr w:type="spellEnd"/>
      <w:r w:rsidRPr="00A76F50">
        <w:rPr>
          <w:rFonts w:ascii="Avenir Book" w:hAnsi="Avenir Book"/>
        </w:rPr>
        <w:t xml:space="preserve">; 2023. Disponible en: </w:t>
      </w:r>
      <w:hyperlink r:id="rId12" w:history="1">
        <w:r w:rsidRPr="00A76F50">
          <w:rPr>
            <w:rStyle w:val="Hipervnculo"/>
            <w:rFonts w:ascii="Avenir Book" w:hAnsi="Avenir Book"/>
          </w:rPr>
          <w:t>https://catsalut.gencat.cat</w:t>
        </w:r>
      </w:hyperlink>
    </w:p>
    <w:p w14:paraId="1F7CC148"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Asociación </w:t>
      </w:r>
      <w:proofErr w:type="spellStart"/>
      <w:r w:rsidRPr="00A76F50">
        <w:rPr>
          <w:rFonts w:ascii="Avenir Book" w:hAnsi="Avenir Book"/>
        </w:rPr>
        <w:t>GrApSIA</w:t>
      </w:r>
      <w:proofErr w:type="spellEnd"/>
      <w:r w:rsidRPr="00A76F50">
        <w:rPr>
          <w:rFonts w:ascii="Avenir Book" w:hAnsi="Avenir Book"/>
        </w:rPr>
        <w:t xml:space="preserve"> (Grupo de Apoyo a Pacientes con Síndrome de Insensibilidad a los Andrógenos y otros DSD). Recursos y orientación para familias. </w:t>
      </w:r>
      <w:proofErr w:type="spellStart"/>
      <w:r w:rsidRPr="00A76F50">
        <w:rPr>
          <w:rFonts w:ascii="Avenir Book" w:hAnsi="Avenir Book"/>
        </w:rPr>
        <w:t>GrApSIA</w:t>
      </w:r>
      <w:proofErr w:type="spellEnd"/>
      <w:r w:rsidRPr="00A76F50">
        <w:rPr>
          <w:rFonts w:ascii="Avenir Book" w:hAnsi="Avenir Book"/>
        </w:rPr>
        <w:t xml:space="preserve">; 2024. Disponible en: </w:t>
      </w:r>
      <w:hyperlink r:id="rId13" w:history="1">
        <w:r w:rsidRPr="00A76F50">
          <w:rPr>
            <w:rStyle w:val="Hipervnculo"/>
            <w:rFonts w:ascii="Avenir Book" w:hAnsi="Avenir Book"/>
          </w:rPr>
          <w:t>https://www.grapsia.org</w:t>
        </w:r>
      </w:hyperlink>
    </w:p>
    <w:p w14:paraId="100F9AC9"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 xml:space="preserve">Conferencia Sectorial de Sanidad. Procedimiento de derivación de pacientes entre comunidades autónomas en el Sistema Nacional de Salud. Ministerio de Sanidad; 2023. Disponible en: </w:t>
      </w:r>
      <w:hyperlink r:id="rId14" w:history="1">
        <w:r w:rsidRPr="00A76F50">
          <w:rPr>
            <w:rStyle w:val="Hipervnculo"/>
            <w:rFonts w:ascii="Avenir Book" w:hAnsi="Avenir Book"/>
          </w:rPr>
          <w:t>https://www.mscbs.gob.es</w:t>
        </w:r>
      </w:hyperlink>
    </w:p>
    <w:p w14:paraId="41B1CA44" w14:textId="77777777" w:rsidR="00E16071" w:rsidRPr="00A76F50" w:rsidRDefault="00E16071" w:rsidP="00A76F50">
      <w:pPr>
        <w:numPr>
          <w:ilvl w:val="0"/>
          <w:numId w:val="39"/>
        </w:numPr>
        <w:spacing w:before="100" w:beforeAutospacing="1" w:after="100" w:afterAutospacing="1"/>
        <w:jc w:val="both"/>
        <w:rPr>
          <w:rFonts w:ascii="Avenir Book" w:hAnsi="Avenir Book"/>
          <w:lang w:val="en-US"/>
        </w:rPr>
      </w:pPr>
      <w:proofErr w:type="spellStart"/>
      <w:r w:rsidRPr="00A76F50">
        <w:rPr>
          <w:rFonts w:ascii="Avenir Book" w:hAnsi="Avenir Book"/>
        </w:rPr>
        <w:t>Hemoa</w:t>
      </w:r>
      <w:proofErr w:type="spellEnd"/>
      <w:r w:rsidRPr="00A76F50">
        <w:rPr>
          <w:rFonts w:ascii="Avenir Book" w:hAnsi="Avenir Book"/>
        </w:rPr>
        <w:t xml:space="preserve"> P, Castañón M, </w:t>
      </w:r>
      <w:proofErr w:type="spellStart"/>
      <w:r w:rsidRPr="00A76F50">
        <w:rPr>
          <w:rFonts w:ascii="Avenir Book" w:hAnsi="Avenir Book"/>
        </w:rPr>
        <w:t>Gastaud</w:t>
      </w:r>
      <w:proofErr w:type="spellEnd"/>
      <w:r w:rsidRPr="00A76F50">
        <w:rPr>
          <w:rFonts w:ascii="Avenir Book" w:hAnsi="Avenir Book"/>
        </w:rPr>
        <w:t xml:space="preserve"> F, et al. </w:t>
      </w:r>
      <w:r w:rsidRPr="00A76F50">
        <w:rPr>
          <w:rFonts w:ascii="Avenir Book" w:hAnsi="Avenir Book"/>
          <w:lang w:val="en-US"/>
        </w:rPr>
        <w:t xml:space="preserve">Importance of a multidisciplinary approach in the diagnosis and treatment of disorders of sex development. Arch Dis Child. </w:t>
      </w:r>
      <w:proofErr w:type="gramStart"/>
      <w:r w:rsidRPr="00A76F50">
        <w:rPr>
          <w:rFonts w:ascii="Avenir Book" w:hAnsi="Avenir Book"/>
          <w:lang w:val="en-US"/>
        </w:rPr>
        <w:t>2020;105:751</w:t>
      </w:r>
      <w:proofErr w:type="gramEnd"/>
      <w:r w:rsidRPr="00A76F50">
        <w:rPr>
          <w:rFonts w:ascii="Avenir Book" w:hAnsi="Avenir Book"/>
          <w:lang w:val="en-US"/>
        </w:rPr>
        <w:t>-7.</w:t>
      </w:r>
    </w:p>
    <w:p w14:paraId="5CA963D9"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Consejo Interterritorial del Sistema Nacional de Salud. Marco estratégico para la atención a enfermedades raras en el SNS. Madrid: Ministerio de Sanidad; 2023.</w:t>
      </w:r>
    </w:p>
    <w:p w14:paraId="6968712B" w14:textId="77777777" w:rsidR="00E16071" w:rsidRPr="00A76F50" w:rsidRDefault="00E16071" w:rsidP="00A76F50">
      <w:pPr>
        <w:numPr>
          <w:ilvl w:val="0"/>
          <w:numId w:val="39"/>
        </w:numPr>
        <w:spacing w:before="100" w:beforeAutospacing="1" w:after="100" w:afterAutospacing="1"/>
        <w:jc w:val="both"/>
        <w:rPr>
          <w:rFonts w:ascii="Avenir Book" w:hAnsi="Avenir Book"/>
        </w:rPr>
      </w:pPr>
      <w:r w:rsidRPr="00A76F50">
        <w:rPr>
          <w:rFonts w:ascii="Avenir Book" w:hAnsi="Avenir Book"/>
        </w:rPr>
        <w:t>Asociación Española de Pediatría. Documento de consenso sobre comunicación médico-paciente en el contexto de enfermedades raras pediátricas. AEP; 2023.</w:t>
      </w:r>
    </w:p>
    <w:p w14:paraId="66CA69B1" w14:textId="77777777" w:rsidR="00E16071" w:rsidRPr="00A76F50" w:rsidRDefault="00E16071" w:rsidP="00A76F50">
      <w:pPr>
        <w:numPr>
          <w:ilvl w:val="0"/>
          <w:numId w:val="39"/>
        </w:numPr>
        <w:spacing w:before="100" w:beforeAutospacing="1" w:after="100" w:afterAutospacing="1"/>
        <w:jc w:val="both"/>
        <w:rPr>
          <w:rFonts w:ascii="Avenir Book" w:hAnsi="Avenir Book"/>
          <w:lang w:val="en-US"/>
        </w:rPr>
      </w:pPr>
      <w:proofErr w:type="spellStart"/>
      <w:r w:rsidRPr="00A76F50">
        <w:rPr>
          <w:rFonts w:ascii="Avenir Book" w:hAnsi="Avenir Book"/>
          <w:lang w:val="en-US"/>
        </w:rPr>
        <w:t>Arlt</w:t>
      </w:r>
      <w:proofErr w:type="spellEnd"/>
      <w:r w:rsidRPr="00A76F50">
        <w:rPr>
          <w:rFonts w:ascii="Avenir Book" w:hAnsi="Avenir Book"/>
          <w:lang w:val="en-US"/>
        </w:rPr>
        <w:t xml:space="preserve"> W, Willis DS, Wild SH, et al. Health status of adults with congenital adrenal hyperplasia: A cohort study of 203 patients. J Clin Endocrinol </w:t>
      </w:r>
      <w:proofErr w:type="spellStart"/>
      <w:r w:rsidRPr="00A76F50">
        <w:rPr>
          <w:rFonts w:ascii="Avenir Book" w:hAnsi="Avenir Book"/>
          <w:lang w:val="en-US"/>
        </w:rPr>
        <w:t>Metab</w:t>
      </w:r>
      <w:proofErr w:type="spellEnd"/>
      <w:r w:rsidRPr="00A76F50">
        <w:rPr>
          <w:rFonts w:ascii="Avenir Book" w:hAnsi="Avenir Book"/>
          <w:lang w:val="en-US"/>
        </w:rPr>
        <w:t xml:space="preserve">. </w:t>
      </w:r>
      <w:proofErr w:type="gramStart"/>
      <w:r w:rsidRPr="00A76F50">
        <w:rPr>
          <w:rFonts w:ascii="Avenir Book" w:hAnsi="Avenir Book"/>
          <w:lang w:val="en-US"/>
        </w:rPr>
        <w:t>2010;95:5110</w:t>
      </w:r>
      <w:proofErr w:type="gramEnd"/>
      <w:r w:rsidRPr="00A76F50">
        <w:rPr>
          <w:rFonts w:ascii="Avenir Book" w:hAnsi="Avenir Book"/>
          <w:lang w:val="en-US"/>
        </w:rPr>
        <w:t>-21.</w:t>
      </w:r>
    </w:p>
    <w:p w14:paraId="37135C71" w14:textId="77777777" w:rsidR="00E16071" w:rsidRPr="00A76F50" w:rsidRDefault="00E16071" w:rsidP="00A76F50">
      <w:pPr>
        <w:jc w:val="both"/>
        <w:rPr>
          <w:rFonts w:ascii="Avenir Book" w:hAnsi="Avenir Book"/>
          <w:lang w:val="en-US"/>
        </w:rPr>
      </w:pPr>
    </w:p>
    <w:sectPr w:rsidR="00E16071" w:rsidRPr="00A76F50">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3778" w14:textId="77777777" w:rsidR="007F66EB" w:rsidRDefault="007F66EB" w:rsidP="0093587E">
      <w:r>
        <w:separator/>
      </w:r>
    </w:p>
  </w:endnote>
  <w:endnote w:type="continuationSeparator" w:id="0">
    <w:p w14:paraId="3B8002F6" w14:textId="77777777" w:rsidR="007F66EB" w:rsidRDefault="007F66EB" w:rsidP="0093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A2D1" w14:textId="77777777" w:rsidR="007F66EB" w:rsidRDefault="007F66EB" w:rsidP="0093587E">
      <w:r>
        <w:separator/>
      </w:r>
    </w:p>
  </w:footnote>
  <w:footnote w:type="continuationSeparator" w:id="0">
    <w:p w14:paraId="492ED420" w14:textId="77777777" w:rsidR="007F66EB" w:rsidRDefault="007F66EB" w:rsidP="0093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03DF" w14:textId="0F079DAB" w:rsidR="0093587E" w:rsidRDefault="0093587E">
    <w:pPr>
      <w:pStyle w:val="Encabezado"/>
    </w:pPr>
    <w:r w:rsidRPr="00D624D7">
      <w:rPr>
        <w:noProof/>
        <w:lang w:eastAsia="es-ES"/>
      </w:rPr>
      <w:drawing>
        <wp:anchor distT="0" distB="0" distL="114300" distR="114300" simplePos="0" relativeHeight="251659264" behindDoc="0" locked="0" layoutInCell="1" allowOverlap="1" wp14:anchorId="32385F25" wp14:editId="2C012395">
          <wp:simplePos x="0" y="0"/>
          <wp:positionH relativeFrom="column">
            <wp:posOffset>-877677</wp:posOffset>
          </wp:positionH>
          <wp:positionV relativeFrom="paragraph">
            <wp:posOffset>-299406</wp:posOffset>
          </wp:positionV>
          <wp:extent cx="2619375" cy="695325"/>
          <wp:effectExtent l="0" t="0" r="0" b="0"/>
          <wp:wrapSquare wrapText="bothSides"/>
          <wp:docPr id="1" name="Imagen 1" descr="d:\Documents and Settings\70886635Z\Escritorio\Logo hos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70886635Z\Escritorio\Logo hosp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885"/>
    <w:multiLevelType w:val="multilevel"/>
    <w:tmpl w:val="00F0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179A3"/>
    <w:multiLevelType w:val="multilevel"/>
    <w:tmpl w:val="72C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243B4"/>
    <w:multiLevelType w:val="multilevel"/>
    <w:tmpl w:val="0AE8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627F"/>
    <w:multiLevelType w:val="multilevel"/>
    <w:tmpl w:val="FB0E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945C3"/>
    <w:multiLevelType w:val="multilevel"/>
    <w:tmpl w:val="0854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2169D"/>
    <w:multiLevelType w:val="multilevel"/>
    <w:tmpl w:val="8B5E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8407A"/>
    <w:multiLevelType w:val="multilevel"/>
    <w:tmpl w:val="9CE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009A4"/>
    <w:multiLevelType w:val="multilevel"/>
    <w:tmpl w:val="EFD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D4306"/>
    <w:multiLevelType w:val="multilevel"/>
    <w:tmpl w:val="FB0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D2229"/>
    <w:multiLevelType w:val="multilevel"/>
    <w:tmpl w:val="00F0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22BE4"/>
    <w:multiLevelType w:val="multilevel"/>
    <w:tmpl w:val="FE745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559C6"/>
    <w:multiLevelType w:val="multilevel"/>
    <w:tmpl w:val="AA88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727C0"/>
    <w:multiLevelType w:val="multilevel"/>
    <w:tmpl w:val="5F66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81435"/>
    <w:multiLevelType w:val="multilevel"/>
    <w:tmpl w:val="CCD23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246C9"/>
    <w:multiLevelType w:val="multilevel"/>
    <w:tmpl w:val="97B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33CE4"/>
    <w:multiLevelType w:val="multilevel"/>
    <w:tmpl w:val="83B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B70DA"/>
    <w:multiLevelType w:val="multilevel"/>
    <w:tmpl w:val="5782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9116C"/>
    <w:multiLevelType w:val="multilevel"/>
    <w:tmpl w:val="448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947BA"/>
    <w:multiLevelType w:val="multilevel"/>
    <w:tmpl w:val="E07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6518D"/>
    <w:multiLevelType w:val="multilevel"/>
    <w:tmpl w:val="CA3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57A91"/>
    <w:multiLevelType w:val="multilevel"/>
    <w:tmpl w:val="A00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6196A"/>
    <w:multiLevelType w:val="multilevel"/>
    <w:tmpl w:val="00F0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70798"/>
    <w:multiLevelType w:val="multilevel"/>
    <w:tmpl w:val="F02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F3658"/>
    <w:multiLevelType w:val="multilevel"/>
    <w:tmpl w:val="1E92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257CD"/>
    <w:multiLevelType w:val="multilevel"/>
    <w:tmpl w:val="49C4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36B69"/>
    <w:multiLevelType w:val="multilevel"/>
    <w:tmpl w:val="F122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D45DE"/>
    <w:multiLevelType w:val="multilevel"/>
    <w:tmpl w:val="00F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04DE8"/>
    <w:multiLevelType w:val="multilevel"/>
    <w:tmpl w:val="F982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560F4"/>
    <w:multiLevelType w:val="multilevel"/>
    <w:tmpl w:val="77F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43704"/>
    <w:multiLevelType w:val="multilevel"/>
    <w:tmpl w:val="B608C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20EFB"/>
    <w:multiLevelType w:val="multilevel"/>
    <w:tmpl w:val="E394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C67406"/>
    <w:multiLevelType w:val="multilevel"/>
    <w:tmpl w:val="AC6C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84133"/>
    <w:multiLevelType w:val="multilevel"/>
    <w:tmpl w:val="FC94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50213"/>
    <w:multiLevelType w:val="multilevel"/>
    <w:tmpl w:val="00F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5F5DED"/>
    <w:multiLevelType w:val="multilevel"/>
    <w:tmpl w:val="53D47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508F2"/>
    <w:multiLevelType w:val="multilevel"/>
    <w:tmpl w:val="00F0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922E21"/>
    <w:multiLevelType w:val="multilevel"/>
    <w:tmpl w:val="EA6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55C94"/>
    <w:multiLevelType w:val="multilevel"/>
    <w:tmpl w:val="DE42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63BCC"/>
    <w:multiLevelType w:val="multilevel"/>
    <w:tmpl w:val="A07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816028">
    <w:abstractNumId w:val="35"/>
  </w:num>
  <w:num w:numId="2" w16cid:durableId="1571770306">
    <w:abstractNumId w:val="18"/>
  </w:num>
  <w:num w:numId="3" w16cid:durableId="150564206">
    <w:abstractNumId w:val="34"/>
  </w:num>
  <w:num w:numId="4" w16cid:durableId="293802292">
    <w:abstractNumId w:val="1"/>
  </w:num>
  <w:num w:numId="5" w16cid:durableId="1111130100">
    <w:abstractNumId w:val="4"/>
  </w:num>
  <w:num w:numId="6" w16cid:durableId="405029074">
    <w:abstractNumId w:val="10"/>
  </w:num>
  <w:num w:numId="7" w16cid:durableId="1785878011">
    <w:abstractNumId w:val="11"/>
  </w:num>
  <w:num w:numId="8" w16cid:durableId="757404016">
    <w:abstractNumId w:val="16"/>
  </w:num>
  <w:num w:numId="9" w16cid:durableId="179049542">
    <w:abstractNumId w:val="17"/>
  </w:num>
  <w:num w:numId="10" w16cid:durableId="206724081">
    <w:abstractNumId w:val="22"/>
  </w:num>
  <w:num w:numId="11" w16cid:durableId="597712274">
    <w:abstractNumId w:val="23"/>
  </w:num>
  <w:num w:numId="12" w16cid:durableId="1889341541">
    <w:abstractNumId w:val="12"/>
  </w:num>
  <w:num w:numId="13" w16cid:durableId="1543707721">
    <w:abstractNumId w:val="38"/>
  </w:num>
  <w:num w:numId="14" w16cid:durableId="263459554">
    <w:abstractNumId w:val="36"/>
  </w:num>
  <w:num w:numId="15" w16cid:durableId="2147158239">
    <w:abstractNumId w:val="2"/>
  </w:num>
  <w:num w:numId="16" w16cid:durableId="1008289364">
    <w:abstractNumId w:val="26"/>
  </w:num>
  <w:num w:numId="17" w16cid:durableId="473907958">
    <w:abstractNumId w:val="21"/>
  </w:num>
  <w:num w:numId="18" w16cid:durableId="1063328938">
    <w:abstractNumId w:val="15"/>
  </w:num>
  <w:num w:numId="19" w16cid:durableId="33777842">
    <w:abstractNumId w:val="9"/>
  </w:num>
  <w:num w:numId="20" w16cid:durableId="579556630">
    <w:abstractNumId w:val="7"/>
  </w:num>
  <w:num w:numId="21" w16cid:durableId="713768738">
    <w:abstractNumId w:val="6"/>
  </w:num>
  <w:num w:numId="22" w16cid:durableId="48841462">
    <w:abstractNumId w:val="28"/>
  </w:num>
  <w:num w:numId="23" w16cid:durableId="1986158582">
    <w:abstractNumId w:val="8"/>
  </w:num>
  <w:num w:numId="24" w16cid:durableId="1966158075">
    <w:abstractNumId w:val="29"/>
  </w:num>
  <w:num w:numId="25" w16cid:durableId="1523203323">
    <w:abstractNumId w:val="13"/>
  </w:num>
  <w:num w:numId="26" w16cid:durableId="1079640237">
    <w:abstractNumId w:val="30"/>
  </w:num>
  <w:num w:numId="27" w16cid:durableId="717894151">
    <w:abstractNumId w:val="3"/>
  </w:num>
  <w:num w:numId="28" w16cid:durableId="1084381821">
    <w:abstractNumId w:val="37"/>
  </w:num>
  <w:num w:numId="29" w16cid:durableId="578901140">
    <w:abstractNumId w:val="27"/>
  </w:num>
  <w:num w:numId="30" w16cid:durableId="2039891755">
    <w:abstractNumId w:val="31"/>
  </w:num>
  <w:num w:numId="31" w16cid:durableId="1787962711">
    <w:abstractNumId w:val="32"/>
  </w:num>
  <w:num w:numId="32" w16cid:durableId="1610044858">
    <w:abstractNumId w:val="0"/>
  </w:num>
  <w:num w:numId="33" w16cid:durableId="151335210">
    <w:abstractNumId w:val="5"/>
  </w:num>
  <w:num w:numId="34" w16cid:durableId="617490457">
    <w:abstractNumId w:val="24"/>
  </w:num>
  <w:num w:numId="35" w16cid:durableId="977799679">
    <w:abstractNumId w:val="19"/>
  </w:num>
  <w:num w:numId="36" w16cid:durableId="806166739">
    <w:abstractNumId w:val="25"/>
  </w:num>
  <w:num w:numId="37" w16cid:durableId="771585439">
    <w:abstractNumId w:val="20"/>
  </w:num>
  <w:num w:numId="38" w16cid:durableId="2124957289">
    <w:abstractNumId w:val="14"/>
  </w:num>
  <w:num w:numId="39" w16cid:durableId="151264094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E"/>
    <w:rsid w:val="00053EFA"/>
    <w:rsid w:val="00204965"/>
    <w:rsid w:val="004205A9"/>
    <w:rsid w:val="00451975"/>
    <w:rsid w:val="004D0EED"/>
    <w:rsid w:val="0058014D"/>
    <w:rsid w:val="00605254"/>
    <w:rsid w:val="007F66EB"/>
    <w:rsid w:val="0093587E"/>
    <w:rsid w:val="00A76F50"/>
    <w:rsid w:val="00AB602B"/>
    <w:rsid w:val="00B95332"/>
    <w:rsid w:val="00D369AB"/>
    <w:rsid w:val="00D5569D"/>
    <w:rsid w:val="00E16071"/>
    <w:rsid w:val="00E32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78E6"/>
  <w15:chartTrackingRefBased/>
  <w15:docId w15:val="{43DDE681-C057-C943-85CC-45123DF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60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B60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93587E"/>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4">
    <w:name w:val="heading 4"/>
    <w:basedOn w:val="Normal"/>
    <w:next w:val="Normal"/>
    <w:link w:val="Ttulo4Car"/>
    <w:uiPriority w:val="9"/>
    <w:semiHidden/>
    <w:unhideWhenUsed/>
    <w:qFormat/>
    <w:rsid w:val="00AB60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3587E"/>
    <w:rPr>
      <w:rFonts w:ascii="Times New Roman" w:eastAsia="Times New Roman" w:hAnsi="Times New Roman" w:cs="Times New Roman"/>
      <w:b/>
      <w:bCs/>
      <w:sz w:val="27"/>
      <w:szCs w:val="27"/>
      <w:lang w:eastAsia="es-ES_tradnl"/>
    </w:rPr>
  </w:style>
  <w:style w:type="character" w:styleId="Textoennegrita">
    <w:name w:val="Strong"/>
    <w:basedOn w:val="Fuentedeprrafopredeter"/>
    <w:uiPriority w:val="22"/>
    <w:qFormat/>
    <w:rsid w:val="0093587E"/>
    <w:rPr>
      <w:b/>
      <w:bCs/>
    </w:rPr>
  </w:style>
  <w:style w:type="paragraph" w:styleId="NormalWeb">
    <w:name w:val="Normal (Web)"/>
    <w:basedOn w:val="Normal"/>
    <w:uiPriority w:val="99"/>
    <w:unhideWhenUsed/>
    <w:rsid w:val="0093587E"/>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93587E"/>
    <w:pPr>
      <w:tabs>
        <w:tab w:val="center" w:pos="4419"/>
        <w:tab w:val="right" w:pos="8838"/>
      </w:tabs>
    </w:pPr>
  </w:style>
  <w:style w:type="character" w:customStyle="1" w:styleId="EncabezadoCar">
    <w:name w:val="Encabezado Car"/>
    <w:basedOn w:val="Fuentedeprrafopredeter"/>
    <w:link w:val="Encabezado"/>
    <w:uiPriority w:val="99"/>
    <w:rsid w:val="0093587E"/>
  </w:style>
  <w:style w:type="paragraph" w:styleId="Piedepgina">
    <w:name w:val="footer"/>
    <w:basedOn w:val="Normal"/>
    <w:link w:val="PiedepginaCar"/>
    <w:uiPriority w:val="99"/>
    <w:unhideWhenUsed/>
    <w:rsid w:val="0093587E"/>
    <w:pPr>
      <w:tabs>
        <w:tab w:val="center" w:pos="4419"/>
        <w:tab w:val="right" w:pos="8838"/>
      </w:tabs>
    </w:pPr>
  </w:style>
  <w:style w:type="character" w:customStyle="1" w:styleId="PiedepginaCar">
    <w:name w:val="Pie de página Car"/>
    <w:basedOn w:val="Fuentedeprrafopredeter"/>
    <w:link w:val="Piedepgina"/>
    <w:uiPriority w:val="99"/>
    <w:rsid w:val="0093587E"/>
  </w:style>
  <w:style w:type="character" w:customStyle="1" w:styleId="Ttulo2Car">
    <w:name w:val="Título 2 Car"/>
    <w:basedOn w:val="Fuentedeprrafopredeter"/>
    <w:link w:val="Ttulo2"/>
    <w:uiPriority w:val="9"/>
    <w:rsid w:val="00AB602B"/>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AB602B"/>
    <w:rPr>
      <w:rFonts w:asciiTheme="majorHAnsi" w:eastAsiaTheme="majorEastAsia" w:hAnsiTheme="majorHAnsi" w:cstheme="majorBidi"/>
      <w:i/>
      <w:iCs/>
      <w:color w:val="2F5496" w:themeColor="accent1" w:themeShade="BF"/>
    </w:rPr>
  </w:style>
  <w:style w:type="character" w:customStyle="1" w:styleId="Ttulo1Car">
    <w:name w:val="Título 1 Car"/>
    <w:basedOn w:val="Fuentedeprrafopredeter"/>
    <w:link w:val="Ttulo1"/>
    <w:uiPriority w:val="9"/>
    <w:rsid w:val="00AB602B"/>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B602B"/>
    <w:pPr>
      <w:ind w:left="720"/>
      <w:contextualSpacing/>
    </w:pPr>
  </w:style>
  <w:style w:type="character" w:styleId="Hipervnculo">
    <w:name w:val="Hyperlink"/>
    <w:basedOn w:val="Fuentedeprrafopredeter"/>
    <w:uiPriority w:val="99"/>
    <w:semiHidden/>
    <w:unhideWhenUsed/>
    <w:rsid w:val="00605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994">
      <w:bodyDiv w:val="1"/>
      <w:marLeft w:val="0"/>
      <w:marRight w:val="0"/>
      <w:marTop w:val="0"/>
      <w:marBottom w:val="0"/>
      <w:divBdr>
        <w:top w:val="none" w:sz="0" w:space="0" w:color="auto"/>
        <w:left w:val="none" w:sz="0" w:space="0" w:color="auto"/>
        <w:bottom w:val="none" w:sz="0" w:space="0" w:color="auto"/>
        <w:right w:val="none" w:sz="0" w:space="0" w:color="auto"/>
      </w:divBdr>
    </w:div>
    <w:div w:id="178009300">
      <w:bodyDiv w:val="1"/>
      <w:marLeft w:val="0"/>
      <w:marRight w:val="0"/>
      <w:marTop w:val="0"/>
      <w:marBottom w:val="0"/>
      <w:divBdr>
        <w:top w:val="none" w:sz="0" w:space="0" w:color="auto"/>
        <w:left w:val="none" w:sz="0" w:space="0" w:color="auto"/>
        <w:bottom w:val="none" w:sz="0" w:space="0" w:color="auto"/>
        <w:right w:val="none" w:sz="0" w:space="0" w:color="auto"/>
      </w:divBdr>
    </w:div>
    <w:div w:id="273636589">
      <w:bodyDiv w:val="1"/>
      <w:marLeft w:val="0"/>
      <w:marRight w:val="0"/>
      <w:marTop w:val="0"/>
      <w:marBottom w:val="0"/>
      <w:divBdr>
        <w:top w:val="none" w:sz="0" w:space="0" w:color="auto"/>
        <w:left w:val="none" w:sz="0" w:space="0" w:color="auto"/>
        <w:bottom w:val="none" w:sz="0" w:space="0" w:color="auto"/>
        <w:right w:val="none" w:sz="0" w:space="0" w:color="auto"/>
      </w:divBdr>
    </w:div>
    <w:div w:id="292250838">
      <w:bodyDiv w:val="1"/>
      <w:marLeft w:val="0"/>
      <w:marRight w:val="0"/>
      <w:marTop w:val="0"/>
      <w:marBottom w:val="0"/>
      <w:divBdr>
        <w:top w:val="none" w:sz="0" w:space="0" w:color="auto"/>
        <w:left w:val="none" w:sz="0" w:space="0" w:color="auto"/>
        <w:bottom w:val="none" w:sz="0" w:space="0" w:color="auto"/>
        <w:right w:val="none" w:sz="0" w:space="0" w:color="auto"/>
      </w:divBdr>
    </w:div>
    <w:div w:id="384565421">
      <w:bodyDiv w:val="1"/>
      <w:marLeft w:val="0"/>
      <w:marRight w:val="0"/>
      <w:marTop w:val="0"/>
      <w:marBottom w:val="0"/>
      <w:divBdr>
        <w:top w:val="none" w:sz="0" w:space="0" w:color="auto"/>
        <w:left w:val="none" w:sz="0" w:space="0" w:color="auto"/>
        <w:bottom w:val="none" w:sz="0" w:space="0" w:color="auto"/>
        <w:right w:val="none" w:sz="0" w:space="0" w:color="auto"/>
      </w:divBdr>
    </w:div>
    <w:div w:id="450973606">
      <w:bodyDiv w:val="1"/>
      <w:marLeft w:val="0"/>
      <w:marRight w:val="0"/>
      <w:marTop w:val="0"/>
      <w:marBottom w:val="0"/>
      <w:divBdr>
        <w:top w:val="none" w:sz="0" w:space="0" w:color="auto"/>
        <w:left w:val="none" w:sz="0" w:space="0" w:color="auto"/>
        <w:bottom w:val="none" w:sz="0" w:space="0" w:color="auto"/>
        <w:right w:val="none" w:sz="0" w:space="0" w:color="auto"/>
      </w:divBdr>
    </w:div>
    <w:div w:id="476149221">
      <w:bodyDiv w:val="1"/>
      <w:marLeft w:val="0"/>
      <w:marRight w:val="0"/>
      <w:marTop w:val="0"/>
      <w:marBottom w:val="0"/>
      <w:divBdr>
        <w:top w:val="none" w:sz="0" w:space="0" w:color="auto"/>
        <w:left w:val="none" w:sz="0" w:space="0" w:color="auto"/>
        <w:bottom w:val="none" w:sz="0" w:space="0" w:color="auto"/>
        <w:right w:val="none" w:sz="0" w:space="0" w:color="auto"/>
      </w:divBdr>
    </w:div>
    <w:div w:id="498085799">
      <w:bodyDiv w:val="1"/>
      <w:marLeft w:val="0"/>
      <w:marRight w:val="0"/>
      <w:marTop w:val="0"/>
      <w:marBottom w:val="0"/>
      <w:divBdr>
        <w:top w:val="none" w:sz="0" w:space="0" w:color="auto"/>
        <w:left w:val="none" w:sz="0" w:space="0" w:color="auto"/>
        <w:bottom w:val="none" w:sz="0" w:space="0" w:color="auto"/>
        <w:right w:val="none" w:sz="0" w:space="0" w:color="auto"/>
      </w:divBdr>
    </w:div>
    <w:div w:id="557739351">
      <w:bodyDiv w:val="1"/>
      <w:marLeft w:val="0"/>
      <w:marRight w:val="0"/>
      <w:marTop w:val="0"/>
      <w:marBottom w:val="0"/>
      <w:divBdr>
        <w:top w:val="none" w:sz="0" w:space="0" w:color="auto"/>
        <w:left w:val="none" w:sz="0" w:space="0" w:color="auto"/>
        <w:bottom w:val="none" w:sz="0" w:space="0" w:color="auto"/>
        <w:right w:val="none" w:sz="0" w:space="0" w:color="auto"/>
      </w:divBdr>
      <w:divsChild>
        <w:div w:id="351997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067569">
      <w:bodyDiv w:val="1"/>
      <w:marLeft w:val="0"/>
      <w:marRight w:val="0"/>
      <w:marTop w:val="0"/>
      <w:marBottom w:val="0"/>
      <w:divBdr>
        <w:top w:val="none" w:sz="0" w:space="0" w:color="auto"/>
        <w:left w:val="none" w:sz="0" w:space="0" w:color="auto"/>
        <w:bottom w:val="none" w:sz="0" w:space="0" w:color="auto"/>
        <w:right w:val="none" w:sz="0" w:space="0" w:color="auto"/>
      </w:divBdr>
    </w:div>
    <w:div w:id="795832159">
      <w:bodyDiv w:val="1"/>
      <w:marLeft w:val="0"/>
      <w:marRight w:val="0"/>
      <w:marTop w:val="0"/>
      <w:marBottom w:val="0"/>
      <w:divBdr>
        <w:top w:val="none" w:sz="0" w:space="0" w:color="auto"/>
        <w:left w:val="none" w:sz="0" w:space="0" w:color="auto"/>
        <w:bottom w:val="none" w:sz="0" w:space="0" w:color="auto"/>
        <w:right w:val="none" w:sz="0" w:space="0" w:color="auto"/>
      </w:divBdr>
    </w:div>
    <w:div w:id="821046806">
      <w:bodyDiv w:val="1"/>
      <w:marLeft w:val="0"/>
      <w:marRight w:val="0"/>
      <w:marTop w:val="0"/>
      <w:marBottom w:val="0"/>
      <w:divBdr>
        <w:top w:val="none" w:sz="0" w:space="0" w:color="auto"/>
        <w:left w:val="none" w:sz="0" w:space="0" w:color="auto"/>
        <w:bottom w:val="none" w:sz="0" w:space="0" w:color="auto"/>
        <w:right w:val="none" w:sz="0" w:space="0" w:color="auto"/>
      </w:divBdr>
    </w:div>
    <w:div w:id="841897162">
      <w:bodyDiv w:val="1"/>
      <w:marLeft w:val="0"/>
      <w:marRight w:val="0"/>
      <w:marTop w:val="0"/>
      <w:marBottom w:val="0"/>
      <w:divBdr>
        <w:top w:val="none" w:sz="0" w:space="0" w:color="auto"/>
        <w:left w:val="none" w:sz="0" w:space="0" w:color="auto"/>
        <w:bottom w:val="none" w:sz="0" w:space="0" w:color="auto"/>
        <w:right w:val="none" w:sz="0" w:space="0" w:color="auto"/>
      </w:divBdr>
    </w:div>
    <w:div w:id="851188134">
      <w:bodyDiv w:val="1"/>
      <w:marLeft w:val="0"/>
      <w:marRight w:val="0"/>
      <w:marTop w:val="0"/>
      <w:marBottom w:val="0"/>
      <w:divBdr>
        <w:top w:val="none" w:sz="0" w:space="0" w:color="auto"/>
        <w:left w:val="none" w:sz="0" w:space="0" w:color="auto"/>
        <w:bottom w:val="none" w:sz="0" w:space="0" w:color="auto"/>
        <w:right w:val="none" w:sz="0" w:space="0" w:color="auto"/>
      </w:divBdr>
    </w:div>
    <w:div w:id="902064628">
      <w:bodyDiv w:val="1"/>
      <w:marLeft w:val="0"/>
      <w:marRight w:val="0"/>
      <w:marTop w:val="0"/>
      <w:marBottom w:val="0"/>
      <w:divBdr>
        <w:top w:val="none" w:sz="0" w:space="0" w:color="auto"/>
        <w:left w:val="none" w:sz="0" w:space="0" w:color="auto"/>
        <w:bottom w:val="none" w:sz="0" w:space="0" w:color="auto"/>
        <w:right w:val="none" w:sz="0" w:space="0" w:color="auto"/>
      </w:divBdr>
    </w:div>
    <w:div w:id="910577711">
      <w:bodyDiv w:val="1"/>
      <w:marLeft w:val="0"/>
      <w:marRight w:val="0"/>
      <w:marTop w:val="0"/>
      <w:marBottom w:val="0"/>
      <w:divBdr>
        <w:top w:val="none" w:sz="0" w:space="0" w:color="auto"/>
        <w:left w:val="none" w:sz="0" w:space="0" w:color="auto"/>
        <w:bottom w:val="none" w:sz="0" w:space="0" w:color="auto"/>
        <w:right w:val="none" w:sz="0" w:space="0" w:color="auto"/>
      </w:divBdr>
    </w:div>
    <w:div w:id="964307716">
      <w:bodyDiv w:val="1"/>
      <w:marLeft w:val="0"/>
      <w:marRight w:val="0"/>
      <w:marTop w:val="0"/>
      <w:marBottom w:val="0"/>
      <w:divBdr>
        <w:top w:val="none" w:sz="0" w:space="0" w:color="auto"/>
        <w:left w:val="none" w:sz="0" w:space="0" w:color="auto"/>
        <w:bottom w:val="none" w:sz="0" w:space="0" w:color="auto"/>
        <w:right w:val="none" w:sz="0" w:space="0" w:color="auto"/>
      </w:divBdr>
    </w:div>
    <w:div w:id="976759280">
      <w:bodyDiv w:val="1"/>
      <w:marLeft w:val="0"/>
      <w:marRight w:val="0"/>
      <w:marTop w:val="0"/>
      <w:marBottom w:val="0"/>
      <w:divBdr>
        <w:top w:val="none" w:sz="0" w:space="0" w:color="auto"/>
        <w:left w:val="none" w:sz="0" w:space="0" w:color="auto"/>
        <w:bottom w:val="none" w:sz="0" w:space="0" w:color="auto"/>
        <w:right w:val="none" w:sz="0" w:space="0" w:color="auto"/>
      </w:divBdr>
    </w:div>
    <w:div w:id="1071076075">
      <w:bodyDiv w:val="1"/>
      <w:marLeft w:val="0"/>
      <w:marRight w:val="0"/>
      <w:marTop w:val="0"/>
      <w:marBottom w:val="0"/>
      <w:divBdr>
        <w:top w:val="none" w:sz="0" w:space="0" w:color="auto"/>
        <w:left w:val="none" w:sz="0" w:space="0" w:color="auto"/>
        <w:bottom w:val="none" w:sz="0" w:space="0" w:color="auto"/>
        <w:right w:val="none" w:sz="0" w:space="0" w:color="auto"/>
      </w:divBdr>
    </w:div>
    <w:div w:id="1164398615">
      <w:bodyDiv w:val="1"/>
      <w:marLeft w:val="0"/>
      <w:marRight w:val="0"/>
      <w:marTop w:val="0"/>
      <w:marBottom w:val="0"/>
      <w:divBdr>
        <w:top w:val="none" w:sz="0" w:space="0" w:color="auto"/>
        <w:left w:val="none" w:sz="0" w:space="0" w:color="auto"/>
        <w:bottom w:val="none" w:sz="0" w:space="0" w:color="auto"/>
        <w:right w:val="none" w:sz="0" w:space="0" w:color="auto"/>
      </w:divBdr>
    </w:div>
    <w:div w:id="1197474663">
      <w:bodyDiv w:val="1"/>
      <w:marLeft w:val="0"/>
      <w:marRight w:val="0"/>
      <w:marTop w:val="0"/>
      <w:marBottom w:val="0"/>
      <w:divBdr>
        <w:top w:val="none" w:sz="0" w:space="0" w:color="auto"/>
        <w:left w:val="none" w:sz="0" w:space="0" w:color="auto"/>
        <w:bottom w:val="none" w:sz="0" w:space="0" w:color="auto"/>
        <w:right w:val="none" w:sz="0" w:space="0" w:color="auto"/>
      </w:divBdr>
    </w:div>
    <w:div w:id="1242181901">
      <w:bodyDiv w:val="1"/>
      <w:marLeft w:val="0"/>
      <w:marRight w:val="0"/>
      <w:marTop w:val="0"/>
      <w:marBottom w:val="0"/>
      <w:divBdr>
        <w:top w:val="none" w:sz="0" w:space="0" w:color="auto"/>
        <w:left w:val="none" w:sz="0" w:space="0" w:color="auto"/>
        <w:bottom w:val="none" w:sz="0" w:space="0" w:color="auto"/>
        <w:right w:val="none" w:sz="0" w:space="0" w:color="auto"/>
      </w:divBdr>
    </w:div>
    <w:div w:id="1374497357">
      <w:bodyDiv w:val="1"/>
      <w:marLeft w:val="0"/>
      <w:marRight w:val="0"/>
      <w:marTop w:val="0"/>
      <w:marBottom w:val="0"/>
      <w:divBdr>
        <w:top w:val="none" w:sz="0" w:space="0" w:color="auto"/>
        <w:left w:val="none" w:sz="0" w:space="0" w:color="auto"/>
        <w:bottom w:val="none" w:sz="0" w:space="0" w:color="auto"/>
        <w:right w:val="none" w:sz="0" w:space="0" w:color="auto"/>
      </w:divBdr>
    </w:div>
    <w:div w:id="1385372359">
      <w:bodyDiv w:val="1"/>
      <w:marLeft w:val="0"/>
      <w:marRight w:val="0"/>
      <w:marTop w:val="0"/>
      <w:marBottom w:val="0"/>
      <w:divBdr>
        <w:top w:val="none" w:sz="0" w:space="0" w:color="auto"/>
        <w:left w:val="none" w:sz="0" w:space="0" w:color="auto"/>
        <w:bottom w:val="none" w:sz="0" w:space="0" w:color="auto"/>
        <w:right w:val="none" w:sz="0" w:space="0" w:color="auto"/>
      </w:divBdr>
    </w:div>
    <w:div w:id="1447769472">
      <w:bodyDiv w:val="1"/>
      <w:marLeft w:val="0"/>
      <w:marRight w:val="0"/>
      <w:marTop w:val="0"/>
      <w:marBottom w:val="0"/>
      <w:divBdr>
        <w:top w:val="none" w:sz="0" w:space="0" w:color="auto"/>
        <w:left w:val="none" w:sz="0" w:space="0" w:color="auto"/>
        <w:bottom w:val="none" w:sz="0" w:space="0" w:color="auto"/>
        <w:right w:val="none" w:sz="0" w:space="0" w:color="auto"/>
      </w:divBdr>
    </w:div>
    <w:div w:id="1555581421">
      <w:bodyDiv w:val="1"/>
      <w:marLeft w:val="0"/>
      <w:marRight w:val="0"/>
      <w:marTop w:val="0"/>
      <w:marBottom w:val="0"/>
      <w:divBdr>
        <w:top w:val="none" w:sz="0" w:space="0" w:color="auto"/>
        <w:left w:val="none" w:sz="0" w:space="0" w:color="auto"/>
        <w:bottom w:val="none" w:sz="0" w:space="0" w:color="auto"/>
        <w:right w:val="none" w:sz="0" w:space="0" w:color="auto"/>
      </w:divBdr>
    </w:div>
    <w:div w:id="1631326711">
      <w:bodyDiv w:val="1"/>
      <w:marLeft w:val="0"/>
      <w:marRight w:val="0"/>
      <w:marTop w:val="0"/>
      <w:marBottom w:val="0"/>
      <w:divBdr>
        <w:top w:val="none" w:sz="0" w:space="0" w:color="auto"/>
        <w:left w:val="none" w:sz="0" w:space="0" w:color="auto"/>
        <w:bottom w:val="none" w:sz="0" w:space="0" w:color="auto"/>
        <w:right w:val="none" w:sz="0" w:space="0" w:color="auto"/>
      </w:divBdr>
    </w:div>
    <w:div w:id="1646087640">
      <w:bodyDiv w:val="1"/>
      <w:marLeft w:val="0"/>
      <w:marRight w:val="0"/>
      <w:marTop w:val="0"/>
      <w:marBottom w:val="0"/>
      <w:divBdr>
        <w:top w:val="none" w:sz="0" w:space="0" w:color="auto"/>
        <w:left w:val="none" w:sz="0" w:space="0" w:color="auto"/>
        <w:bottom w:val="none" w:sz="0" w:space="0" w:color="auto"/>
        <w:right w:val="none" w:sz="0" w:space="0" w:color="auto"/>
      </w:divBdr>
    </w:div>
    <w:div w:id="1749811530">
      <w:bodyDiv w:val="1"/>
      <w:marLeft w:val="0"/>
      <w:marRight w:val="0"/>
      <w:marTop w:val="0"/>
      <w:marBottom w:val="0"/>
      <w:divBdr>
        <w:top w:val="none" w:sz="0" w:space="0" w:color="auto"/>
        <w:left w:val="none" w:sz="0" w:space="0" w:color="auto"/>
        <w:bottom w:val="none" w:sz="0" w:space="0" w:color="auto"/>
        <w:right w:val="none" w:sz="0" w:space="0" w:color="auto"/>
      </w:divBdr>
    </w:div>
    <w:div w:id="1789616864">
      <w:bodyDiv w:val="1"/>
      <w:marLeft w:val="0"/>
      <w:marRight w:val="0"/>
      <w:marTop w:val="0"/>
      <w:marBottom w:val="0"/>
      <w:divBdr>
        <w:top w:val="none" w:sz="0" w:space="0" w:color="auto"/>
        <w:left w:val="none" w:sz="0" w:space="0" w:color="auto"/>
        <w:bottom w:val="none" w:sz="0" w:space="0" w:color="auto"/>
        <w:right w:val="none" w:sz="0" w:space="0" w:color="auto"/>
      </w:divBdr>
    </w:div>
    <w:div w:id="1826898383">
      <w:bodyDiv w:val="1"/>
      <w:marLeft w:val="0"/>
      <w:marRight w:val="0"/>
      <w:marTop w:val="0"/>
      <w:marBottom w:val="0"/>
      <w:divBdr>
        <w:top w:val="none" w:sz="0" w:space="0" w:color="auto"/>
        <w:left w:val="none" w:sz="0" w:space="0" w:color="auto"/>
        <w:bottom w:val="none" w:sz="0" w:space="0" w:color="auto"/>
        <w:right w:val="none" w:sz="0" w:space="0" w:color="auto"/>
      </w:divBdr>
    </w:div>
    <w:div w:id="1840000679">
      <w:bodyDiv w:val="1"/>
      <w:marLeft w:val="0"/>
      <w:marRight w:val="0"/>
      <w:marTop w:val="0"/>
      <w:marBottom w:val="0"/>
      <w:divBdr>
        <w:top w:val="none" w:sz="0" w:space="0" w:color="auto"/>
        <w:left w:val="none" w:sz="0" w:space="0" w:color="auto"/>
        <w:bottom w:val="none" w:sz="0" w:space="0" w:color="auto"/>
        <w:right w:val="none" w:sz="0" w:space="0" w:color="auto"/>
      </w:divBdr>
    </w:div>
    <w:div w:id="2050105367">
      <w:bodyDiv w:val="1"/>
      <w:marLeft w:val="0"/>
      <w:marRight w:val="0"/>
      <w:marTop w:val="0"/>
      <w:marBottom w:val="0"/>
      <w:divBdr>
        <w:top w:val="none" w:sz="0" w:space="0" w:color="auto"/>
        <w:left w:val="none" w:sz="0" w:space="0" w:color="auto"/>
        <w:bottom w:val="none" w:sz="0" w:space="0" w:color="auto"/>
        <w:right w:val="none" w:sz="0" w:space="0" w:color="auto"/>
      </w:divBdr>
    </w:div>
    <w:div w:id="205641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ep.es" TargetMode="External"/><Relationship Id="rId13" Type="http://schemas.openxmlformats.org/officeDocument/2006/relationships/hyperlink" Target="https://www.grapsia.org" TargetMode="External"/><Relationship Id="rId3" Type="http://schemas.openxmlformats.org/officeDocument/2006/relationships/settings" Target="settings.xml"/><Relationship Id="rId7" Type="http://schemas.openxmlformats.org/officeDocument/2006/relationships/hyperlink" Target="https://www.sanidad.gob.es/profesionales/CentrosDeReferencia/docs/TrastornosDesarrolloSexual.pdf" TargetMode="External"/><Relationship Id="rId12" Type="http://schemas.openxmlformats.org/officeDocument/2006/relationships/hyperlink" Target="https://catsalut.gencat.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odepacientes.org/asociacionism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a.es" TargetMode="External"/><Relationship Id="rId4" Type="http://schemas.openxmlformats.org/officeDocument/2006/relationships/webSettings" Target="webSettings.xml"/><Relationship Id="rId9" Type="http://schemas.openxmlformats.org/officeDocument/2006/relationships/hyperlink" Target="https://www.tramitacastillayleon.jcyl.es" TargetMode="External"/><Relationship Id="rId14" Type="http://schemas.openxmlformats.org/officeDocument/2006/relationships/hyperlink" Target="https://www.mscbs.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3043</Words>
  <Characters>16742</Characters>
  <Application>Microsoft Office Word</Application>
  <DocSecurity>0</DocSecurity>
  <Lines>139</Lines>
  <Paragraphs>39</Paragraphs>
  <ScaleCrop>false</ScaleCrop>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tordable</dc:creator>
  <cp:keywords/>
  <dc:description/>
  <cp:lastModifiedBy>Indalecio Cano Novillo</cp:lastModifiedBy>
  <cp:revision>3</cp:revision>
  <dcterms:created xsi:type="dcterms:W3CDTF">2025-03-02T11:17:00Z</dcterms:created>
  <dcterms:modified xsi:type="dcterms:W3CDTF">2025-03-03T14:08:00Z</dcterms:modified>
</cp:coreProperties>
</file>